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93DD69">
      <w:pPr>
        <w:ind w:left="0" w:leftChars="0" w:firstLine="0" w:firstLineChars="0"/>
        <w:jc w:val="center"/>
        <w:rPr>
          <w:rFonts w:hint="eastAsia" w:ascii="方正小标宋简体" w:hAnsi="宋体" w:eastAsia="方正小标宋简体" w:cs="宋体"/>
          <w:sz w:val="32"/>
          <w:szCs w:val="32"/>
        </w:rPr>
      </w:pPr>
      <w:bookmarkStart w:id="98" w:name="_GoBack"/>
      <w:bookmarkEnd w:id="98"/>
      <w:r>
        <w:rPr>
          <w:rFonts w:hint="eastAsia" w:ascii="方正小标宋简体" w:hAnsi="宋体" w:eastAsia="方正小标宋简体" w:cs="宋体"/>
          <w:sz w:val="32"/>
          <w:szCs w:val="32"/>
        </w:rPr>
        <w:t>基于</w:t>
      </w:r>
      <w:r>
        <w:rPr>
          <w:rFonts w:hint="eastAsia" w:ascii="方正小标宋简体" w:hAnsi="等线" w:eastAsia="方正小标宋简体"/>
          <w:sz w:val="32"/>
          <w:szCs w:val="32"/>
        </w:rPr>
        <w:t>LLM</w:t>
      </w:r>
      <w:r>
        <w:rPr>
          <w:rFonts w:hint="eastAsia" w:ascii="方正小标宋简体" w:hAnsi="宋体" w:eastAsia="方正小标宋简体" w:cs="宋体"/>
          <w:sz w:val="32"/>
          <w:szCs w:val="32"/>
        </w:rPr>
        <w:t>与双重机器</w:t>
      </w:r>
      <w:r>
        <w:rPr>
          <w:rFonts w:hint="eastAsia" w:ascii="方正小标宋简体" w:hAnsi="___WRD_EMBED_SUB_49" w:eastAsia="方正小标宋简体" w:cs="___WRD_EMBED_SUB_49"/>
          <w:sz w:val="32"/>
          <w:szCs w:val="32"/>
        </w:rPr>
        <w:t>学</w:t>
      </w:r>
      <w:r>
        <w:rPr>
          <w:rFonts w:hint="eastAsia" w:ascii="方正小标宋简体" w:hAnsi="宋体" w:eastAsia="方正小标宋简体" w:cs="宋体"/>
          <w:sz w:val="32"/>
          <w:szCs w:val="32"/>
        </w:rPr>
        <w:t>习</w:t>
      </w:r>
      <w:r>
        <w:rPr>
          <w:rFonts w:hint="eastAsia" w:ascii="方正小标宋简体" w:hAnsi="___WRD_EMBED_SUB_49" w:eastAsia="方正小标宋简体" w:cs="___WRD_EMBED_SUB_49"/>
          <w:sz w:val="32"/>
          <w:szCs w:val="32"/>
        </w:rPr>
        <w:t>的公</w:t>
      </w:r>
      <w:r>
        <w:rPr>
          <w:rFonts w:hint="eastAsia" w:ascii="方正小标宋简体" w:hAnsi="宋体" w:eastAsia="方正小标宋简体" w:cs="宋体"/>
          <w:sz w:val="32"/>
          <w:szCs w:val="32"/>
        </w:rPr>
        <w:t>共数据开放效应研究</w:t>
      </w:r>
    </w:p>
    <w:p w14:paraId="72D0718A">
      <w:pPr>
        <w:jc w:val="center"/>
        <w:rPr>
          <w:rFonts w:hint="eastAsia" w:ascii="方正小标宋简体" w:hAnsi="等线" w:eastAsia="方正小标宋简体"/>
          <w:sz w:val="32"/>
          <w:szCs w:val="32"/>
        </w:rPr>
      </w:pPr>
      <w:r>
        <w:rPr>
          <w:rFonts w:hint="eastAsia" w:ascii="方正小标宋简体" w:hAnsi="宋体" w:eastAsia="方正小标宋简体" w:cs="宋体"/>
          <w:sz w:val="32"/>
          <w:szCs w:val="32"/>
        </w:rPr>
        <w:t>——以各地市民营企业为例</w:t>
      </w:r>
    </w:p>
    <w:p w14:paraId="41A0A8C1">
      <w:pPr>
        <w:pStyle w:val="2"/>
        <w:numPr>
          <w:ilvl w:val="0"/>
          <w:numId w:val="0"/>
        </w:numPr>
        <w:jc w:val="center"/>
        <w:rPr>
          <w:rFonts w:hint="eastAsia" w:ascii="黑体" w:hAnsi="黑体"/>
          <w:bCs w:val="0"/>
          <w:sz w:val="28"/>
          <w:szCs w:val="28"/>
        </w:rPr>
      </w:pPr>
      <w:bookmarkStart w:id="0" w:name="_Toc228914671"/>
      <w:r>
        <w:rPr>
          <w:rFonts w:hint="eastAsia" w:ascii="黑体" w:hAnsi="黑体"/>
          <w:bCs w:val="0"/>
          <w:sz w:val="28"/>
          <w:szCs w:val="28"/>
        </w:rPr>
        <w:t>摘要</w:t>
      </w:r>
      <w:bookmarkEnd w:id="0"/>
    </w:p>
    <w:p w14:paraId="673813DA">
      <w:pPr>
        <w:ind w:firstLine="480"/>
        <w:rPr>
          <w:rFonts w:hint="eastAsia"/>
        </w:rPr>
      </w:pPr>
      <w:r>
        <w:rPr>
          <w:rFonts w:hint="eastAsia"/>
        </w:rPr>
        <w:t>数据作为新型生产要素，已成为数字经济高质量发展的核心驱动力。我国将公共数据开放上升为国家战略，旨在通过破除数据壁垒、优化资源配置，释放数据要素的经济价值。然而，公共数据开放能否有效匹配企业诉求、赋能市场主体发展，其内在作用机制仍有待深入验证。本文聚焦公共数据开放对企业诉求的影响，为深化数据要素市场化改革提供经验证据。</w:t>
      </w:r>
    </w:p>
    <w:p w14:paraId="6D5E7938">
      <w:pPr>
        <w:ind w:firstLine="480"/>
        <w:rPr>
          <w:rFonts w:hint="eastAsia"/>
        </w:rPr>
      </w:pPr>
      <w:r>
        <w:rPr>
          <w:rFonts w:hint="eastAsia"/>
        </w:rPr>
        <w:t>本文基于2011—2023年中国城市层面面板数据及“地方领导留言板”文本数据，系统研究公共数据开放对企业诉求的影响及其作用机制。研究首先利用爬虫技术获取超过300万条留言数据，并结合大语言模型识别出5.77万条民营企业诉求文本，构建企业诉求指标；在此基础上，将公共数据开放平台上线视为准自然实验，采用双重机器学习（DML）方法，结合随机森林等算法识别其因果效应，并进行稳健性与异质性检验。同时，从金融服务、人力要素、市场环境、社会服务及创新环境五个维度构建营商环境指标体系，检验其中介作用机制。</w:t>
      </w:r>
    </w:p>
    <w:p w14:paraId="5C5D502E">
      <w:pPr>
        <w:ind w:firstLine="480"/>
        <w:rPr>
          <w:rFonts w:hint="eastAsia"/>
        </w:rPr>
      </w:pPr>
      <w:r>
        <w:rPr>
          <w:rFonts w:hint="eastAsia"/>
        </w:rPr>
        <w:t>研究结果表明：（1）公共数据开放显著促进企业诉求表达，降低政企信息不对称，提升企业参与治理的积极性；（</w:t>
      </w:r>
      <w:r>
        <w:rPr>
          <w:rFonts w:hint="eastAsia"/>
          <w:lang w:val="en-US" w:eastAsia="zh-CN"/>
        </w:rPr>
        <w:t>2</w:t>
      </w:r>
      <w:r>
        <w:rPr>
          <w:rFonts w:hint="eastAsia"/>
        </w:rPr>
        <w:t>）异质性分析表明，该效应存在显著区域异质性，在东北和中部地区作用最为显著，西部次之，东部地区边际效应相对较弱；（</w:t>
      </w:r>
      <w:r>
        <w:rPr>
          <w:rFonts w:hint="eastAsia"/>
          <w:lang w:val="en-US" w:eastAsia="zh-CN"/>
        </w:rPr>
        <w:t>3</w:t>
      </w:r>
      <w:r>
        <w:rPr>
          <w:rFonts w:hint="eastAsia"/>
        </w:rPr>
        <w:t>）机制分析表明，营商环境在公共数据开放与企业诉求之间发挥重要中介作用，即数据开放通过优化营商环境间接缓解企业经营约束。</w:t>
      </w:r>
    </w:p>
    <w:p w14:paraId="02D9D1DA">
      <w:pPr>
        <w:ind w:firstLine="480"/>
        <w:rPr>
          <w:rFonts w:hint="eastAsia"/>
        </w:rPr>
      </w:pPr>
      <w:r>
        <w:rPr>
          <w:rFonts w:hint="eastAsia"/>
        </w:rPr>
        <w:t>本文的创新点主要体现在：一是基于大规模真实文本数据引入大语言模型</w:t>
      </w:r>
      <w:r>
        <w:rPr>
          <w:rFonts w:hint="eastAsia"/>
          <w:lang w:val="en-US" w:eastAsia="zh-CN"/>
        </w:rPr>
        <w:t>识别</w:t>
      </w:r>
      <w:r>
        <w:rPr>
          <w:rFonts w:hint="eastAsia"/>
        </w:rPr>
        <w:t>企业诉求，</w:t>
      </w:r>
      <w:r>
        <w:rPr>
          <w:rFonts w:hint="eastAsia"/>
          <w:lang w:val="en-US" w:eastAsia="zh-CN"/>
        </w:rPr>
        <w:t>在</w:t>
      </w:r>
      <w:r>
        <w:rPr>
          <w:rFonts w:hint="eastAsia"/>
        </w:rPr>
        <w:t>提升研究真实性</w:t>
      </w:r>
      <w:r>
        <w:rPr>
          <w:rFonts w:hint="eastAsia"/>
          <w:lang w:val="en-US" w:eastAsia="zh-CN"/>
        </w:rPr>
        <w:t>的同时</w:t>
      </w:r>
      <w:r>
        <w:rPr>
          <w:rFonts w:hint="eastAsia"/>
        </w:rPr>
        <w:t>实现变量构建方法创新；</w:t>
      </w:r>
      <w:r>
        <w:rPr>
          <w:rFonts w:hint="eastAsia"/>
          <w:lang w:val="en-US" w:eastAsia="zh-CN"/>
        </w:rPr>
        <w:t>二</w:t>
      </w:r>
      <w:r>
        <w:rPr>
          <w:rFonts w:hint="eastAsia"/>
        </w:rPr>
        <w:t>是采用双重机器学习方法处理高维控制变量与非线性关系，提高因果推断的稳健性；</w:t>
      </w:r>
      <w:r>
        <w:rPr>
          <w:rFonts w:hint="eastAsia"/>
          <w:lang w:val="en-US" w:eastAsia="zh-CN"/>
        </w:rPr>
        <w:t>三</w:t>
      </w:r>
      <w:r>
        <w:rPr>
          <w:rFonts w:hint="eastAsia"/>
        </w:rPr>
        <w:t>是从营商环境视角系统揭示公共数据开放的作用</w:t>
      </w:r>
      <w:r>
        <w:rPr>
          <w:rFonts w:hint="eastAsia"/>
          <w:lang w:val="en-US" w:eastAsia="zh-CN"/>
        </w:rPr>
        <w:t>传导</w:t>
      </w:r>
      <w:r>
        <w:rPr>
          <w:rFonts w:hint="eastAsia"/>
        </w:rPr>
        <w:t>机制。研究结论为推进公共数据开放与优化营商环境提供了实证依据和政策启示。</w:t>
      </w:r>
    </w:p>
    <w:p w14:paraId="1D28869A">
      <w:pPr>
        <w:ind w:firstLine="480"/>
        <w:rPr>
          <w:rFonts w:hint="eastAsia" w:ascii="宋体" w:hAnsi="宋体"/>
          <w:szCs w:val="24"/>
        </w:rPr>
      </w:pPr>
      <w:r>
        <w:rPr>
          <w:rFonts w:hint="eastAsia" w:ascii="黑体" w:hAnsi="黑体" w:eastAsia="黑体"/>
          <w:szCs w:val="24"/>
        </w:rPr>
        <w:t>关键词：</w:t>
      </w:r>
      <w:r>
        <w:rPr>
          <w:rFonts w:hint="eastAsia" w:ascii="宋体" w:hAnsi="宋体"/>
          <w:szCs w:val="24"/>
        </w:rPr>
        <w:t>公共数据开放；企业诉求；大语言模型；双重机器学习；营商环境</w:t>
      </w:r>
    </w:p>
    <w:p w14:paraId="36C09232">
      <w:pPr>
        <w:ind w:firstLine="0" w:firstLineChars="0"/>
        <w:rPr>
          <w:rFonts w:hint="eastAsia" w:ascii="宋体" w:hAnsi="宋体"/>
          <w:szCs w:val="24"/>
        </w:rPr>
      </w:pPr>
      <w:r>
        <w:rPr>
          <w:rFonts w:hint="eastAsia" w:ascii="宋体" w:hAnsi="宋体"/>
          <w:szCs w:val="24"/>
        </w:rPr>
        <w:br w:type="page"/>
      </w:r>
    </w:p>
    <w:sdt>
      <w:sdtPr>
        <w:rPr>
          <w:rFonts w:asciiTheme="minorHAnsi" w:hAnsiTheme="minorHAnsi" w:eastAsiaTheme="minorEastAsia"/>
          <w:sz w:val="21"/>
          <w:lang w:val="zh-CN"/>
        </w:rPr>
        <w:id w:val="-1"/>
        <w:docPartObj>
          <w:docPartGallery w:val="Table of Contents"/>
          <w:docPartUnique/>
        </w:docPartObj>
      </w:sdtPr>
      <w:sdtEndPr>
        <w:rPr>
          <w:rFonts w:ascii="宋体" w:hAnsi="宋体" w:eastAsia="宋体"/>
          <w:b/>
          <w:bCs/>
          <w:sz w:val="24"/>
          <w:szCs w:val="24"/>
          <w:lang w:val="zh-CN"/>
        </w:rPr>
      </w:sdtEndPr>
      <w:sdtContent>
        <w:p w14:paraId="14B55040">
          <w:pPr>
            <w:ind w:firstLine="420"/>
            <w:jc w:val="center"/>
            <w:rPr>
              <w:rStyle w:val="32"/>
              <w:rFonts w:hint="eastAsia" w:ascii="黑体" w:hAnsi="黑体"/>
              <w:bCs w:val="0"/>
              <w:color w:val="000000" w:themeColor="text1"/>
              <w:sz w:val="28"/>
              <w:szCs w:val="28"/>
              <w14:textFill>
                <w14:solidFill>
                  <w14:schemeClr w14:val="tx1"/>
                </w14:solidFill>
              </w14:textFill>
            </w:rPr>
          </w:pPr>
          <w:r>
            <w:rPr>
              <w:rStyle w:val="32"/>
              <w:rFonts w:ascii="黑体" w:hAnsi="黑体"/>
              <w:bCs w:val="0"/>
              <w:color w:val="000000" w:themeColor="text1"/>
              <w:sz w:val="28"/>
              <w:szCs w:val="28"/>
              <w14:textFill>
                <w14:solidFill>
                  <w14:schemeClr w14:val="tx1"/>
                </w14:solidFill>
              </w14:textFill>
            </w:rPr>
            <w:t>目录</w:t>
          </w:r>
        </w:p>
        <w:p w14:paraId="244BCE3D">
          <w:pPr>
            <w:pStyle w:val="17"/>
            <w:tabs>
              <w:tab w:val="right" w:leader="dot" w:pos="8296"/>
            </w:tabs>
            <w:ind w:firstLine="0" w:firstLineChars="0"/>
            <w:rPr>
              <w:rFonts w:cs="Times New Roman"/>
              <w:sz w:val="22"/>
              <w:szCs w:val="24"/>
              <w14:ligatures w14:val="standardContextual"/>
            </w:rPr>
          </w:pPr>
          <w:r>
            <w:rPr>
              <w:rFonts w:cs="Times New Roman"/>
              <w:szCs w:val="24"/>
            </w:rPr>
            <w:fldChar w:fldCharType="begin"/>
          </w:r>
          <w:r>
            <w:rPr>
              <w:rFonts w:cs="Times New Roman"/>
              <w:szCs w:val="24"/>
            </w:rPr>
            <w:instrText xml:space="preserve"> TOC \o "1-3" \h \z \u </w:instrText>
          </w:r>
          <w:r>
            <w:rPr>
              <w:rFonts w:cs="Times New Roman"/>
              <w:szCs w:val="24"/>
            </w:rPr>
            <w:fldChar w:fldCharType="separate"/>
          </w:r>
          <w:r>
            <w:fldChar w:fldCharType="begin"/>
          </w:r>
          <w:r>
            <w:instrText xml:space="preserve"> HYPERLINK \l "_Toc228914671" </w:instrText>
          </w:r>
          <w:r>
            <w:fldChar w:fldCharType="separate"/>
          </w:r>
          <w:r>
            <w:rPr>
              <w:rStyle w:val="26"/>
              <w:rFonts w:cs="Times New Roman"/>
            </w:rPr>
            <w:t>摘要</w:t>
          </w:r>
          <w:r>
            <w:rPr>
              <w:rFonts w:cs="Times New Roman"/>
            </w:rPr>
            <w:tab/>
          </w:r>
          <w:r>
            <w:rPr>
              <w:rFonts w:cs="Times New Roman"/>
            </w:rPr>
            <w:fldChar w:fldCharType="begin"/>
          </w:r>
          <w:r>
            <w:rPr>
              <w:rFonts w:cs="Times New Roman"/>
            </w:rPr>
            <w:instrText xml:space="preserve"> PAGEREF _Toc228914671 \h </w:instrText>
          </w:r>
          <w:r>
            <w:rPr>
              <w:rFonts w:cs="Times New Roman"/>
            </w:rPr>
            <w:fldChar w:fldCharType="separate"/>
          </w:r>
          <w:r>
            <w:rPr>
              <w:rFonts w:cs="Times New Roman"/>
            </w:rPr>
            <w:t>II</w:t>
          </w:r>
          <w:r>
            <w:rPr>
              <w:rFonts w:cs="Times New Roman"/>
            </w:rPr>
            <w:fldChar w:fldCharType="end"/>
          </w:r>
          <w:r>
            <w:rPr>
              <w:rFonts w:cs="Times New Roman"/>
            </w:rPr>
            <w:fldChar w:fldCharType="end"/>
          </w:r>
        </w:p>
        <w:p w14:paraId="0B33C10C">
          <w:pPr>
            <w:pStyle w:val="17"/>
            <w:tabs>
              <w:tab w:val="right" w:leader="dot" w:pos="8296"/>
            </w:tabs>
            <w:ind w:firstLine="0" w:firstLineChars="0"/>
            <w:rPr>
              <w:rFonts w:cs="Times New Roman"/>
              <w:sz w:val="22"/>
              <w:szCs w:val="24"/>
              <w14:ligatures w14:val="standardContextual"/>
            </w:rPr>
          </w:pPr>
          <w:r>
            <w:fldChar w:fldCharType="begin"/>
          </w:r>
          <w:r>
            <w:instrText xml:space="preserve"> HYPERLINK \l "_Toc228914672" </w:instrText>
          </w:r>
          <w:r>
            <w:fldChar w:fldCharType="separate"/>
          </w:r>
          <w:r>
            <w:rPr>
              <w:rStyle w:val="26"/>
              <w:rFonts w:cs="Times New Roman"/>
            </w:rPr>
            <w:t>表格与插图清单</w:t>
          </w:r>
          <w:r>
            <w:rPr>
              <w:rFonts w:cs="Times New Roman"/>
            </w:rPr>
            <w:tab/>
          </w:r>
          <w:r>
            <w:rPr>
              <w:rFonts w:cs="Times New Roman"/>
            </w:rPr>
            <w:fldChar w:fldCharType="begin"/>
          </w:r>
          <w:r>
            <w:rPr>
              <w:rFonts w:cs="Times New Roman"/>
            </w:rPr>
            <w:instrText xml:space="preserve"> PAGEREF _Toc228914672 \h </w:instrText>
          </w:r>
          <w:r>
            <w:rPr>
              <w:rFonts w:cs="Times New Roman"/>
            </w:rPr>
            <w:fldChar w:fldCharType="separate"/>
          </w:r>
          <w:r>
            <w:rPr>
              <w:rFonts w:cs="Times New Roman"/>
            </w:rPr>
            <w:t>V</w:t>
          </w:r>
          <w:r>
            <w:rPr>
              <w:rFonts w:cs="Times New Roman"/>
            </w:rPr>
            <w:fldChar w:fldCharType="end"/>
          </w:r>
          <w:r>
            <w:rPr>
              <w:rFonts w:cs="Times New Roman"/>
            </w:rPr>
            <w:fldChar w:fldCharType="end"/>
          </w:r>
        </w:p>
        <w:p w14:paraId="5B819664">
          <w:pPr>
            <w:pStyle w:val="17"/>
            <w:tabs>
              <w:tab w:val="right" w:leader="dot" w:pos="8296"/>
            </w:tabs>
            <w:ind w:firstLine="0" w:firstLineChars="0"/>
            <w:rPr>
              <w:rFonts w:cs="Times New Roman"/>
              <w:sz w:val="22"/>
              <w:szCs w:val="24"/>
              <w14:ligatures w14:val="standardContextual"/>
            </w:rPr>
          </w:pPr>
          <w:r>
            <w:fldChar w:fldCharType="begin"/>
          </w:r>
          <w:r>
            <w:instrText xml:space="preserve"> HYPERLINK \l "_Toc228914673" </w:instrText>
          </w:r>
          <w:r>
            <w:fldChar w:fldCharType="separate"/>
          </w:r>
          <w:r>
            <w:rPr>
              <w:rStyle w:val="26"/>
              <w:rFonts w:cs="Times New Roman"/>
            </w:rPr>
            <w:t>一、 绪论</w:t>
          </w:r>
          <w:r>
            <w:rPr>
              <w:rFonts w:cs="Times New Roman"/>
            </w:rPr>
            <w:tab/>
          </w:r>
          <w:r>
            <w:rPr>
              <w:rFonts w:cs="Times New Roman"/>
            </w:rPr>
            <w:fldChar w:fldCharType="begin"/>
          </w:r>
          <w:r>
            <w:rPr>
              <w:rFonts w:cs="Times New Roman"/>
            </w:rPr>
            <w:instrText xml:space="preserve"> PAGEREF _Toc228914673 \h </w:instrText>
          </w:r>
          <w:r>
            <w:rPr>
              <w:rFonts w:cs="Times New Roman"/>
            </w:rPr>
            <w:fldChar w:fldCharType="separate"/>
          </w:r>
          <w:r>
            <w:rPr>
              <w:rFonts w:cs="Times New Roman"/>
            </w:rPr>
            <w:t>6</w:t>
          </w:r>
          <w:r>
            <w:rPr>
              <w:rFonts w:cs="Times New Roman"/>
            </w:rPr>
            <w:fldChar w:fldCharType="end"/>
          </w:r>
          <w:r>
            <w:rPr>
              <w:rFonts w:cs="Times New Roman"/>
            </w:rPr>
            <w:fldChar w:fldCharType="end"/>
          </w:r>
        </w:p>
        <w:p w14:paraId="15735A8A">
          <w:pPr>
            <w:pStyle w:val="19"/>
            <w:ind w:left="480" w:firstLine="0" w:firstLineChars="0"/>
            <w:rPr>
              <w:rFonts w:cs="Times New Roman"/>
              <w:sz w:val="22"/>
              <w:szCs w:val="24"/>
              <w14:ligatures w14:val="standardContextual"/>
            </w:rPr>
          </w:pPr>
          <w:r>
            <w:fldChar w:fldCharType="begin"/>
          </w:r>
          <w:r>
            <w:instrText xml:space="preserve"> HYPERLINK \l "_Toc228914674" </w:instrText>
          </w:r>
          <w:r>
            <w:fldChar w:fldCharType="separate"/>
          </w:r>
          <w:r>
            <w:rPr>
              <w:rStyle w:val="26"/>
              <w:rFonts w:cs="Times New Roman"/>
              <w:lang w:eastAsia="zh"/>
            </w:rPr>
            <w:t>（一） 研究背景与意义</w:t>
          </w:r>
          <w:r>
            <w:rPr>
              <w:rFonts w:cs="Times New Roman"/>
            </w:rPr>
            <w:tab/>
          </w:r>
          <w:r>
            <w:rPr>
              <w:rFonts w:cs="Times New Roman"/>
            </w:rPr>
            <w:fldChar w:fldCharType="begin"/>
          </w:r>
          <w:r>
            <w:rPr>
              <w:rFonts w:cs="Times New Roman"/>
            </w:rPr>
            <w:instrText xml:space="preserve"> PAGEREF _Toc228914674 \h </w:instrText>
          </w:r>
          <w:r>
            <w:rPr>
              <w:rFonts w:cs="Times New Roman"/>
            </w:rPr>
            <w:fldChar w:fldCharType="separate"/>
          </w:r>
          <w:r>
            <w:rPr>
              <w:rFonts w:cs="Times New Roman"/>
            </w:rPr>
            <w:t>6</w:t>
          </w:r>
          <w:r>
            <w:rPr>
              <w:rFonts w:cs="Times New Roman"/>
            </w:rPr>
            <w:fldChar w:fldCharType="end"/>
          </w:r>
          <w:r>
            <w:rPr>
              <w:rFonts w:cs="Times New Roman"/>
            </w:rPr>
            <w:fldChar w:fldCharType="end"/>
          </w:r>
        </w:p>
        <w:p w14:paraId="05651C4E">
          <w:pPr>
            <w:pStyle w:val="19"/>
            <w:ind w:left="480" w:firstLine="0" w:firstLineChars="0"/>
            <w:rPr>
              <w:rFonts w:cs="Times New Roman"/>
              <w:sz w:val="22"/>
              <w:szCs w:val="24"/>
              <w14:ligatures w14:val="standardContextual"/>
            </w:rPr>
          </w:pPr>
          <w:r>
            <w:fldChar w:fldCharType="begin"/>
          </w:r>
          <w:r>
            <w:instrText xml:space="preserve"> HYPERLINK \l "_Toc228914675" </w:instrText>
          </w:r>
          <w:r>
            <w:fldChar w:fldCharType="separate"/>
          </w:r>
          <w:r>
            <w:rPr>
              <w:rStyle w:val="26"/>
              <w:rFonts w:cs="Times New Roman"/>
              <w:lang w:eastAsia="zh"/>
            </w:rPr>
            <w:t>（二） 研究创新点</w:t>
          </w:r>
          <w:r>
            <w:rPr>
              <w:rFonts w:cs="Times New Roman"/>
            </w:rPr>
            <w:tab/>
          </w:r>
          <w:r>
            <w:rPr>
              <w:rFonts w:cs="Times New Roman"/>
            </w:rPr>
            <w:fldChar w:fldCharType="begin"/>
          </w:r>
          <w:r>
            <w:rPr>
              <w:rFonts w:cs="Times New Roman"/>
            </w:rPr>
            <w:instrText xml:space="preserve"> PAGEREF _Toc228914675 \h </w:instrText>
          </w:r>
          <w:r>
            <w:rPr>
              <w:rFonts w:cs="Times New Roman"/>
            </w:rPr>
            <w:fldChar w:fldCharType="separate"/>
          </w:r>
          <w:r>
            <w:rPr>
              <w:rFonts w:cs="Times New Roman"/>
            </w:rPr>
            <w:t>7</w:t>
          </w:r>
          <w:r>
            <w:rPr>
              <w:rFonts w:cs="Times New Roman"/>
            </w:rPr>
            <w:fldChar w:fldCharType="end"/>
          </w:r>
          <w:r>
            <w:rPr>
              <w:rFonts w:cs="Times New Roman"/>
            </w:rPr>
            <w:fldChar w:fldCharType="end"/>
          </w:r>
        </w:p>
        <w:p w14:paraId="12FB8A58">
          <w:pPr>
            <w:pStyle w:val="19"/>
            <w:ind w:left="480" w:firstLine="0" w:firstLineChars="0"/>
            <w:rPr>
              <w:rFonts w:cs="Times New Roman"/>
              <w:sz w:val="22"/>
              <w:szCs w:val="24"/>
              <w14:ligatures w14:val="standardContextual"/>
            </w:rPr>
          </w:pPr>
          <w:r>
            <w:fldChar w:fldCharType="begin"/>
          </w:r>
          <w:r>
            <w:instrText xml:space="preserve"> HYPERLINK \l "_Toc228914676" </w:instrText>
          </w:r>
          <w:r>
            <w:fldChar w:fldCharType="separate"/>
          </w:r>
          <w:r>
            <w:rPr>
              <w:rStyle w:val="26"/>
              <w:rFonts w:cs="Times New Roman"/>
            </w:rPr>
            <w:t>（三）</w:t>
          </w:r>
          <w:r>
            <w:rPr>
              <w:rStyle w:val="26"/>
              <w:rFonts w:cs="Times New Roman"/>
              <w:b/>
              <w:bCs/>
            </w:rPr>
            <w:t xml:space="preserve"> </w:t>
          </w:r>
          <w:r>
            <w:rPr>
              <w:rStyle w:val="26"/>
              <w:rFonts w:cs="Times New Roman"/>
            </w:rPr>
            <w:t>研究思路</w:t>
          </w:r>
          <w:r>
            <w:rPr>
              <w:rFonts w:cs="Times New Roman"/>
            </w:rPr>
            <w:tab/>
          </w:r>
          <w:r>
            <w:rPr>
              <w:rFonts w:cs="Times New Roman"/>
            </w:rPr>
            <w:fldChar w:fldCharType="begin"/>
          </w:r>
          <w:r>
            <w:rPr>
              <w:rFonts w:cs="Times New Roman"/>
            </w:rPr>
            <w:instrText xml:space="preserve"> PAGEREF _Toc228914676 \h </w:instrText>
          </w:r>
          <w:r>
            <w:rPr>
              <w:rFonts w:cs="Times New Roman"/>
            </w:rPr>
            <w:fldChar w:fldCharType="separate"/>
          </w:r>
          <w:r>
            <w:rPr>
              <w:rFonts w:cs="Times New Roman"/>
            </w:rPr>
            <w:t>8</w:t>
          </w:r>
          <w:r>
            <w:rPr>
              <w:rFonts w:cs="Times New Roman"/>
            </w:rPr>
            <w:fldChar w:fldCharType="end"/>
          </w:r>
          <w:r>
            <w:rPr>
              <w:rFonts w:cs="Times New Roman"/>
            </w:rPr>
            <w:fldChar w:fldCharType="end"/>
          </w:r>
        </w:p>
        <w:p w14:paraId="56F719AD">
          <w:pPr>
            <w:pStyle w:val="17"/>
            <w:tabs>
              <w:tab w:val="right" w:leader="dot" w:pos="8296"/>
            </w:tabs>
            <w:ind w:firstLine="0" w:firstLineChars="0"/>
            <w:rPr>
              <w:rFonts w:cs="Times New Roman"/>
              <w:sz w:val="22"/>
              <w:szCs w:val="24"/>
              <w14:ligatures w14:val="standardContextual"/>
            </w:rPr>
          </w:pPr>
          <w:r>
            <w:fldChar w:fldCharType="begin"/>
          </w:r>
          <w:r>
            <w:instrText xml:space="preserve"> HYPERLINK \l "_Toc228914677" </w:instrText>
          </w:r>
          <w:r>
            <w:fldChar w:fldCharType="separate"/>
          </w:r>
          <w:r>
            <w:rPr>
              <w:rStyle w:val="26"/>
              <w:rFonts w:cs="Times New Roman"/>
            </w:rPr>
            <w:t>二、 文献综述</w:t>
          </w:r>
          <w:r>
            <w:rPr>
              <w:rFonts w:cs="Times New Roman"/>
            </w:rPr>
            <w:tab/>
          </w:r>
          <w:r>
            <w:rPr>
              <w:rFonts w:cs="Times New Roman"/>
            </w:rPr>
            <w:fldChar w:fldCharType="begin"/>
          </w:r>
          <w:r>
            <w:rPr>
              <w:rFonts w:cs="Times New Roman"/>
            </w:rPr>
            <w:instrText xml:space="preserve"> PAGEREF _Toc228914677 \h </w:instrText>
          </w:r>
          <w:r>
            <w:rPr>
              <w:rFonts w:cs="Times New Roman"/>
            </w:rPr>
            <w:fldChar w:fldCharType="separate"/>
          </w:r>
          <w:r>
            <w:rPr>
              <w:rFonts w:cs="Times New Roman"/>
            </w:rPr>
            <w:t>8</w:t>
          </w:r>
          <w:r>
            <w:rPr>
              <w:rFonts w:cs="Times New Roman"/>
            </w:rPr>
            <w:fldChar w:fldCharType="end"/>
          </w:r>
          <w:r>
            <w:rPr>
              <w:rFonts w:cs="Times New Roman"/>
            </w:rPr>
            <w:fldChar w:fldCharType="end"/>
          </w:r>
        </w:p>
        <w:p w14:paraId="60A0D52B">
          <w:pPr>
            <w:pStyle w:val="19"/>
            <w:ind w:left="480" w:firstLine="0" w:firstLineChars="0"/>
            <w:rPr>
              <w:rFonts w:cs="Times New Roman"/>
              <w:sz w:val="22"/>
              <w:szCs w:val="24"/>
              <w14:ligatures w14:val="standardContextual"/>
            </w:rPr>
          </w:pPr>
          <w:r>
            <w:fldChar w:fldCharType="begin"/>
          </w:r>
          <w:r>
            <w:instrText xml:space="preserve"> HYPERLINK \l "_Toc228914678" </w:instrText>
          </w:r>
          <w:r>
            <w:fldChar w:fldCharType="separate"/>
          </w:r>
          <w:r>
            <w:rPr>
              <w:rStyle w:val="26"/>
              <w:rFonts w:cs="Times New Roman"/>
            </w:rPr>
            <w:t>（一） 公共数据开放相关研究</w:t>
          </w:r>
          <w:r>
            <w:rPr>
              <w:rFonts w:cs="Times New Roman"/>
            </w:rPr>
            <w:tab/>
          </w:r>
          <w:r>
            <w:rPr>
              <w:rFonts w:cs="Times New Roman"/>
            </w:rPr>
            <w:fldChar w:fldCharType="begin"/>
          </w:r>
          <w:r>
            <w:rPr>
              <w:rFonts w:cs="Times New Roman"/>
            </w:rPr>
            <w:instrText xml:space="preserve"> PAGEREF _Toc228914678 \h </w:instrText>
          </w:r>
          <w:r>
            <w:rPr>
              <w:rFonts w:cs="Times New Roman"/>
            </w:rPr>
            <w:fldChar w:fldCharType="separate"/>
          </w:r>
          <w:r>
            <w:rPr>
              <w:rFonts w:cs="Times New Roman"/>
            </w:rPr>
            <w:t>8</w:t>
          </w:r>
          <w:r>
            <w:rPr>
              <w:rFonts w:cs="Times New Roman"/>
            </w:rPr>
            <w:fldChar w:fldCharType="end"/>
          </w:r>
          <w:r>
            <w:rPr>
              <w:rFonts w:cs="Times New Roman"/>
            </w:rPr>
            <w:fldChar w:fldCharType="end"/>
          </w:r>
        </w:p>
        <w:p w14:paraId="151EABDD">
          <w:pPr>
            <w:pStyle w:val="19"/>
            <w:ind w:left="480" w:firstLine="0" w:firstLineChars="0"/>
            <w:rPr>
              <w:rFonts w:cs="Times New Roman"/>
              <w:sz w:val="22"/>
              <w:szCs w:val="24"/>
              <w14:ligatures w14:val="standardContextual"/>
            </w:rPr>
          </w:pPr>
          <w:r>
            <w:fldChar w:fldCharType="begin"/>
          </w:r>
          <w:r>
            <w:instrText xml:space="preserve"> HYPERLINK \l "_Toc228914679" </w:instrText>
          </w:r>
          <w:r>
            <w:fldChar w:fldCharType="separate"/>
          </w:r>
          <w:r>
            <w:rPr>
              <w:rStyle w:val="26"/>
              <w:rFonts w:cs="Times New Roman"/>
            </w:rPr>
            <w:t>（二） 企业诉求相关研究</w:t>
          </w:r>
          <w:r>
            <w:rPr>
              <w:rFonts w:cs="Times New Roman"/>
            </w:rPr>
            <w:tab/>
          </w:r>
          <w:r>
            <w:rPr>
              <w:rFonts w:cs="Times New Roman"/>
            </w:rPr>
            <w:fldChar w:fldCharType="begin"/>
          </w:r>
          <w:r>
            <w:rPr>
              <w:rFonts w:cs="Times New Roman"/>
            </w:rPr>
            <w:instrText xml:space="preserve"> PAGEREF _Toc228914679 \h </w:instrText>
          </w:r>
          <w:r>
            <w:rPr>
              <w:rFonts w:cs="Times New Roman"/>
            </w:rPr>
            <w:fldChar w:fldCharType="separate"/>
          </w:r>
          <w:r>
            <w:rPr>
              <w:rFonts w:cs="Times New Roman"/>
            </w:rPr>
            <w:t>9</w:t>
          </w:r>
          <w:r>
            <w:rPr>
              <w:rFonts w:cs="Times New Roman"/>
            </w:rPr>
            <w:fldChar w:fldCharType="end"/>
          </w:r>
          <w:r>
            <w:rPr>
              <w:rFonts w:cs="Times New Roman"/>
            </w:rPr>
            <w:fldChar w:fldCharType="end"/>
          </w:r>
        </w:p>
        <w:p w14:paraId="54B3FD93">
          <w:pPr>
            <w:pStyle w:val="19"/>
            <w:ind w:left="480" w:firstLine="0" w:firstLineChars="0"/>
            <w:rPr>
              <w:rFonts w:cs="Times New Roman"/>
              <w:sz w:val="22"/>
              <w:szCs w:val="24"/>
              <w14:ligatures w14:val="standardContextual"/>
            </w:rPr>
          </w:pPr>
          <w:r>
            <w:fldChar w:fldCharType="begin"/>
          </w:r>
          <w:r>
            <w:instrText xml:space="preserve"> HYPERLINK \l "_Toc228914680" </w:instrText>
          </w:r>
          <w:r>
            <w:fldChar w:fldCharType="separate"/>
          </w:r>
          <w:r>
            <w:rPr>
              <w:rStyle w:val="26"/>
              <w:rFonts w:cs="Times New Roman"/>
            </w:rPr>
            <w:t>（三） 双重机器学习相关研究</w:t>
          </w:r>
          <w:r>
            <w:rPr>
              <w:rFonts w:cs="Times New Roman"/>
            </w:rPr>
            <w:tab/>
          </w:r>
          <w:r>
            <w:rPr>
              <w:rFonts w:cs="Times New Roman"/>
            </w:rPr>
            <w:fldChar w:fldCharType="begin"/>
          </w:r>
          <w:r>
            <w:rPr>
              <w:rFonts w:cs="Times New Roman"/>
            </w:rPr>
            <w:instrText xml:space="preserve"> PAGEREF _Toc228914680 \h </w:instrText>
          </w:r>
          <w:r>
            <w:rPr>
              <w:rFonts w:cs="Times New Roman"/>
            </w:rPr>
            <w:fldChar w:fldCharType="separate"/>
          </w:r>
          <w:r>
            <w:rPr>
              <w:rFonts w:cs="Times New Roman"/>
            </w:rPr>
            <w:t>9</w:t>
          </w:r>
          <w:r>
            <w:rPr>
              <w:rFonts w:cs="Times New Roman"/>
            </w:rPr>
            <w:fldChar w:fldCharType="end"/>
          </w:r>
          <w:r>
            <w:rPr>
              <w:rFonts w:cs="Times New Roman"/>
            </w:rPr>
            <w:fldChar w:fldCharType="end"/>
          </w:r>
        </w:p>
        <w:p w14:paraId="1813C466">
          <w:pPr>
            <w:pStyle w:val="19"/>
            <w:ind w:left="480" w:firstLine="0" w:firstLineChars="0"/>
            <w:rPr>
              <w:rFonts w:cs="Times New Roman"/>
              <w:sz w:val="22"/>
              <w:szCs w:val="24"/>
              <w14:ligatures w14:val="standardContextual"/>
            </w:rPr>
          </w:pPr>
          <w:r>
            <w:fldChar w:fldCharType="begin"/>
          </w:r>
          <w:r>
            <w:instrText xml:space="preserve"> HYPERLINK \l "_Toc228914681" </w:instrText>
          </w:r>
          <w:r>
            <w:fldChar w:fldCharType="separate"/>
          </w:r>
          <w:r>
            <w:rPr>
              <w:rStyle w:val="26"/>
              <w:rFonts w:cs="Times New Roman"/>
            </w:rPr>
            <w:t>（四） 国内外相关研究述评</w:t>
          </w:r>
          <w:r>
            <w:rPr>
              <w:rFonts w:cs="Times New Roman"/>
            </w:rPr>
            <w:tab/>
          </w:r>
          <w:r>
            <w:rPr>
              <w:rFonts w:cs="Times New Roman"/>
            </w:rPr>
            <w:fldChar w:fldCharType="begin"/>
          </w:r>
          <w:r>
            <w:rPr>
              <w:rFonts w:cs="Times New Roman"/>
            </w:rPr>
            <w:instrText xml:space="preserve"> PAGEREF _Toc228914681 \h </w:instrText>
          </w:r>
          <w:r>
            <w:rPr>
              <w:rFonts w:cs="Times New Roman"/>
            </w:rPr>
            <w:fldChar w:fldCharType="separate"/>
          </w:r>
          <w:r>
            <w:rPr>
              <w:rFonts w:cs="Times New Roman"/>
            </w:rPr>
            <w:t>10</w:t>
          </w:r>
          <w:r>
            <w:rPr>
              <w:rFonts w:cs="Times New Roman"/>
            </w:rPr>
            <w:fldChar w:fldCharType="end"/>
          </w:r>
          <w:r>
            <w:rPr>
              <w:rFonts w:cs="Times New Roman"/>
            </w:rPr>
            <w:fldChar w:fldCharType="end"/>
          </w:r>
        </w:p>
        <w:p w14:paraId="49624848">
          <w:pPr>
            <w:pStyle w:val="17"/>
            <w:tabs>
              <w:tab w:val="right" w:leader="dot" w:pos="8296"/>
            </w:tabs>
            <w:ind w:firstLine="0" w:firstLineChars="0"/>
            <w:rPr>
              <w:rFonts w:cs="Times New Roman"/>
              <w:sz w:val="22"/>
              <w:szCs w:val="24"/>
              <w14:ligatures w14:val="standardContextual"/>
            </w:rPr>
          </w:pPr>
          <w:r>
            <w:fldChar w:fldCharType="begin"/>
          </w:r>
          <w:r>
            <w:instrText xml:space="preserve"> HYPERLINK \l "_Toc228914682" </w:instrText>
          </w:r>
          <w:r>
            <w:fldChar w:fldCharType="separate"/>
          </w:r>
          <w:r>
            <w:rPr>
              <w:rStyle w:val="26"/>
              <w:rFonts w:cs="Times New Roman"/>
            </w:rPr>
            <w:t>三、 理论分析和模型假设</w:t>
          </w:r>
          <w:r>
            <w:rPr>
              <w:rFonts w:cs="Times New Roman"/>
            </w:rPr>
            <w:tab/>
          </w:r>
          <w:r>
            <w:rPr>
              <w:rFonts w:cs="Times New Roman"/>
            </w:rPr>
            <w:fldChar w:fldCharType="begin"/>
          </w:r>
          <w:r>
            <w:rPr>
              <w:rFonts w:cs="Times New Roman"/>
            </w:rPr>
            <w:instrText xml:space="preserve"> PAGEREF _Toc228914682 \h </w:instrText>
          </w:r>
          <w:r>
            <w:rPr>
              <w:rFonts w:cs="Times New Roman"/>
            </w:rPr>
            <w:fldChar w:fldCharType="separate"/>
          </w:r>
          <w:r>
            <w:rPr>
              <w:rFonts w:cs="Times New Roman"/>
            </w:rPr>
            <w:t>11</w:t>
          </w:r>
          <w:r>
            <w:rPr>
              <w:rFonts w:cs="Times New Roman"/>
            </w:rPr>
            <w:fldChar w:fldCharType="end"/>
          </w:r>
          <w:r>
            <w:rPr>
              <w:rFonts w:cs="Times New Roman"/>
            </w:rPr>
            <w:fldChar w:fldCharType="end"/>
          </w:r>
        </w:p>
        <w:p w14:paraId="5A7BDA15">
          <w:pPr>
            <w:pStyle w:val="17"/>
            <w:tabs>
              <w:tab w:val="right" w:leader="dot" w:pos="8296"/>
            </w:tabs>
            <w:ind w:firstLine="0" w:firstLineChars="0"/>
            <w:rPr>
              <w:rFonts w:cs="Times New Roman"/>
              <w:sz w:val="22"/>
              <w:szCs w:val="24"/>
              <w14:ligatures w14:val="standardContextual"/>
            </w:rPr>
          </w:pPr>
          <w:r>
            <w:fldChar w:fldCharType="begin"/>
          </w:r>
          <w:r>
            <w:instrText xml:space="preserve"> HYPERLINK \l "_Toc228914683" </w:instrText>
          </w:r>
          <w:r>
            <w:fldChar w:fldCharType="separate"/>
          </w:r>
          <w:r>
            <w:rPr>
              <w:rStyle w:val="26"/>
              <w:rFonts w:cs="Times New Roman"/>
              <w:lang w:eastAsia="zh"/>
            </w:rPr>
            <w:t>四、</w:t>
          </w:r>
          <w:r>
            <w:rPr>
              <w:rStyle w:val="26"/>
              <w:rFonts w:cs="Times New Roman"/>
            </w:rPr>
            <w:t xml:space="preserve"> 指标设计和模型构建</w:t>
          </w:r>
          <w:r>
            <w:rPr>
              <w:rFonts w:cs="Times New Roman"/>
            </w:rPr>
            <w:tab/>
          </w:r>
          <w:r>
            <w:rPr>
              <w:rFonts w:cs="Times New Roman"/>
            </w:rPr>
            <w:fldChar w:fldCharType="begin"/>
          </w:r>
          <w:r>
            <w:rPr>
              <w:rFonts w:cs="Times New Roman"/>
            </w:rPr>
            <w:instrText xml:space="preserve"> PAGEREF _Toc228914683 \h </w:instrText>
          </w:r>
          <w:r>
            <w:rPr>
              <w:rFonts w:cs="Times New Roman"/>
            </w:rPr>
            <w:fldChar w:fldCharType="separate"/>
          </w:r>
          <w:r>
            <w:rPr>
              <w:rFonts w:cs="Times New Roman"/>
            </w:rPr>
            <w:t>12</w:t>
          </w:r>
          <w:r>
            <w:rPr>
              <w:rFonts w:cs="Times New Roman"/>
            </w:rPr>
            <w:fldChar w:fldCharType="end"/>
          </w:r>
          <w:r>
            <w:rPr>
              <w:rFonts w:cs="Times New Roman"/>
            </w:rPr>
            <w:fldChar w:fldCharType="end"/>
          </w:r>
        </w:p>
        <w:p w14:paraId="5C6A2EFE">
          <w:pPr>
            <w:pStyle w:val="19"/>
            <w:ind w:left="480" w:firstLine="0" w:firstLineChars="0"/>
            <w:rPr>
              <w:rFonts w:cs="Times New Roman"/>
              <w:sz w:val="22"/>
              <w:szCs w:val="24"/>
              <w14:ligatures w14:val="standardContextual"/>
            </w:rPr>
          </w:pPr>
          <w:r>
            <w:fldChar w:fldCharType="begin"/>
          </w:r>
          <w:r>
            <w:instrText xml:space="preserve"> HYPERLINK \l "_Toc228914684" </w:instrText>
          </w:r>
          <w:r>
            <w:fldChar w:fldCharType="separate"/>
          </w:r>
          <w:r>
            <w:rPr>
              <w:rStyle w:val="26"/>
              <w:rFonts w:cs="Times New Roman"/>
            </w:rPr>
            <w:t>（一）</w:t>
          </w:r>
          <w:r>
            <w:rPr>
              <w:rStyle w:val="26"/>
              <w:rFonts w:hint="eastAsia" w:cs="Times New Roman"/>
              <w:lang w:val="en-US" w:eastAsia="zh-CN"/>
            </w:rPr>
            <w:t xml:space="preserve"> </w:t>
          </w:r>
          <w:r>
            <w:rPr>
              <w:rStyle w:val="26"/>
              <w:rFonts w:cs="Times New Roman"/>
            </w:rPr>
            <w:t>数据来源</w:t>
          </w:r>
          <w:r>
            <w:rPr>
              <w:rFonts w:cs="Times New Roman"/>
            </w:rPr>
            <w:tab/>
          </w:r>
          <w:r>
            <w:rPr>
              <w:rFonts w:cs="Times New Roman"/>
            </w:rPr>
            <w:fldChar w:fldCharType="begin"/>
          </w:r>
          <w:r>
            <w:rPr>
              <w:rFonts w:cs="Times New Roman"/>
            </w:rPr>
            <w:instrText xml:space="preserve"> PAGEREF _Toc228914684 \h </w:instrText>
          </w:r>
          <w:r>
            <w:rPr>
              <w:rFonts w:cs="Times New Roman"/>
            </w:rPr>
            <w:fldChar w:fldCharType="separate"/>
          </w:r>
          <w:r>
            <w:rPr>
              <w:rFonts w:cs="Times New Roman"/>
            </w:rPr>
            <w:t>12</w:t>
          </w:r>
          <w:r>
            <w:rPr>
              <w:rFonts w:cs="Times New Roman"/>
            </w:rPr>
            <w:fldChar w:fldCharType="end"/>
          </w:r>
          <w:r>
            <w:rPr>
              <w:rFonts w:cs="Times New Roman"/>
            </w:rPr>
            <w:fldChar w:fldCharType="end"/>
          </w:r>
        </w:p>
        <w:p w14:paraId="7099BE88">
          <w:pPr>
            <w:pStyle w:val="19"/>
            <w:ind w:left="480" w:firstLine="0" w:firstLineChars="0"/>
            <w:rPr>
              <w:rFonts w:cs="Times New Roman"/>
              <w:sz w:val="22"/>
              <w:szCs w:val="24"/>
              <w14:ligatures w14:val="standardContextual"/>
            </w:rPr>
          </w:pPr>
          <w:r>
            <w:fldChar w:fldCharType="begin"/>
          </w:r>
          <w:r>
            <w:instrText xml:space="preserve"> HYPERLINK \l "_Toc228914685" </w:instrText>
          </w:r>
          <w:r>
            <w:fldChar w:fldCharType="separate"/>
          </w:r>
          <w:r>
            <w:rPr>
              <w:rStyle w:val="26"/>
              <w:rFonts w:cs="Times New Roman"/>
              <w:lang w:eastAsia="zh"/>
            </w:rPr>
            <w:t>（二）</w:t>
          </w:r>
          <w:r>
            <w:rPr>
              <w:rStyle w:val="26"/>
              <w:rFonts w:hint="eastAsia" w:cs="Times New Roman"/>
              <w:lang w:val="en-US" w:eastAsia="zh-CN"/>
            </w:rPr>
            <w:t xml:space="preserve"> </w:t>
          </w:r>
          <w:r>
            <w:rPr>
              <w:rStyle w:val="26"/>
              <w:rFonts w:cs="Times New Roman"/>
              <w:lang w:eastAsia="zh"/>
            </w:rPr>
            <w:t>企业诉求的</w:t>
          </w:r>
          <w:r>
            <w:rPr>
              <w:rStyle w:val="26"/>
              <w:rFonts w:cs="Times New Roman"/>
            </w:rPr>
            <w:t>识别</w:t>
          </w:r>
          <w:r>
            <w:rPr>
              <w:rFonts w:cs="Times New Roman"/>
            </w:rPr>
            <w:tab/>
          </w:r>
          <w:r>
            <w:rPr>
              <w:rFonts w:cs="Times New Roman"/>
            </w:rPr>
            <w:fldChar w:fldCharType="begin"/>
          </w:r>
          <w:r>
            <w:rPr>
              <w:rFonts w:cs="Times New Roman"/>
            </w:rPr>
            <w:instrText xml:space="preserve"> PAGEREF _Toc228914685 \h </w:instrText>
          </w:r>
          <w:r>
            <w:rPr>
              <w:rFonts w:cs="Times New Roman"/>
            </w:rPr>
            <w:fldChar w:fldCharType="separate"/>
          </w:r>
          <w:r>
            <w:rPr>
              <w:rFonts w:cs="Times New Roman"/>
            </w:rPr>
            <w:t>12</w:t>
          </w:r>
          <w:r>
            <w:rPr>
              <w:rFonts w:cs="Times New Roman"/>
            </w:rPr>
            <w:fldChar w:fldCharType="end"/>
          </w:r>
          <w:r>
            <w:rPr>
              <w:rFonts w:cs="Times New Roman"/>
            </w:rPr>
            <w:fldChar w:fldCharType="end"/>
          </w:r>
        </w:p>
        <w:p w14:paraId="552F55B3">
          <w:pPr>
            <w:pStyle w:val="19"/>
            <w:ind w:left="480" w:firstLine="0" w:firstLineChars="0"/>
            <w:rPr>
              <w:rFonts w:cs="Times New Roman"/>
              <w:sz w:val="22"/>
              <w:szCs w:val="24"/>
              <w14:ligatures w14:val="standardContextual"/>
            </w:rPr>
          </w:pPr>
          <w:r>
            <w:fldChar w:fldCharType="begin"/>
          </w:r>
          <w:r>
            <w:instrText xml:space="preserve"> HYPERLINK \l "_Toc228914686" </w:instrText>
          </w:r>
          <w:r>
            <w:fldChar w:fldCharType="separate"/>
          </w:r>
          <w:r>
            <w:rPr>
              <w:rStyle w:val="26"/>
              <w:rFonts w:cs="Times New Roman"/>
            </w:rPr>
            <w:t>（</w:t>
          </w:r>
          <w:r>
            <w:rPr>
              <w:rStyle w:val="26"/>
              <w:rFonts w:cs="Times New Roman"/>
              <w:lang w:eastAsia="zh"/>
            </w:rPr>
            <w:t>三</w:t>
          </w:r>
          <w:r>
            <w:rPr>
              <w:rStyle w:val="26"/>
              <w:rFonts w:cs="Times New Roman"/>
            </w:rPr>
            <w:t>）</w:t>
          </w:r>
          <w:r>
            <w:rPr>
              <w:rStyle w:val="26"/>
              <w:rFonts w:hint="eastAsia" w:cs="Times New Roman"/>
              <w:lang w:val="en-US" w:eastAsia="zh-CN"/>
            </w:rPr>
            <w:t xml:space="preserve"> </w:t>
          </w:r>
          <w:r>
            <w:rPr>
              <w:rStyle w:val="26"/>
              <w:rFonts w:cs="Times New Roman"/>
              <w:lang w:eastAsia="zh"/>
            </w:rPr>
            <w:t>指标</w:t>
          </w:r>
          <w:r>
            <w:rPr>
              <w:rStyle w:val="26"/>
              <w:rFonts w:cs="Times New Roman"/>
            </w:rPr>
            <w:t>选择</w:t>
          </w:r>
          <w:r>
            <w:rPr>
              <w:rFonts w:cs="Times New Roman"/>
            </w:rPr>
            <w:tab/>
          </w:r>
          <w:r>
            <w:rPr>
              <w:rFonts w:cs="Times New Roman"/>
            </w:rPr>
            <w:fldChar w:fldCharType="begin"/>
          </w:r>
          <w:r>
            <w:rPr>
              <w:rFonts w:cs="Times New Roman"/>
            </w:rPr>
            <w:instrText xml:space="preserve"> PAGEREF _Toc228914686 \h </w:instrText>
          </w:r>
          <w:r>
            <w:rPr>
              <w:rFonts w:cs="Times New Roman"/>
            </w:rPr>
            <w:fldChar w:fldCharType="separate"/>
          </w:r>
          <w:r>
            <w:rPr>
              <w:rFonts w:cs="Times New Roman"/>
            </w:rPr>
            <w:t>14</w:t>
          </w:r>
          <w:r>
            <w:rPr>
              <w:rFonts w:cs="Times New Roman"/>
            </w:rPr>
            <w:fldChar w:fldCharType="end"/>
          </w:r>
          <w:r>
            <w:rPr>
              <w:rFonts w:cs="Times New Roman"/>
            </w:rPr>
            <w:fldChar w:fldCharType="end"/>
          </w:r>
        </w:p>
        <w:p w14:paraId="13F79C41">
          <w:pPr>
            <w:pStyle w:val="14"/>
            <w:tabs>
              <w:tab w:val="right" w:leader="dot" w:pos="8296"/>
            </w:tabs>
            <w:ind w:left="960" w:firstLine="0" w:firstLineChars="0"/>
            <w:rPr>
              <w:rFonts w:cs="Times New Roman"/>
              <w:sz w:val="22"/>
              <w:szCs w:val="24"/>
              <w14:ligatures w14:val="standardContextual"/>
            </w:rPr>
          </w:pPr>
          <w:r>
            <w:fldChar w:fldCharType="begin"/>
          </w:r>
          <w:r>
            <w:instrText xml:space="preserve"> HYPERLINK \l "_Toc228914687" </w:instrText>
          </w:r>
          <w:r>
            <w:fldChar w:fldCharType="separate"/>
          </w:r>
          <w:r>
            <w:rPr>
              <w:rStyle w:val="26"/>
              <w:rFonts w:cs="Times New Roman"/>
            </w:rPr>
            <w:t>1．</w:t>
          </w:r>
          <w:r>
            <w:rPr>
              <w:rStyle w:val="26"/>
              <w:rFonts w:hint="eastAsia" w:cs="Times New Roman"/>
              <w:lang w:val="en-US" w:eastAsia="zh-CN"/>
            </w:rPr>
            <w:t xml:space="preserve"> </w:t>
          </w:r>
          <w:r>
            <w:rPr>
              <w:rStyle w:val="26"/>
              <w:rFonts w:cs="Times New Roman"/>
            </w:rPr>
            <w:t>被解释变量：企业诉求</w:t>
          </w:r>
          <w:r>
            <w:rPr>
              <w:rStyle w:val="26"/>
              <w:rFonts w:cs="Times New Roman"/>
              <w:lang w:eastAsia="zh"/>
            </w:rPr>
            <w:t>量</w:t>
          </w:r>
          <w:r>
            <w:rPr>
              <w:rFonts w:cs="Times New Roman"/>
            </w:rPr>
            <w:tab/>
          </w:r>
          <w:r>
            <w:rPr>
              <w:rFonts w:cs="Times New Roman"/>
            </w:rPr>
            <w:fldChar w:fldCharType="begin"/>
          </w:r>
          <w:r>
            <w:rPr>
              <w:rFonts w:cs="Times New Roman"/>
            </w:rPr>
            <w:instrText xml:space="preserve"> PAGEREF _Toc228914687 \h </w:instrText>
          </w:r>
          <w:r>
            <w:rPr>
              <w:rFonts w:cs="Times New Roman"/>
            </w:rPr>
            <w:fldChar w:fldCharType="separate"/>
          </w:r>
          <w:r>
            <w:rPr>
              <w:rFonts w:cs="Times New Roman"/>
            </w:rPr>
            <w:t>14</w:t>
          </w:r>
          <w:r>
            <w:rPr>
              <w:rFonts w:cs="Times New Roman"/>
            </w:rPr>
            <w:fldChar w:fldCharType="end"/>
          </w:r>
          <w:r>
            <w:rPr>
              <w:rFonts w:cs="Times New Roman"/>
            </w:rPr>
            <w:fldChar w:fldCharType="end"/>
          </w:r>
        </w:p>
        <w:p w14:paraId="1D32367E">
          <w:pPr>
            <w:pStyle w:val="14"/>
            <w:tabs>
              <w:tab w:val="right" w:leader="dot" w:pos="8296"/>
            </w:tabs>
            <w:ind w:left="960" w:firstLine="0" w:firstLineChars="0"/>
            <w:rPr>
              <w:rFonts w:cs="Times New Roman"/>
              <w:sz w:val="22"/>
              <w:szCs w:val="24"/>
              <w14:ligatures w14:val="standardContextual"/>
            </w:rPr>
          </w:pPr>
          <w:r>
            <w:fldChar w:fldCharType="begin"/>
          </w:r>
          <w:r>
            <w:instrText xml:space="preserve"> HYPERLINK \l "_Toc228914688" </w:instrText>
          </w:r>
          <w:r>
            <w:fldChar w:fldCharType="separate"/>
          </w:r>
          <w:r>
            <w:rPr>
              <w:rStyle w:val="26"/>
              <w:rFonts w:cs="Times New Roman"/>
            </w:rPr>
            <w:t>2．</w:t>
          </w:r>
          <w:r>
            <w:rPr>
              <w:rStyle w:val="26"/>
              <w:rFonts w:hint="eastAsia" w:cs="Times New Roman"/>
              <w:lang w:val="en-US" w:eastAsia="zh-CN"/>
            </w:rPr>
            <w:t xml:space="preserve"> </w:t>
          </w:r>
          <w:r>
            <w:rPr>
              <w:rStyle w:val="26"/>
              <w:rFonts w:cs="Times New Roman"/>
            </w:rPr>
            <w:t>解释变量：公共数据开放</w:t>
          </w:r>
          <w:r>
            <w:rPr>
              <w:rFonts w:cs="Times New Roman"/>
            </w:rPr>
            <w:tab/>
          </w:r>
          <w:r>
            <w:rPr>
              <w:rFonts w:cs="Times New Roman"/>
            </w:rPr>
            <w:fldChar w:fldCharType="begin"/>
          </w:r>
          <w:r>
            <w:rPr>
              <w:rFonts w:cs="Times New Roman"/>
            </w:rPr>
            <w:instrText xml:space="preserve"> PAGEREF _Toc228914688 \h </w:instrText>
          </w:r>
          <w:r>
            <w:rPr>
              <w:rFonts w:cs="Times New Roman"/>
            </w:rPr>
            <w:fldChar w:fldCharType="separate"/>
          </w:r>
          <w:r>
            <w:rPr>
              <w:rFonts w:cs="Times New Roman"/>
            </w:rPr>
            <w:t>15</w:t>
          </w:r>
          <w:r>
            <w:rPr>
              <w:rFonts w:cs="Times New Roman"/>
            </w:rPr>
            <w:fldChar w:fldCharType="end"/>
          </w:r>
          <w:r>
            <w:rPr>
              <w:rFonts w:cs="Times New Roman"/>
            </w:rPr>
            <w:fldChar w:fldCharType="end"/>
          </w:r>
        </w:p>
        <w:p w14:paraId="2A614130">
          <w:pPr>
            <w:pStyle w:val="14"/>
            <w:tabs>
              <w:tab w:val="right" w:leader="dot" w:pos="8296"/>
            </w:tabs>
            <w:ind w:left="960" w:firstLine="0" w:firstLineChars="0"/>
            <w:rPr>
              <w:rFonts w:cs="Times New Roman"/>
              <w:sz w:val="22"/>
              <w:szCs w:val="24"/>
              <w14:ligatures w14:val="standardContextual"/>
            </w:rPr>
          </w:pPr>
          <w:r>
            <w:fldChar w:fldCharType="begin"/>
          </w:r>
          <w:r>
            <w:instrText xml:space="preserve"> HYPERLINK \l "_Toc228914689" </w:instrText>
          </w:r>
          <w:r>
            <w:fldChar w:fldCharType="separate"/>
          </w:r>
          <w:r>
            <w:rPr>
              <w:rStyle w:val="26"/>
              <w:rFonts w:cs="Times New Roman"/>
            </w:rPr>
            <w:t>3．</w:t>
          </w:r>
          <w:r>
            <w:rPr>
              <w:rStyle w:val="26"/>
              <w:rFonts w:hint="eastAsia" w:cs="Times New Roman"/>
              <w:lang w:val="en-US" w:eastAsia="zh-CN"/>
            </w:rPr>
            <w:t xml:space="preserve"> </w:t>
          </w:r>
          <w:r>
            <w:rPr>
              <w:rStyle w:val="26"/>
              <w:rFonts w:cs="Times New Roman"/>
            </w:rPr>
            <w:t>控制变量</w:t>
          </w:r>
          <w:r>
            <w:rPr>
              <w:rFonts w:cs="Times New Roman"/>
            </w:rPr>
            <w:tab/>
          </w:r>
          <w:r>
            <w:rPr>
              <w:rFonts w:cs="Times New Roman"/>
            </w:rPr>
            <w:fldChar w:fldCharType="begin"/>
          </w:r>
          <w:r>
            <w:rPr>
              <w:rFonts w:cs="Times New Roman"/>
            </w:rPr>
            <w:instrText xml:space="preserve"> PAGEREF _Toc228914689 \h </w:instrText>
          </w:r>
          <w:r>
            <w:rPr>
              <w:rFonts w:cs="Times New Roman"/>
            </w:rPr>
            <w:fldChar w:fldCharType="separate"/>
          </w:r>
          <w:r>
            <w:rPr>
              <w:rFonts w:cs="Times New Roman"/>
            </w:rPr>
            <w:t>15</w:t>
          </w:r>
          <w:r>
            <w:rPr>
              <w:rFonts w:cs="Times New Roman"/>
            </w:rPr>
            <w:fldChar w:fldCharType="end"/>
          </w:r>
          <w:r>
            <w:rPr>
              <w:rFonts w:cs="Times New Roman"/>
            </w:rPr>
            <w:fldChar w:fldCharType="end"/>
          </w:r>
        </w:p>
        <w:p w14:paraId="700E97DD">
          <w:pPr>
            <w:pStyle w:val="19"/>
            <w:ind w:left="480" w:firstLine="0" w:firstLineChars="0"/>
            <w:rPr>
              <w:rFonts w:cs="Times New Roman"/>
              <w:sz w:val="22"/>
              <w:szCs w:val="24"/>
              <w14:ligatures w14:val="standardContextual"/>
            </w:rPr>
          </w:pPr>
          <w:r>
            <w:fldChar w:fldCharType="begin"/>
          </w:r>
          <w:r>
            <w:instrText xml:space="preserve"> HYPERLINK \l "_Toc228914690" </w:instrText>
          </w:r>
          <w:r>
            <w:fldChar w:fldCharType="separate"/>
          </w:r>
          <w:r>
            <w:rPr>
              <w:rStyle w:val="26"/>
              <w:rFonts w:cs="Times New Roman"/>
              <w:bCs/>
              <w:lang w:eastAsia="zh"/>
            </w:rPr>
            <w:t>（四）</w:t>
          </w:r>
          <w:r>
            <w:rPr>
              <w:rStyle w:val="26"/>
              <w:rFonts w:cs="Times New Roman"/>
              <w:bCs/>
            </w:rPr>
            <w:t>描述性统计</w:t>
          </w:r>
          <w:r>
            <w:rPr>
              <w:rFonts w:cs="Times New Roman"/>
            </w:rPr>
            <w:tab/>
          </w:r>
          <w:r>
            <w:rPr>
              <w:rFonts w:cs="Times New Roman"/>
            </w:rPr>
            <w:fldChar w:fldCharType="begin"/>
          </w:r>
          <w:r>
            <w:rPr>
              <w:rFonts w:cs="Times New Roman"/>
            </w:rPr>
            <w:instrText xml:space="preserve"> PAGEREF _Toc228914690 \h </w:instrText>
          </w:r>
          <w:r>
            <w:rPr>
              <w:rFonts w:cs="Times New Roman"/>
            </w:rPr>
            <w:fldChar w:fldCharType="separate"/>
          </w:r>
          <w:r>
            <w:rPr>
              <w:rFonts w:cs="Times New Roman"/>
            </w:rPr>
            <w:t>16</w:t>
          </w:r>
          <w:r>
            <w:rPr>
              <w:rFonts w:cs="Times New Roman"/>
            </w:rPr>
            <w:fldChar w:fldCharType="end"/>
          </w:r>
          <w:r>
            <w:rPr>
              <w:rFonts w:cs="Times New Roman"/>
            </w:rPr>
            <w:fldChar w:fldCharType="end"/>
          </w:r>
        </w:p>
        <w:p w14:paraId="7AE4F9C9">
          <w:pPr>
            <w:pStyle w:val="19"/>
            <w:ind w:left="480" w:firstLine="0" w:firstLineChars="0"/>
            <w:rPr>
              <w:rFonts w:cs="Times New Roman"/>
              <w:sz w:val="22"/>
              <w:szCs w:val="24"/>
              <w14:ligatures w14:val="standardContextual"/>
            </w:rPr>
          </w:pPr>
          <w:r>
            <w:fldChar w:fldCharType="begin"/>
          </w:r>
          <w:r>
            <w:instrText xml:space="preserve"> HYPERLINK \l "_Toc228914691" </w:instrText>
          </w:r>
          <w:r>
            <w:fldChar w:fldCharType="separate"/>
          </w:r>
          <w:r>
            <w:rPr>
              <w:rStyle w:val="26"/>
              <w:rFonts w:cs="Times New Roman"/>
            </w:rPr>
            <w:t>（</w:t>
          </w:r>
          <w:r>
            <w:rPr>
              <w:rStyle w:val="26"/>
              <w:rFonts w:cs="Times New Roman"/>
              <w:lang w:eastAsia="zh"/>
            </w:rPr>
            <w:t>五</w:t>
          </w:r>
          <w:r>
            <w:rPr>
              <w:rStyle w:val="26"/>
              <w:rFonts w:cs="Times New Roman"/>
            </w:rPr>
            <w:t>）模型构建</w:t>
          </w:r>
          <w:r>
            <w:rPr>
              <w:rFonts w:cs="Times New Roman"/>
            </w:rPr>
            <w:tab/>
          </w:r>
          <w:r>
            <w:rPr>
              <w:rFonts w:cs="Times New Roman"/>
            </w:rPr>
            <w:fldChar w:fldCharType="begin"/>
          </w:r>
          <w:r>
            <w:rPr>
              <w:rFonts w:cs="Times New Roman"/>
            </w:rPr>
            <w:instrText xml:space="preserve"> PAGEREF _Toc228914691 \h </w:instrText>
          </w:r>
          <w:r>
            <w:rPr>
              <w:rFonts w:cs="Times New Roman"/>
            </w:rPr>
            <w:fldChar w:fldCharType="separate"/>
          </w:r>
          <w:r>
            <w:rPr>
              <w:rFonts w:cs="Times New Roman"/>
            </w:rPr>
            <w:t>17</w:t>
          </w:r>
          <w:r>
            <w:rPr>
              <w:rFonts w:cs="Times New Roman"/>
            </w:rPr>
            <w:fldChar w:fldCharType="end"/>
          </w:r>
          <w:r>
            <w:rPr>
              <w:rFonts w:cs="Times New Roman"/>
            </w:rPr>
            <w:fldChar w:fldCharType="end"/>
          </w:r>
        </w:p>
        <w:p w14:paraId="3D4F81A4">
          <w:pPr>
            <w:pStyle w:val="14"/>
            <w:tabs>
              <w:tab w:val="right" w:leader="dot" w:pos="8296"/>
            </w:tabs>
            <w:ind w:left="960" w:firstLine="0" w:firstLineChars="0"/>
            <w:rPr>
              <w:rFonts w:cs="Times New Roman"/>
              <w:sz w:val="22"/>
              <w:szCs w:val="24"/>
              <w14:ligatures w14:val="standardContextual"/>
            </w:rPr>
          </w:pPr>
          <w:r>
            <w:fldChar w:fldCharType="begin"/>
          </w:r>
          <w:r>
            <w:instrText xml:space="preserve"> HYPERLINK \l "_Toc228914692" </w:instrText>
          </w:r>
          <w:r>
            <w:fldChar w:fldCharType="separate"/>
          </w:r>
          <w:r>
            <w:rPr>
              <w:rStyle w:val="26"/>
              <w:rFonts w:cs="Times New Roman"/>
            </w:rPr>
            <w:t>1． 模型理论基础：Frisch-Waugh-Lovell定理</w:t>
          </w:r>
          <w:r>
            <w:rPr>
              <w:rFonts w:cs="Times New Roman"/>
            </w:rPr>
            <w:tab/>
          </w:r>
          <w:r>
            <w:rPr>
              <w:rFonts w:cs="Times New Roman"/>
            </w:rPr>
            <w:fldChar w:fldCharType="begin"/>
          </w:r>
          <w:r>
            <w:rPr>
              <w:rFonts w:cs="Times New Roman"/>
            </w:rPr>
            <w:instrText xml:space="preserve"> PAGEREF _Toc228914692 \h </w:instrText>
          </w:r>
          <w:r>
            <w:rPr>
              <w:rFonts w:cs="Times New Roman"/>
            </w:rPr>
            <w:fldChar w:fldCharType="separate"/>
          </w:r>
          <w:r>
            <w:rPr>
              <w:rFonts w:cs="Times New Roman"/>
            </w:rPr>
            <w:t>17</w:t>
          </w:r>
          <w:r>
            <w:rPr>
              <w:rFonts w:cs="Times New Roman"/>
            </w:rPr>
            <w:fldChar w:fldCharType="end"/>
          </w:r>
          <w:r>
            <w:rPr>
              <w:rFonts w:cs="Times New Roman"/>
            </w:rPr>
            <w:fldChar w:fldCharType="end"/>
          </w:r>
        </w:p>
        <w:p w14:paraId="2E2D4087">
          <w:pPr>
            <w:pStyle w:val="14"/>
            <w:tabs>
              <w:tab w:val="right" w:leader="dot" w:pos="8296"/>
            </w:tabs>
            <w:ind w:left="960" w:firstLine="0" w:firstLineChars="0"/>
            <w:rPr>
              <w:rFonts w:cs="Times New Roman"/>
              <w:sz w:val="22"/>
              <w:szCs w:val="24"/>
              <w14:ligatures w14:val="standardContextual"/>
            </w:rPr>
          </w:pPr>
          <w:r>
            <w:fldChar w:fldCharType="begin"/>
          </w:r>
          <w:r>
            <w:instrText xml:space="preserve"> HYPERLINK \l "_Toc228914693" </w:instrText>
          </w:r>
          <w:r>
            <w:fldChar w:fldCharType="separate"/>
          </w:r>
          <w:r>
            <w:rPr>
              <w:rStyle w:val="26"/>
              <w:rFonts w:cs="Times New Roman"/>
            </w:rPr>
            <w:t>2． 双重机器学习模型设定</w:t>
          </w:r>
          <w:r>
            <w:rPr>
              <w:rFonts w:cs="Times New Roman"/>
            </w:rPr>
            <w:tab/>
          </w:r>
          <w:r>
            <w:rPr>
              <w:rFonts w:cs="Times New Roman"/>
            </w:rPr>
            <w:fldChar w:fldCharType="begin"/>
          </w:r>
          <w:r>
            <w:rPr>
              <w:rFonts w:cs="Times New Roman"/>
            </w:rPr>
            <w:instrText xml:space="preserve"> PAGEREF _Toc228914693 \h </w:instrText>
          </w:r>
          <w:r>
            <w:rPr>
              <w:rFonts w:cs="Times New Roman"/>
            </w:rPr>
            <w:fldChar w:fldCharType="separate"/>
          </w:r>
          <w:r>
            <w:rPr>
              <w:rFonts w:cs="Times New Roman"/>
            </w:rPr>
            <w:t>18</w:t>
          </w:r>
          <w:r>
            <w:rPr>
              <w:rFonts w:cs="Times New Roman"/>
            </w:rPr>
            <w:fldChar w:fldCharType="end"/>
          </w:r>
          <w:r>
            <w:rPr>
              <w:rFonts w:cs="Times New Roman"/>
            </w:rPr>
            <w:fldChar w:fldCharType="end"/>
          </w:r>
        </w:p>
        <w:p w14:paraId="19114D9E">
          <w:pPr>
            <w:pStyle w:val="17"/>
            <w:tabs>
              <w:tab w:val="right" w:leader="dot" w:pos="8296"/>
            </w:tabs>
            <w:ind w:firstLine="0" w:firstLineChars="0"/>
            <w:rPr>
              <w:rFonts w:cs="Times New Roman"/>
              <w:sz w:val="22"/>
              <w:szCs w:val="24"/>
              <w14:ligatures w14:val="standardContextual"/>
            </w:rPr>
          </w:pPr>
          <w:r>
            <w:fldChar w:fldCharType="begin"/>
          </w:r>
          <w:r>
            <w:instrText xml:space="preserve"> HYPERLINK \l "_Toc228914694" </w:instrText>
          </w:r>
          <w:r>
            <w:fldChar w:fldCharType="separate"/>
          </w:r>
          <w:r>
            <w:rPr>
              <w:rStyle w:val="26"/>
              <w:rFonts w:cs="Times New Roman"/>
            </w:rPr>
            <w:t>五、 实证分析</w:t>
          </w:r>
          <w:r>
            <w:rPr>
              <w:rFonts w:cs="Times New Roman"/>
            </w:rPr>
            <w:tab/>
          </w:r>
          <w:r>
            <w:rPr>
              <w:rFonts w:cs="Times New Roman"/>
            </w:rPr>
            <w:fldChar w:fldCharType="begin"/>
          </w:r>
          <w:r>
            <w:rPr>
              <w:rFonts w:cs="Times New Roman"/>
            </w:rPr>
            <w:instrText xml:space="preserve"> PAGEREF _Toc228914694 \h </w:instrText>
          </w:r>
          <w:r>
            <w:rPr>
              <w:rFonts w:cs="Times New Roman"/>
            </w:rPr>
            <w:fldChar w:fldCharType="separate"/>
          </w:r>
          <w:r>
            <w:rPr>
              <w:rFonts w:cs="Times New Roman"/>
            </w:rPr>
            <w:t>20</w:t>
          </w:r>
          <w:r>
            <w:rPr>
              <w:rFonts w:cs="Times New Roman"/>
            </w:rPr>
            <w:fldChar w:fldCharType="end"/>
          </w:r>
          <w:r>
            <w:rPr>
              <w:rFonts w:cs="Times New Roman"/>
            </w:rPr>
            <w:fldChar w:fldCharType="end"/>
          </w:r>
        </w:p>
        <w:p w14:paraId="47DB6051">
          <w:pPr>
            <w:pStyle w:val="19"/>
            <w:ind w:left="480" w:firstLine="0" w:firstLineChars="0"/>
            <w:rPr>
              <w:rFonts w:cs="Times New Roman"/>
              <w:sz w:val="22"/>
              <w:szCs w:val="24"/>
              <w14:ligatures w14:val="standardContextual"/>
            </w:rPr>
          </w:pPr>
          <w:r>
            <w:fldChar w:fldCharType="begin"/>
          </w:r>
          <w:r>
            <w:instrText xml:space="preserve"> HYPERLINK \l "_Toc228914695" </w:instrText>
          </w:r>
          <w:r>
            <w:fldChar w:fldCharType="separate"/>
          </w:r>
          <w:r>
            <w:rPr>
              <w:rStyle w:val="26"/>
              <w:rFonts w:cs="Times New Roman"/>
              <w:lang w:eastAsia="zh"/>
            </w:rPr>
            <w:t>（一） 基准回归分析</w:t>
          </w:r>
          <w:r>
            <w:rPr>
              <w:rFonts w:cs="Times New Roman"/>
            </w:rPr>
            <w:tab/>
          </w:r>
          <w:r>
            <w:rPr>
              <w:rFonts w:cs="Times New Roman"/>
            </w:rPr>
            <w:fldChar w:fldCharType="begin"/>
          </w:r>
          <w:r>
            <w:rPr>
              <w:rFonts w:cs="Times New Roman"/>
            </w:rPr>
            <w:instrText xml:space="preserve"> PAGEREF _Toc228914695 \h </w:instrText>
          </w:r>
          <w:r>
            <w:rPr>
              <w:rFonts w:cs="Times New Roman"/>
            </w:rPr>
            <w:fldChar w:fldCharType="separate"/>
          </w:r>
          <w:r>
            <w:rPr>
              <w:rFonts w:cs="Times New Roman"/>
            </w:rPr>
            <w:t>20</w:t>
          </w:r>
          <w:r>
            <w:rPr>
              <w:rFonts w:cs="Times New Roman"/>
            </w:rPr>
            <w:fldChar w:fldCharType="end"/>
          </w:r>
          <w:r>
            <w:rPr>
              <w:rFonts w:cs="Times New Roman"/>
            </w:rPr>
            <w:fldChar w:fldCharType="end"/>
          </w:r>
        </w:p>
        <w:p w14:paraId="460AECED">
          <w:pPr>
            <w:pStyle w:val="19"/>
            <w:ind w:left="480" w:firstLine="0" w:firstLineChars="0"/>
            <w:rPr>
              <w:rFonts w:cs="Times New Roman"/>
              <w:sz w:val="22"/>
              <w:szCs w:val="24"/>
              <w14:ligatures w14:val="standardContextual"/>
            </w:rPr>
          </w:pPr>
          <w:r>
            <w:fldChar w:fldCharType="begin"/>
          </w:r>
          <w:r>
            <w:instrText xml:space="preserve"> HYPERLINK \l "_Toc228914696" </w:instrText>
          </w:r>
          <w:r>
            <w:fldChar w:fldCharType="separate"/>
          </w:r>
          <w:r>
            <w:rPr>
              <w:rStyle w:val="26"/>
              <w:rFonts w:cs="Times New Roman"/>
            </w:rPr>
            <w:t>（二） 稳健性检验</w:t>
          </w:r>
          <w:r>
            <w:rPr>
              <w:rFonts w:cs="Times New Roman"/>
            </w:rPr>
            <w:tab/>
          </w:r>
          <w:r>
            <w:rPr>
              <w:rFonts w:cs="Times New Roman"/>
            </w:rPr>
            <w:fldChar w:fldCharType="begin"/>
          </w:r>
          <w:r>
            <w:rPr>
              <w:rFonts w:cs="Times New Roman"/>
            </w:rPr>
            <w:instrText xml:space="preserve"> PAGEREF _Toc228914696 \h </w:instrText>
          </w:r>
          <w:r>
            <w:rPr>
              <w:rFonts w:cs="Times New Roman"/>
            </w:rPr>
            <w:fldChar w:fldCharType="separate"/>
          </w:r>
          <w:r>
            <w:rPr>
              <w:rFonts w:cs="Times New Roman"/>
            </w:rPr>
            <w:t>20</w:t>
          </w:r>
          <w:r>
            <w:rPr>
              <w:rFonts w:cs="Times New Roman"/>
            </w:rPr>
            <w:fldChar w:fldCharType="end"/>
          </w:r>
          <w:r>
            <w:rPr>
              <w:rFonts w:cs="Times New Roman"/>
            </w:rPr>
            <w:fldChar w:fldCharType="end"/>
          </w:r>
        </w:p>
        <w:p w14:paraId="2C301059">
          <w:pPr>
            <w:pStyle w:val="14"/>
            <w:tabs>
              <w:tab w:val="right" w:leader="dot" w:pos="8296"/>
            </w:tabs>
            <w:ind w:left="960" w:firstLine="0" w:firstLineChars="0"/>
            <w:rPr>
              <w:rFonts w:cs="Times New Roman"/>
              <w:sz w:val="22"/>
              <w:szCs w:val="24"/>
              <w14:ligatures w14:val="standardContextual"/>
            </w:rPr>
          </w:pPr>
          <w:r>
            <w:fldChar w:fldCharType="begin"/>
          </w:r>
          <w:r>
            <w:instrText xml:space="preserve"> HYPERLINK \l "_Toc228914697" </w:instrText>
          </w:r>
          <w:r>
            <w:fldChar w:fldCharType="separate"/>
          </w:r>
          <w:r>
            <w:rPr>
              <w:rStyle w:val="26"/>
              <w:rFonts w:cs="Times New Roman"/>
            </w:rPr>
            <w:t>1．调整研究样本</w:t>
          </w:r>
          <w:r>
            <w:rPr>
              <w:rFonts w:cs="Times New Roman"/>
            </w:rPr>
            <w:tab/>
          </w:r>
          <w:r>
            <w:rPr>
              <w:rFonts w:cs="Times New Roman"/>
            </w:rPr>
            <w:fldChar w:fldCharType="begin"/>
          </w:r>
          <w:r>
            <w:rPr>
              <w:rFonts w:cs="Times New Roman"/>
            </w:rPr>
            <w:instrText xml:space="preserve"> PAGEREF _Toc228914697 \h </w:instrText>
          </w:r>
          <w:r>
            <w:rPr>
              <w:rFonts w:cs="Times New Roman"/>
            </w:rPr>
            <w:fldChar w:fldCharType="separate"/>
          </w:r>
          <w:r>
            <w:rPr>
              <w:rFonts w:cs="Times New Roman"/>
            </w:rPr>
            <w:t>20</w:t>
          </w:r>
          <w:r>
            <w:rPr>
              <w:rFonts w:cs="Times New Roman"/>
            </w:rPr>
            <w:fldChar w:fldCharType="end"/>
          </w:r>
          <w:r>
            <w:rPr>
              <w:rFonts w:cs="Times New Roman"/>
            </w:rPr>
            <w:fldChar w:fldCharType="end"/>
          </w:r>
        </w:p>
        <w:p w14:paraId="4AEFEE6A">
          <w:pPr>
            <w:pStyle w:val="14"/>
            <w:tabs>
              <w:tab w:val="right" w:leader="dot" w:pos="8296"/>
            </w:tabs>
            <w:ind w:left="960" w:firstLine="0" w:firstLineChars="0"/>
            <w:rPr>
              <w:rFonts w:cs="Times New Roman"/>
              <w:sz w:val="22"/>
              <w:szCs w:val="24"/>
              <w14:ligatures w14:val="standardContextual"/>
            </w:rPr>
          </w:pPr>
          <w:r>
            <w:fldChar w:fldCharType="begin"/>
          </w:r>
          <w:r>
            <w:instrText xml:space="preserve"> HYPERLINK \l "_Toc228914698" </w:instrText>
          </w:r>
          <w:r>
            <w:fldChar w:fldCharType="separate"/>
          </w:r>
          <w:r>
            <w:rPr>
              <w:rStyle w:val="26"/>
              <w:rFonts w:cs="Times New Roman"/>
            </w:rPr>
            <w:t>2．剔除异常值影响</w:t>
          </w:r>
          <w:r>
            <w:rPr>
              <w:rFonts w:cs="Times New Roman"/>
            </w:rPr>
            <w:tab/>
          </w:r>
          <w:r>
            <w:rPr>
              <w:rFonts w:cs="Times New Roman"/>
            </w:rPr>
            <w:fldChar w:fldCharType="begin"/>
          </w:r>
          <w:r>
            <w:rPr>
              <w:rFonts w:cs="Times New Roman"/>
            </w:rPr>
            <w:instrText xml:space="preserve"> PAGEREF _Toc228914698 \h </w:instrText>
          </w:r>
          <w:r>
            <w:rPr>
              <w:rFonts w:cs="Times New Roman"/>
            </w:rPr>
            <w:fldChar w:fldCharType="separate"/>
          </w:r>
          <w:r>
            <w:rPr>
              <w:rFonts w:cs="Times New Roman"/>
            </w:rPr>
            <w:t>21</w:t>
          </w:r>
          <w:r>
            <w:rPr>
              <w:rFonts w:cs="Times New Roman"/>
            </w:rPr>
            <w:fldChar w:fldCharType="end"/>
          </w:r>
          <w:r>
            <w:rPr>
              <w:rFonts w:cs="Times New Roman"/>
            </w:rPr>
            <w:fldChar w:fldCharType="end"/>
          </w:r>
        </w:p>
        <w:p w14:paraId="719A284E">
          <w:pPr>
            <w:pStyle w:val="14"/>
            <w:tabs>
              <w:tab w:val="right" w:leader="dot" w:pos="8296"/>
            </w:tabs>
            <w:ind w:left="960" w:firstLine="0" w:firstLineChars="0"/>
            <w:rPr>
              <w:rFonts w:cs="Times New Roman"/>
              <w:sz w:val="22"/>
              <w:szCs w:val="24"/>
              <w14:ligatures w14:val="standardContextual"/>
            </w:rPr>
          </w:pPr>
          <w:r>
            <w:fldChar w:fldCharType="begin"/>
          </w:r>
          <w:r>
            <w:instrText xml:space="preserve"> HYPERLINK \l "_Toc228914699" </w:instrText>
          </w:r>
          <w:r>
            <w:fldChar w:fldCharType="separate"/>
          </w:r>
          <w:r>
            <w:rPr>
              <w:rStyle w:val="26"/>
              <w:rFonts w:cs="Times New Roman"/>
            </w:rPr>
            <w:t>3．考虑省份－时间交互固定效应</w:t>
          </w:r>
          <w:r>
            <w:rPr>
              <w:rFonts w:cs="Times New Roman"/>
            </w:rPr>
            <w:tab/>
          </w:r>
          <w:r>
            <w:rPr>
              <w:rFonts w:cs="Times New Roman"/>
            </w:rPr>
            <w:fldChar w:fldCharType="begin"/>
          </w:r>
          <w:r>
            <w:rPr>
              <w:rFonts w:cs="Times New Roman"/>
            </w:rPr>
            <w:instrText xml:space="preserve"> PAGEREF _Toc228914699 \h </w:instrText>
          </w:r>
          <w:r>
            <w:rPr>
              <w:rFonts w:cs="Times New Roman"/>
            </w:rPr>
            <w:fldChar w:fldCharType="separate"/>
          </w:r>
          <w:r>
            <w:rPr>
              <w:rFonts w:cs="Times New Roman"/>
            </w:rPr>
            <w:t>21</w:t>
          </w:r>
          <w:r>
            <w:rPr>
              <w:rFonts w:cs="Times New Roman"/>
            </w:rPr>
            <w:fldChar w:fldCharType="end"/>
          </w:r>
          <w:r>
            <w:rPr>
              <w:rFonts w:cs="Times New Roman"/>
            </w:rPr>
            <w:fldChar w:fldCharType="end"/>
          </w:r>
        </w:p>
        <w:p w14:paraId="42092355">
          <w:pPr>
            <w:pStyle w:val="19"/>
            <w:ind w:left="480" w:firstLine="0" w:firstLineChars="0"/>
            <w:rPr>
              <w:rFonts w:cs="Times New Roman"/>
              <w:sz w:val="22"/>
              <w:szCs w:val="24"/>
              <w14:ligatures w14:val="standardContextual"/>
            </w:rPr>
          </w:pPr>
          <w:r>
            <w:fldChar w:fldCharType="begin"/>
          </w:r>
          <w:r>
            <w:instrText xml:space="preserve"> HYPERLINK \l "_Toc228914700" </w:instrText>
          </w:r>
          <w:r>
            <w:fldChar w:fldCharType="separate"/>
          </w:r>
          <w:r>
            <w:rPr>
              <w:rStyle w:val="26"/>
              <w:rFonts w:cs="Times New Roman"/>
            </w:rPr>
            <w:t>（三） 异质性分析</w:t>
          </w:r>
          <w:r>
            <w:rPr>
              <w:rFonts w:cs="Times New Roman"/>
            </w:rPr>
            <w:tab/>
          </w:r>
          <w:r>
            <w:rPr>
              <w:rFonts w:cs="Times New Roman"/>
            </w:rPr>
            <w:fldChar w:fldCharType="begin"/>
          </w:r>
          <w:r>
            <w:rPr>
              <w:rFonts w:cs="Times New Roman"/>
            </w:rPr>
            <w:instrText xml:space="preserve"> PAGEREF _Toc228914700 \h </w:instrText>
          </w:r>
          <w:r>
            <w:rPr>
              <w:rFonts w:cs="Times New Roman"/>
            </w:rPr>
            <w:fldChar w:fldCharType="separate"/>
          </w:r>
          <w:r>
            <w:rPr>
              <w:rFonts w:cs="Times New Roman"/>
            </w:rPr>
            <w:t>22</w:t>
          </w:r>
          <w:r>
            <w:rPr>
              <w:rFonts w:cs="Times New Roman"/>
            </w:rPr>
            <w:fldChar w:fldCharType="end"/>
          </w:r>
          <w:r>
            <w:rPr>
              <w:rFonts w:cs="Times New Roman"/>
            </w:rPr>
            <w:fldChar w:fldCharType="end"/>
          </w:r>
        </w:p>
        <w:p w14:paraId="739D5C67">
          <w:pPr>
            <w:pStyle w:val="14"/>
            <w:tabs>
              <w:tab w:val="right" w:leader="dot" w:pos="8296"/>
            </w:tabs>
            <w:ind w:left="960" w:firstLine="0" w:firstLineChars="0"/>
            <w:rPr>
              <w:rFonts w:cs="Times New Roman"/>
              <w:sz w:val="22"/>
              <w:szCs w:val="24"/>
              <w14:ligatures w14:val="standardContextual"/>
            </w:rPr>
          </w:pPr>
          <w:r>
            <w:fldChar w:fldCharType="begin"/>
          </w:r>
          <w:r>
            <w:instrText xml:space="preserve"> HYPERLINK \l "_Toc228914701" </w:instrText>
          </w:r>
          <w:r>
            <w:fldChar w:fldCharType="separate"/>
          </w:r>
          <w:r>
            <w:rPr>
              <w:rStyle w:val="26"/>
              <w:rFonts w:cs="Times New Roman"/>
            </w:rPr>
            <w:t>1． 东北地区：产业结构偏重与信息摩擦较高</w:t>
          </w:r>
          <w:r>
            <w:rPr>
              <w:rFonts w:cs="Times New Roman"/>
            </w:rPr>
            <w:tab/>
          </w:r>
          <w:r>
            <w:rPr>
              <w:rFonts w:cs="Times New Roman"/>
            </w:rPr>
            <w:fldChar w:fldCharType="begin"/>
          </w:r>
          <w:r>
            <w:rPr>
              <w:rFonts w:cs="Times New Roman"/>
            </w:rPr>
            <w:instrText xml:space="preserve"> PAGEREF _Toc228914701 \h </w:instrText>
          </w:r>
          <w:r>
            <w:rPr>
              <w:rFonts w:cs="Times New Roman"/>
            </w:rPr>
            <w:fldChar w:fldCharType="separate"/>
          </w:r>
          <w:r>
            <w:rPr>
              <w:rFonts w:cs="Times New Roman"/>
            </w:rPr>
            <w:t>23</w:t>
          </w:r>
          <w:r>
            <w:rPr>
              <w:rFonts w:cs="Times New Roman"/>
            </w:rPr>
            <w:fldChar w:fldCharType="end"/>
          </w:r>
          <w:r>
            <w:rPr>
              <w:rFonts w:cs="Times New Roman"/>
            </w:rPr>
            <w:fldChar w:fldCharType="end"/>
          </w:r>
        </w:p>
        <w:p w14:paraId="76EEC42A">
          <w:pPr>
            <w:pStyle w:val="14"/>
            <w:tabs>
              <w:tab w:val="right" w:leader="dot" w:pos="8296"/>
            </w:tabs>
            <w:ind w:left="960" w:firstLine="0" w:firstLineChars="0"/>
            <w:rPr>
              <w:rFonts w:cs="Times New Roman"/>
              <w:sz w:val="22"/>
              <w:szCs w:val="24"/>
              <w14:ligatures w14:val="standardContextual"/>
            </w:rPr>
          </w:pPr>
          <w:r>
            <w:fldChar w:fldCharType="begin"/>
          </w:r>
          <w:r>
            <w:instrText xml:space="preserve"> HYPERLINK \l "_Toc228914702" </w:instrText>
          </w:r>
          <w:r>
            <w:fldChar w:fldCharType="separate"/>
          </w:r>
          <w:r>
            <w:rPr>
              <w:rStyle w:val="26"/>
              <w:rFonts w:cs="Times New Roman"/>
            </w:rPr>
            <w:t>2． 中部地区：产业承接与转型带来的需求释放</w:t>
          </w:r>
          <w:r>
            <w:rPr>
              <w:rFonts w:cs="Times New Roman"/>
            </w:rPr>
            <w:tab/>
          </w:r>
          <w:r>
            <w:rPr>
              <w:rFonts w:cs="Times New Roman"/>
            </w:rPr>
            <w:fldChar w:fldCharType="begin"/>
          </w:r>
          <w:r>
            <w:rPr>
              <w:rFonts w:cs="Times New Roman"/>
            </w:rPr>
            <w:instrText xml:space="preserve"> PAGEREF _Toc228914702 \h </w:instrText>
          </w:r>
          <w:r>
            <w:rPr>
              <w:rFonts w:cs="Times New Roman"/>
            </w:rPr>
            <w:fldChar w:fldCharType="separate"/>
          </w:r>
          <w:r>
            <w:rPr>
              <w:rFonts w:cs="Times New Roman"/>
            </w:rPr>
            <w:t>23</w:t>
          </w:r>
          <w:r>
            <w:rPr>
              <w:rFonts w:cs="Times New Roman"/>
            </w:rPr>
            <w:fldChar w:fldCharType="end"/>
          </w:r>
          <w:r>
            <w:rPr>
              <w:rFonts w:cs="Times New Roman"/>
            </w:rPr>
            <w:fldChar w:fldCharType="end"/>
          </w:r>
        </w:p>
        <w:p w14:paraId="40E87D10">
          <w:pPr>
            <w:pStyle w:val="14"/>
            <w:tabs>
              <w:tab w:val="right" w:leader="dot" w:pos="8296"/>
            </w:tabs>
            <w:ind w:left="960" w:firstLine="0" w:firstLineChars="0"/>
            <w:rPr>
              <w:rFonts w:cs="Times New Roman"/>
              <w:sz w:val="22"/>
              <w:szCs w:val="24"/>
              <w14:ligatures w14:val="standardContextual"/>
            </w:rPr>
          </w:pPr>
          <w:r>
            <w:fldChar w:fldCharType="begin"/>
          </w:r>
          <w:r>
            <w:instrText xml:space="preserve"> HYPERLINK \l "_Toc228914703" </w:instrText>
          </w:r>
          <w:r>
            <w:fldChar w:fldCharType="separate"/>
          </w:r>
          <w:r>
            <w:rPr>
              <w:rStyle w:val="26"/>
              <w:rFonts w:cs="Times New Roman"/>
            </w:rPr>
            <w:t>3． 西部地区：基础约束下的吸收能力限制</w:t>
          </w:r>
          <w:r>
            <w:rPr>
              <w:rFonts w:cs="Times New Roman"/>
            </w:rPr>
            <w:tab/>
          </w:r>
          <w:r>
            <w:rPr>
              <w:rFonts w:cs="Times New Roman"/>
            </w:rPr>
            <w:fldChar w:fldCharType="begin"/>
          </w:r>
          <w:r>
            <w:rPr>
              <w:rFonts w:cs="Times New Roman"/>
            </w:rPr>
            <w:instrText xml:space="preserve"> PAGEREF _Toc228914703 \h </w:instrText>
          </w:r>
          <w:r>
            <w:rPr>
              <w:rFonts w:cs="Times New Roman"/>
            </w:rPr>
            <w:fldChar w:fldCharType="separate"/>
          </w:r>
          <w:r>
            <w:rPr>
              <w:rFonts w:cs="Times New Roman"/>
            </w:rPr>
            <w:t>23</w:t>
          </w:r>
          <w:r>
            <w:rPr>
              <w:rFonts w:cs="Times New Roman"/>
            </w:rPr>
            <w:fldChar w:fldCharType="end"/>
          </w:r>
          <w:r>
            <w:rPr>
              <w:rFonts w:cs="Times New Roman"/>
            </w:rPr>
            <w:fldChar w:fldCharType="end"/>
          </w:r>
        </w:p>
        <w:p w14:paraId="3212A7C1">
          <w:pPr>
            <w:pStyle w:val="14"/>
            <w:tabs>
              <w:tab w:val="right" w:leader="dot" w:pos="8296"/>
            </w:tabs>
            <w:ind w:left="960" w:firstLine="0" w:firstLineChars="0"/>
            <w:rPr>
              <w:rFonts w:cs="Times New Roman"/>
              <w:sz w:val="22"/>
              <w:szCs w:val="24"/>
              <w14:ligatures w14:val="standardContextual"/>
            </w:rPr>
          </w:pPr>
          <w:r>
            <w:fldChar w:fldCharType="begin"/>
          </w:r>
          <w:r>
            <w:instrText xml:space="preserve"> HYPERLINK \l "_Toc228914704" </w:instrText>
          </w:r>
          <w:r>
            <w:fldChar w:fldCharType="separate"/>
          </w:r>
          <w:r>
            <w:rPr>
              <w:rStyle w:val="26"/>
              <w:rFonts w:cs="Times New Roman"/>
            </w:rPr>
            <w:t>4． 东部地区：信息环境完善与边际效应递减</w:t>
          </w:r>
          <w:r>
            <w:rPr>
              <w:rFonts w:cs="Times New Roman"/>
            </w:rPr>
            <w:tab/>
          </w:r>
          <w:r>
            <w:rPr>
              <w:rFonts w:cs="Times New Roman"/>
            </w:rPr>
            <w:fldChar w:fldCharType="begin"/>
          </w:r>
          <w:r>
            <w:rPr>
              <w:rFonts w:cs="Times New Roman"/>
            </w:rPr>
            <w:instrText xml:space="preserve"> PAGEREF _Toc228914704 \h </w:instrText>
          </w:r>
          <w:r>
            <w:rPr>
              <w:rFonts w:cs="Times New Roman"/>
            </w:rPr>
            <w:fldChar w:fldCharType="separate"/>
          </w:r>
          <w:r>
            <w:rPr>
              <w:rFonts w:cs="Times New Roman"/>
            </w:rPr>
            <w:t>23</w:t>
          </w:r>
          <w:r>
            <w:rPr>
              <w:rFonts w:cs="Times New Roman"/>
            </w:rPr>
            <w:fldChar w:fldCharType="end"/>
          </w:r>
          <w:r>
            <w:rPr>
              <w:rFonts w:cs="Times New Roman"/>
            </w:rPr>
            <w:fldChar w:fldCharType="end"/>
          </w:r>
        </w:p>
        <w:p w14:paraId="10BA61E5">
          <w:pPr>
            <w:pStyle w:val="17"/>
            <w:tabs>
              <w:tab w:val="right" w:leader="dot" w:pos="8296"/>
            </w:tabs>
            <w:ind w:firstLine="0" w:firstLineChars="0"/>
            <w:rPr>
              <w:rFonts w:cs="Times New Roman"/>
              <w:sz w:val="22"/>
              <w:szCs w:val="24"/>
              <w14:ligatures w14:val="standardContextual"/>
            </w:rPr>
          </w:pPr>
          <w:r>
            <w:fldChar w:fldCharType="begin"/>
          </w:r>
          <w:r>
            <w:instrText xml:space="preserve"> HYPERLINK \l "_Toc228914705" </w:instrText>
          </w:r>
          <w:r>
            <w:fldChar w:fldCharType="separate"/>
          </w:r>
          <w:r>
            <w:rPr>
              <w:rStyle w:val="26"/>
              <w:rFonts w:cs="Times New Roman"/>
            </w:rPr>
            <w:t>六、 机制分析</w:t>
          </w:r>
          <w:r>
            <w:rPr>
              <w:rFonts w:cs="Times New Roman"/>
            </w:rPr>
            <w:tab/>
          </w:r>
          <w:r>
            <w:rPr>
              <w:rFonts w:cs="Times New Roman"/>
            </w:rPr>
            <w:fldChar w:fldCharType="begin"/>
          </w:r>
          <w:r>
            <w:rPr>
              <w:rFonts w:cs="Times New Roman"/>
            </w:rPr>
            <w:instrText xml:space="preserve"> PAGEREF _Toc228914705 \h </w:instrText>
          </w:r>
          <w:r>
            <w:rPr>
              <w:rFonts w:cs="Times New Roman"/>
            </w:rPr>
            <w:fldChar w:fldCharType="separate"/>
          </w:r>
          <w:r>
            <w:rPr>
              <w:rFonts w:cs="Times New Roman"/>
            </w:rPr>
            <w:t>24</w:t>
          </w:r>
          <w:r>
            <w:rPr>
              <w:rFonts w:cs="Times New Roman"/>
            </w:rPr>
            <w:fldChar w:fldCharType="end"/>
          </w:r>
          <w:r>
            <w:rPr>
              <w:rFonts w:cs="Times New Roman"/>
            </w:rPr>
            <w:fldChar w:fldCharType="end"/>
          </w:r>
        </w:p>
        <w:p w14:paraId="594A4C4E">
          <w:pPr>
            <w:pStyle w:val="19"/>
            <w:ind w:left="480" w:firstLine="0" w:firstLineChars="0"/>
            <w:rPr>
              <w:rFonts w:cs="Times New Roman"/>
              <w:sz w:val="22"/>
              <w:szCs w:val="24"/>
              <w14:ligatures w14:val="standardContextual"/>
            </w:rPr>
          </w:pPr>
          <w:r>
            <w:fldChar w:fldCharType="begin"/>
          </w:r>
          <w:r>
            <w:instrText xml:space="preserve"> HYPERLINK \l "_Toc228914706" </w:instrText>
          </w:r>
          <w:r>
            <w:fldChar w:fldCharType="separate"/>
          </w:r>
          <w:r>
            <w:rPr>
              <w:rStyle w:val="26"/>
              <w:rFonts w:cs="Times New Roman"/>
            </w:rPr>
            <w:t>（一） 公共数据开放对营商环境的驱动逻辑</w:t>
          </w:r>
          <w:r>
            <w:rPr>
              <w:rFonts w:cs="Times New Roman"/>
            </w:rPr>
            <w:tab/>
          </w:r>
          <w:r>
            <w:rPr>
              <w:rFonts w:cs="Times New Roman"/>
            </w:rPr>
            <w:fldChar w:fldCharType="begin"/>
          </w:r>
          <w:r>
            <w:rPr>
              <w:rFonts w:cs="Times New Roman"/>
            </w:rPr>
            <w:instrText xml:space="preserve"> PAGEREF _Toc228914706 \h </w:instrText>
          </w:r>
          <w:r>
            <w:rPr>
              <w:rFonts w:cs="Times New Roman"/>
            </w:rPr>
            <w:fldChar w:fldCharType="separate"/>
          </w:r>
          <w:r>
            <w:rPr>
              <w:rFonts w:cs="Times New Roman"/>
            </w:rPr>
            <w:t>24</w:t>
          </w:r>
          <w:r>
            <w:rPr>
              <w:rFonts w:cs="Times New Roman"/>
            </w:rPr>
            <w:fldChar w:fldCharType="end"/>
          </w:r>
          <w:r>
            <w:rPr>
              <w:rFonts w:cs="Times New Roman"/>
            </w:rPr>
            <w:fldChar w:fldCharType="end"/>
          </w:r>
        </w:p>
        <w:p w14:paraId="125E3C6F">
          <w:pPr>
            <w:pStyle w:val="14"/>
            <w:tabs>
              <w:tab w:val="right" w:leader="dot" w:pos="8296"/>
            </w:tabs>
            <w:ind w:left="960" w:firstLine="0" w:firstLineChars="0"/>
            <w:rPr>
              <w:rFonts w:cs="Times New Roman"/>
              <w:sz w:val="22"/>
              <w:szCs w:val="24"/>
              <w14:ligatures w14:val="standardContextual"/>
            </w:rPr>
          </w:pPr>
          <w:r>
            <w:fldChar w:fldCharType="begin"/>
          </w:r>
          <w:r>
            <w:instrText xml:space="preserve"> HYPERLINK \l "_Toc228914707" </w:instrText>
          </w:r>
          <w:r>
            <w:fldChar w:fldCharType="separate"/>
          </w:r>
          <w:r>
            <w:rPr>
              <w:rStyle w:val="26"/>
              <w:rFonts w:cs="Times New Roman"/>
            </w:rPr>
            <w:t>1． 金融服务环境维度</w:t>
          </w:r>
          <w:r>
            <w:rPr>
              <w:rFonts w:cs="Times New Roman"/>
            </w:rPr>
            <w:tab/>
          </w:r>
          <w:r>
            <w:rPr>
              <w:rFonts w:cs="Times New Roman"/>
            </w:rPr>
            <w:fldChar w:fldCharType="begin"/>
          </w:r>
          <w:r>
            <w:rPr>
              <w:rFonts w:cs="Times New Roman"/>
            </w:rPr>
            <w:instrText xml:space="preserve"> PAGEREF _Toc228914707 \h </w:instrText>
          </w:r>
          <w:r>
            <w:rPr>
              <w:rFonts w:cs="Times New Roman"/>
            </w:rPr>
            <w:fldChar w:fldCharType="separate"/>
          </w:r>
          <w:r>
            <w:rPr>
              <w:rFonts w:cs="Times New Roman"/>
            </w:rPr>
            <w:t>24</w:t>
          </w:r>
          <w:r>
            <w:rPr>
              <w:rFonts w:cs="Times New Roman"/>
            </w:rPr>
            <w:fldChar w:fldCharType="end"/>
          </w:r>
          <w:r>
            <w:rPr>
              <w:rFonts w:cs="Times New Roman"/>
            </w:rPr>
            <w:fldChar w:fldCharType="end"/>
          </w:r>
        </w:p>
        <w:p w14:paraId="4441179C">
          <w:pPr>
            <w:pStyle w:val="14"/>
            <w:tabs>
              <w:tab w:val="right" w:leader="dot" w:pos="8296"/>
            </w:tabs>
            <w:ind w:left="960" w:firstLine="0" w:firstLineChars="0"/>
            <w:rPr>
              <w:rFonts w:cs="Times New Roman"/>
              <w:sz w:val="22"/>
              <w:szCs w:val="24"/>
              <w14:ligatures w14:val="standardContextual"/>
            </w:rPr>
          </w:pPr>
          <w:r>
            <w:fldChar w:fldCharType="begin"/>
          </w:r>
          <w:r>
            <w:instrText xml:space="preserve"> HYPERLINK \l "_Toc228914708" </w:instrText>
          </w:r>
          <w:r>
            <w:fldChar w:fldCharType="separate"/>
          </w:r>
          <w:r>
            <w:rPr>
              <w:rStyle w:val="26"/>
              <w:rFonts w:cs="Times New Roman"/>
            </w:rPr>
            <w:t>2． 人力要素环境维度</w:t>
          </w:r>
          <w:r>
            <w:rPr>
              <w:rFonts w:cs="Times New Roman"/>
            </w:rPr>
            <w:tab/>
          </w:r>
          <w:r>
            <w:rPr>
              <w:rFonts w:cs="Times New Roman"/>
            </w:rPr>
            <w:fldChar w:fldCharType="begin"/>
          </w:r>
          <w:r>
            <w:rPr>
              <w:rFonts w:cs="Times New Roman"/>
            </w:rPr>
            <w:instrText xml:space="preserve"> PAGEREF _Toc228914708 \h </w:instrText>
          </w:r>
          <w:r>
            <w:rPr>
              <w:rFonts w:cs="Times New Roman"/>
            </w:rPr>
            <w:fldChar w:fldCharType="separate"/>
          </w:r>
          <w:r>
            <w:rPr>
              <w:rFonts w:cs="Times New Roman"/>
            </w:rPr>
            <w:t>24</w:t>
          </w:r>
          <w:r>
            <w:rPr>
              <w:rFonts w:cs="Times New Roman"/>
            </w:rPr>
            <w:fldChar w:fldCharType="end"/>
          </w:r>
          <w:r>
            <w:rPr>
              <w:rFonts w:cs="Times New Roman"/>
            </w:rPr>
            <w:fldChar w:fldCharType="end"/>
          </w:r>
        </w:p>
        <w:p w14:paraId="103398BC">
          <w:pPr>
            <w:pStyle w:val="14"/>
            <w:tabs>
              <w:tab w:val="right" w:leader="dot" w:pos="8296"/>
            </w:tabs>
            <w:ind w:left="960" w:firstLine="0" w:firstLineChars="0"/>
            <w:rPr>
              <w:rFonts w:cs="Times New Roman"/>
              <w:sz w:val="22"/>
              <w:szCs w:val="24"/>
              <w14:ligatures w14:val="standardContextual"/>
            </w:rPr>
          </w:pPr>
          <w:r>
            <w:fldChar w:fldCharType="begin"/>
          </w:r>
          <w:r>
            <w:instrText xml:space="preserve"> HYPERLINK \l "_Toc228914709" </w:instrText>
          </w:r>
          <w:r>
            <w:fldChar w:fldCharType="separate"/>
          </w:r>
          <w:r>
            <w:rPr>
              <w:rStyle w:val="26"/>
              <w:rFonts w:cs="Times New Roman"/>
            </w:rPr>
            <w:t>3． 市场环境维度</w:t>
          </w:r>
          <w:r>
            <w:rPr>
              <w:rFonts w:cs="Times New Roman"/>
            </w:rPr>
            <w:tab/>
          </w:r>
          <w:r>
            <w:rPr>
              <w:rFonts w:cs="Times New Roman"/>
            </w:rPr>
            <w:fldChar w:fldCharType="begin"/>
          </w:r>
          <w:r>
            <w:rPr>
              <w:rFonts w:cs="Times New Roman"/>
            </w:rPr>
            <w:instrText xml:space="preserve"> PAGEREF _Toc228914709 \h </w:instrText>
          </w:r>
          <w:r>
            <w:rPr>
              <w:rFonts w:cs="Times New Roman"/>
            </w:rPr>
            <w:fldChar w:fldCharType="separate"/>
          </w:r>
          <w:r>
            <w:rPr>
              <w:rFonts w:cs="Times New Roman"/>
            </w:rPr>
            <w:t>24</w:t>
          </w:r>
          <w:r>
            <w:rPr>
              <w:rFonts w:cs="Times New Roman"/>
            </w:rPr>
            <w:fldChar w:fldCharType="end"/>
          </w:r>
          <w:r>
            <w:rPr>
              <w:rFonts w:cs="Times New Roman"/>
            </w:rPr>
            <w:fldChar w:fldCharType="end"/>
          </w:r>
        </w:p>
        <w:p w14:paraId="26772EB4">
          <w:pPr>
            <w:pStyle w:val="14"/>
            <w:tabs>
              <w:tab w:val="right" w:leader="dot" w:pos="8296"/>
            </w:tabs>
            <w:ind w:left="960" w:firstLine="0" w:firstLineChars="0"/>
            <w:rPr>
              <w:rFonts w:cs="Times New Roman"/>
              <w:sz w:val="22"/>
              <w:szCs w:val="24"/>
              <w14:ligatures w14:val="standardContextual"/>
            </w:rPr>
          </w:pPr>
          <w:r>
            <w:fldChar w:fldCharType="begin"/>
          </w:r>
          <w:r>
            <w:instrText xml:space="preserve"> HYPERLINK \l "_Toc228914710" </w:instrText>
          </w:r>
          <w:r>
            <w:fldChar w:fldCharType="separate"/>
          </w:r>
          <w:r>
            <w:rPr>
              <w:rStyle w:val="26"/>
              <w:rFonts w:cs="Times New Roman"/>
            </w:rPr>
            <w:t>4． 社会服务环境维度</w:t>
          </w:r>
          <w:r>
            <w:rPr>
              <w:rFonts w:cs="Times New Roman"/>
            </w:rPr>
            <w:tab/>
          </w:r>
          <w:r>
            <w:rPr>
              <w:rFonts w:cs="Times New Roman"/>
            </w:rPr>
            <w:fldChar w:fldCharType="begin"/>
          </w:r>
          <w:r>
            <w:rPr>
              <w:rFonts w:cs="Times New Roman"/>
            </w:rPr>
            <w:instrText xml:space="preserve"> PAGEREF _Toc228914710 \h </w:instrText>
          </w:r>
          <w:r>
            <w:rPr>
              <w:rFonts w:cs="Times New Roman"/>
            </w:rPr>
            <w:fldChar w:fldCharType="separate"/>
          </w:r>
          <w:r>
            <w:rPr>
              <w:rFonts w:cs="Times New Roman"/>
            </w:rPr>
            <w:t>24</w:t>
          </w:r>
          <w:r>
            <w:rPr>
              <w:rFonts w:cs="Times New Roman"/>
            </w:rPr>
            <w:fldChar w:fldCharType="end"/>
          </w:r>
          <w:r>
            <w:rPr>
              <w:rFonts w:cs="Times New Roman"/>
            </w:rPr>
            <w:fldChar w:fldCharType="end"/>
          </w:r>
        </w:p>
        <w:p w14:paraId="45477107">
          <w:pPr>
            <w:pStyle w:val="14"/>
            <w:tabs>
              <w:tab w:val="right" w:leader="dot" w:pos="8296"/>
            </w:tabs>
            <w:ind w:left="960" w:firstLine="0" w:firstLineChars="0"/>
            <w:rPr>
              <w:rFonts w:cs="Times New Roman"/>
              <w:sz w:val="22"/>
              <w:szCs w:val="24"/>
              <w14:ligatures w14:val="standardContextual"/>
            </w:rPr>
          </w:pPr>
          <w:r>
            <w:fldChar w:fldCharType="begin"/>
          </w:r>
          <w:r>
            <w:instrText xml:space="preserve"> HYPERLINK \l "_Toc228914711" </w:instrText>
          </w:r>
          <w:r>
            <w:fldChar w:fldCharType="separate"/>
          </w:r>
          <w:r>
            <w:rPr>
              <w:rStyle w:val="26"/>
              <w:rFonts w:cs="Times New Roman"/>
            </w:rPr>
            <w:t>5． 创新环境维度</w:t>
          </w:r>
          <w:r>
            <w:rPr>
              <w:rFonts w:cs="Times New Roman"/>
            </w:rPr>
            <w:tab/>
          </w:r>
          <w:r>
            <w:rPr>
              <w:rFonts w:cs="Times New Roman"/>
            </w:rPr>
            <w:fldChar w:fldCharType="begin"/>
          </w:r>
          <w:r>
            <w:rPr>
              <w:rFonts w:cs="Times New Roman"/>
            </w:rPr>
            <w:instrText xml:space="preserve"> PAGEREF _Toc228914711 \h </w:instrText>
          </w:r>
          <w:r>
            <w:rPr>
              <w:rFonts w:cs="Times New Roman"/>
            </w:rPr>
            <w:fldChar w:fldCharType="separate"/>
          </w:r>
          <w:r>
            <w:rPr>
              <w:rFonts w:cs="Times New Roman"/>
            </w:rPr>
            <w:t>25</w:t>
          </w:r>
          <w:r>
            <w:rPr>
              <w:rFonts w:cs="Times New Roman"/>
            </w:rPr>
            <w:fldChar w:fldCharType="end"/>
          </w:r>
          <w:r>
            <w:rPr>
              <w:rFonts w:cs="Times New Roman"/>
            </w:rPr>
            <w:fldChar w:fldCharType="end"/>
          </w:r>
        </w:p>
        <w:p w14:paraId="60C7F7E0">
          <w:pPr>
            <w:pStyle w:val="19"/>
            <w:ind w:left="480" w:firstLine="0" w:firstLineChars="0"/>
            <w:rPr>
              <w:rFonts w:cs="Times New Roman"/>
              <w:sz w:val="22"/>
              <w:szCs w:val="24"/>
              <w14:ligatures w14:val="standardContextual"/>
            </w:rPr>
          </w:pPr>
          <w:r>
            <w:fldChar w:fldCharType="begin"/>
          </w:r>
          <w:r>
            <w:instrText xml:space="preserve"> HYPERLINK \l "_Toc228914712" </w:instrText>
          </w:r>
          <w:r>
            <w:fldChar w:fldCharType="separate"/>
          </w:r>
          <w:r>
            <w:rPr>
              <w:rStyle w:val="26"/>
              <w:rFonts w:cs="Times New Roman"/>
            </w:rPr>
            <w:t>（二） 营商环境指标构建</w:t>
          </w:r>
          <w:r>
            <w:rPr>
              <w:rFonts w:cs="Times New Roman"/>
            </w:rPr>
            <w:tab/>
          </w:r>
          <w:r>
            <w:rPr>
              <w:rFonts w:cs="Times New Roman"/>
            </w:rPr>
            <w:fldChar w:fldCharType="begin"/>
          </w:r>
          <w:r>
            <w:rPr>
              <w:rFonts w:cs="Times New Roman"/>
            </w:rPr>
            <w:instrText xml:space="preserve"> PAGEREF _Toc228914712 \h </w:instrText>
          </w:r>
          <w:r>
            <w:rPr>
              <w:rFonts w:cs="Times New Roman"/>
            </w:rPr>
            <w:fldChar w:fldCharType="separate"/>
          </w:r>
          <w:r>
            <w:rPr>
              <w:rFonts w:cs="Times New Roman"/>
            </w:rPr>
            <w:t>25</w:t>
          </w:r>
          <w:r>
            <w:rPr>
              <w:rFonts w:cs="Times New Roman"/>
            </w:rPr>
            <w:fldChar w:fldCharType="end"/>
          </w:r>
          <w:r>
            <w:rPr>
              <w:rFonts w:cs="Times New Roman"/>
            </w:rPr>
            <w:fldChar w:fldCharType="end"/>
          </w:r>
        </w:p>
        <w:p w14:paraId="727D4083">
          <w:pPr>
            <w:pStyle w:val="19"/>
            <w:ind w:left="480" w:firstLine="0" w:firstLineChars="0"/>
            <w:rPr>
              <w:rFonts w:cs="Times New Roman"/>
              <w:sz w:val="22"/>
              <w:szCs w:val="24"/>
              <w14:ligatures w14:val="standardContextual"/>
            </w:rPr>
          </w:pPr>
          <w:r>
            <w:fldChar w:fldCharType="begin"/>
          </w:r>
          <w:r>
            <w:instrText xml:space="preserve"> HYPERLINK \l "_Toc228914713" </w:instrText>
          </w:r>
          <w:r>
            <w:fldChar w:fldCharType="separate"/>
          </w:r>
          <w:r>
            <w:rPr>
              <w:rStyle w:val="26"/>
              <w:rFonts w:cs="Times New Roman"/>
            </w:rPr>
            <w:t>（三） 基于DML的中介效应检验模型</w:t>
          </w:r>
          <w:r>
            <w:rPr>
              <w:rFonts w:cs="Times New Roman"/>
            </w:rPr>
            <w:tab/>
          </w:r>
          <w:r>
            <w:rPr>
              <w:rFonts w:cs="Times New Roman"/>
            </w:rPr>
            <w:fldChar w:fldCharType="begin"/>
          </w:r>
          <w:r>
            <w:rPr>
              <w:rFonts w:cs="Times New Roman"/>
            </w:rPr>
            <w:instrText xml:space="preserve"> PAGEREF _Toc228914713 \h </w:instrText>
          </w:r>
          <w:r>
            <w:rPr>
              <w:rFonts w:cs="Times New Roman"/>
            </w:rPr>
            <w:fldChar w:fldCharType="separate"/>
          </w:r>
          <w:r>
            <w:rPr>
              <w:rFonts w:cs="Times New Roman"/>
            </w:rPr>
            <w:t>25</w:t>
          </w:r>
          <w:r>
            <w:rPr>
              <w:rFonts w:cs="Times New Roman"/>
            </w:rPr>
            <w:fldChar w:fldCharType="end"/>
          </w:r>
          <w:r>
            <w:rPr>
              <w:rFonts w:cs="Times New Roman"/>
            </w:rPr>
            <w:fldChar w:fldCharType="end"/>
          </w:r>
        </w:p>
        <w:p w14:paraId="4A20D042">
          <w:pPr>
            <w:pStyle w:val="17"/>
            <w:tabs>
              <w:tab w:val="right" w:leader="dot" w:pos="8296"/>
            </w:tabs>
            <w:ind w:firstLine="0" w:firstLineChars="0"/>
            <w:rPr>
              <w:rFonts w:cs="Times New Roman"/>
              <w:sz w:val="22"/>
              <w:szCs w:val="24"/>
              <w14:ligatures w14:val="standardContextual"/>
            </w:rPr>
          </w:pPr>
          <w:r>
            <w:fldChar w:fldCharType="begin"/>
          </w:r>
          <w:r>
            <w:instrText xml:space="preserve"> HYPERLINK \l "_Toc228914714" </w:instrText>
          </w:r>
          <w:r>
            <w:fldChar w:fldCharType="separate"/>
          </w:r>
          <w:r>
            <w:rPr>
              <w:rStyle w:val="26"/>
              <w:rFonts w:cs="Times New Roman"/>
            </w:rPr>
            <w:t>七、 研究结论和展望</w:t>
          </w:r>
          <w:r>
            <w:rPr>
              <w:rFonts w:cs="Times New Roman"/>
            </w:rPr>
            <w:tab/>
          </w:r>
          <w:r>
            <w:rPr>
              <w:rFonts w:cs="Times New Roman"/>
            </w:rPr>
            <w:fldChar w:fldCharType="begin"/>
          </w:r>
          <w:r>
            <w:rPr>
              <w:rFonts w:cs="Times New Roman"/>
            </w:rPr>
            <w:instrText xml:space="preserve"> PAGEREF _Toc228914714 \h </w:instrText>
          </w:r>
          <w:r>
            <w:rPr>
              <w:rFonts w:cs="Times New Roman"/>
            </w:rPr>
            <w:fldChar w:fldCharType="separate"/>
          </w:r>
          <w:r>
            <w:rPr>
              <w:rFonts w:cs="Times New Roman"/>
            </w:rPr>
            <w:t>27</w:t>
          </w:r>
          <w:r>
            <w:rPr>
              <w:rFonts w:cs="Times New Roman"/>
            </w:rPr>
            <w:fldChar w:fldCharType="end"/>
          </w:r>
          <w:r>
            <w:rPr>
              <w:rFonts w:cs="Times New Roman"/>
            </w:rPr>
            <w:fldChar w:fldCharType="end"/>
          </w:r>
        </w:p>
        <w:p w14:paraId="67E258C1">
          <w:pPr>
            <w:pStyle w:val="19"/>
            <w:ind w:left="480" w:firstLine="0" w:firstLineChars="0"/>
            <w:rPr>
              <w:rFonts w:cs="Times New Roman"/>
              <w:sz w:val="22"/>
              <w:szCs w:val="24"/>
              <w14:ligatures w14:val="standardContextual"/>
            </w:rPr>
          </w:pPr>
          <w:r>
            <w:fldChar w:fldCharType="begin"/>
          </w:r>
          <w:r>
            <w:instrText xml:space="preserve"> HYPERLINK \l "_Toc228914715" </w:instrText>
          </w:r>
          <w:r>
            <w:fldChar w:fldCharType="separate"/>
          </w:r>
          <w:r>
            <w:rPr>
              <w:rStyle w:val="26"/>
              <w:rFonts w:cs="Times New Roman"/>
            </w:rPr>
            <w:t>（一） 结论</w:t>
          </w:r>
          <w:r>
            <w:rPr>
              <w:rFonts w:cs="Times New Roman"/>
            </w:rPr>
            <w:tab/>
          </w:r>
          <w:r>
            <w:rPr>
              <w:rFonts w:cs="Times New Roman"/>
            </w:rPr>
            <w:fldChar w:fldCharType="begin"/>
          </w:r>
          <w:r>
            <w:rPr>
              <w:rFonts w:cs="Times New Roman"/>
            </w:rPr>
            <w:instrText xml:space="preserve"> PAGEREF _Toc228914715 \h </w:instrText>
          </w:r>
          <w:r>
            <w:rPr>
              <w:rFonts w:cs="Times New Roman"/>
            </w:rPr>
            <w:fldChar w:fldCharType="separate"/>
          </w:r>
          <w:r>
            <w:rPr>
              <w:rFonts w:cs="Times New Roman"/>
            </w:rPr>
            <w:t>27</w:t>
          </w:r>
          <w:r>
            <w:rPr>
              <w:rFonts w:cs="Times New Roman"/>
            </w:rPr>
            <w:fldChar w:fldCharType="end"/>
          </w:r>
          <w:r>
            <w:rPr>
              <w:rFonts w:cs="Times New Roman"/>
            </w:rPr>
            <w:fldChar w:fldCharType="end"/>
          </w:r>
        </w:p>
        <w:p w14:paraId="7173C9B7">
          <w:pPr>
            <w:pStyle w:val="19"/>
            <w:ind w:left="480" w:firstLine="0" w:firstLineChars="0"/>
            <w:rPr>
              <w:rFonts w:cs="Times New Roman"/>
              <w:sz w:val="22"/>
              <w:szCs w:val="24"/>
              <w14:ligatures w14:val="standardContextual"/>
            </w:rPr>
          </w:pPr>
          <w:r>
            <w:fldChar w:fldCharType="begin"/>
          </w:r>
          <w:r>
            <w:instrText xml:space="preserve"> HYPERLINK \l "_Toc228914716" </w:instrText>
          </w:r>
          <w:r>
            <w:fldChar w:fldCharType="separate"/>
          </w:r>
          <w:r>
            <w:rPr>
              <w:rStyle w:val="26"/>
              <w:rFonts w:cs="Times New Roman"/>
            </w:rPr>
            <w:t>（二） 建议</w:t>
          </w:r>
          <w:r>
            <w:rPr>
              <w:rFonts w:cs="Times New Roman"/>
            </w:rPr>
            <w:tab/>
          </w:r>
          <w:r>
            <w:rPr>
              <w:rFonts w:cs="Times New Roman"/>
            </w:rPr>
            <w:fldChar w:fldCharType="begin"/>
          </w:r>
          <w:r>
            <w:rPr>
              <w:rFonts w:cs="Times New Roman"/>
            </w:rPr>
            <w:instrText xml:space="preserve"> PAGEREF _Toc228914716 \h </w:instrText>
          </w:r>
          <w:r>
            <w:rPr>
              <w:rFonts w:cs="Times New Roman"/>
            </w:rPr>
            <w:fldChar w:fldCharType="separate"/>
          </w:r>
          <w:r>
            <w:rPr>
              <w:rFonts w:cs="Times New Roman"/>
            </w:rPr>
            <w:t>28</w:t>
          </w:r>
          <w:r>
            <w:rPr>
              <w:rFonts w:cs="Times New Roman"/>
            </w:rPr>
            <w:fldChar w:fldCharType="end"/>
          </w:r>
          <w:r>
            <w:rPr>
              <w:rFonts w:cs="Times New Roman"/>
            </w:rPr>
            <w:fldChar w:fldCharType="end"/>
          </w:r>
        </w:p>
        <w:p w14:paraId="020E5703">
          <w:pPr>
            <w:pStyle w:val="17"/>
            <w:tabs>
              <w:tab w:val="right" w:leader="dot" w:pos="8296"/>
            </w:tabs>
            <w:ind w:firstLine="0" w:firstLineChars="0"/>
            <w:rPr>
              <w:rFonts w:cs="Times New Roman"/>
              <w:sz w:val="22"/>
              <w:szCs w:val="24"/>
              <w14:ligatures w14:val="standardContextual"/>
            </w:rPr>
          </w:pPr>
          <w:r>
            <w:fldChar w:fldCharType="begin"/>
          </w:r>
          <w:r>
            <w:instrText xml:space="preserve"> HYPERLINK \l "_Toc228914717" </w:instrText>
          </w:r>
          <w:r>
            <w:fldChar w:fldCharType="separate"/>
          </w:r>
          <w:r>
            <w:rPr>
              <w:rStyle w:val="26"/>
              <w:rFonts w:cs="Times New Roman"/>
            </w:rPr>
            <w:t>七、参考文献</w:t>
          </w:r>
          <w:r>
            <w:rPr>
              <w:rFonts w:cs="Times New Roman"/>
            </w:rPr>
            <w:tab/>
          </w:r>
          <w:r>
            <w:rPr>
              <w:rFonts w:cs="Times New Roman"/>
            </w:rPr>
            <w:fldChar w:fldCharType="begin"/>
          </w:r>
          <w:r>
            <w:rPr>
              <w:rFonts w:cs="Times New Roman"/>
            </w:rPr>
            <w:instrText xml:space="preserve"> PAGEREF _Toc228914717 \h </w:instrText>
          </w:r>
          <w:r>
            <w:rPr>
              <w:rFonts w:cs="Times New Roman"/>
            </w:rPr>
            <w:fldChar w:fldCharType="separate"/>
          </w:r>
          <w:r>
            <w:rPr>
              <w:rFonts w:cs="Times New Roman"/>
            </w:rPr>
            <w:t>29</w:t>
          </w:r>
          <w:r>
            <w:rPr>
              <w:rFonts w:cs="Times New Roman"/>
            </w:rPr>
            <w:fldChar w:fldCharType="end"/>
          </w:r>
          <w:r>
            <w:rPr>
              <w:rFonts w:cs="Times New Roman"/>
            </w:rPr>
            <w:fldChar w:fldCharType="end"/>
          </w:r>
        </w:p>
        <w:p w14:paraId="7B2CC65C">
          <w:pPr>
            <w:pStyle w:val="17"/>
            <w:tabs>
              <w:tab w:val="right" w:leader="dot" w:pos="8296"/>
            </w:tabs>
            <w:ind w:firstLine="0" w:firstLineChars="0"/>
            <w:rPr>
              <w:rFonts w:cs="Times New Roman"/>
              <w:sz w:val="22"/>
              <w:szCs w:val="24"/>
              <w14:ligatures w14:val="standardContextual"/>
            </w:rPr>
          </w:pPr>
          <w:r>
            <w:fldChar w:fldCharType="begin"/>
          </w:r>
          <w:r>
            <w:instrText xml:space="preserve"> HYPERLINK \l "_Toc228914718" </w:instrText>
          </w:r>
          <w:r>
            <w:fldChar w:fldCharType="separate"/>
          </w:r>
          <w:r>
            <w:rPr>
              <w:rStyle w:val="26"/>
              <w:rFonts w:cs="Times New Roman"/>
            </w:rPr>
            <w:t>八、附录</w:t>
          </w:r>
          <w:r>
            <w:rPr>
              <w:rFonts w:cs="Times New Roman"/>
            </w:rPr>
            <w:tab/>
          </w:r>
          <w:r>
            <w:rPr>
              <w:rFonts w:cs="Times New Roman"/>
            </w:rPr>
            <w:fldChar w:fldCharType="begin"/>
          </w:r>
          <w:r>
            <w:rPr>
              <w:rFonts w:cs="Times New Roman"/>
            </w:rPr>
            <w:instrText xml:space="preserve"> PAGEREF _Toc228914718 \h </w:instrText>
          </w:r>
          <w:r>
            <w:rPr>
              <w:rFonts w:cs="Times New Roman"/>
            </w:rPr>
            <w:fldChar w:fldCharType="separate"/>
          </w:r>
          <w:r>
            <w:rPr>
              <w:rFonts w:cs="Times New Roman"/>
            </w:rPr>
            <w:t>33</w:t>
          </w:r>
          <w:r>
            <w:rPr>
              <w:rFonts w:cs="Times New Roman"/>
            </w:rPr>
            <w:fldChar w:fldCharType="end"/>
          </w:r>
          <w:r>
            <w:rPr>
              <w:rFonts w:cs="Times New Roman"/>
            </w:rPr>
            <w:fldChar w:fldCharType="end"/>
          </w:r>
        </w:p>
        <w:p w14:paraId="7FC2A112">
          <w:pPr>
            <w:pStyle w:val="17"/>
            <w:tabs>
              <w:tab w:val="right" w:leader="dot" w:pos="8296"/>
            </w:tabs>
            <w:ind w:firstLine="0" w:firstLineChars="0"/>
            <w:rPr>
              <w:rFonts w:cs="Times New Roman"/>
              <w:sz w:val="22"/>
              <w:szCs w:val="24"/>
              <w14:ligatures w14:val="standardContextual"/>
            </w:rPr>
          </w:pPr>
          <w:r>
            <w:fldChar w:fldCharType="begin"/>
          </w:r>
          <w:r>
            <w:instrText xml:space="preserve"> HYPERLINK \l "_Toc228914719" </w:instrText>
          </w:r>
          <w:r>
            <w:fldChar w:fldCharType="separate"/>
          </w:r>
          <w:r>
            <w:rPr>
              <w:rStyle w:val="26"/>
              <w:rFonts w:cs="Times New Roman"/>
            </w:rPr>
            <w:t>九、致谢</w:t>
          </w:r>
          <w:r>
            <w:rPr>
              <w:rFonts w:cs="Times New Roman"/>
            </w:rPr>
            <w:tab/>
          </w:r>
          <w:r>
            <w:rPr>
              <w:rFonts w:cs="Times New Roman"/>
            </w:rPr>
            <w:fldChar w:fldCharType="begin"/>
          </w:r>
          <w:r>
            <w:rPr>
              <w:rFonts w:cs="Times New Roman"/>
            </w:rPr>
            <w:instrText xml:space="preserve"> PAGEREF _Toc228914719 \h </w:instrText>
          </w:r>
          <w:r>
            <w:rPr>
              <w:rFonts w:cs="Times New Roman"/>
            </w:rPr>
            <w:fldChar w:fldCharType="separate"/>
          </w:r>
          <w:r>
            <w:rPr>
              <w:rFonts w:cs="Times New Roman"/>
            </w:rPr>
            <w:t>34</w:t>
          </w:r>
          <w:r>
            <w:rPr>
              <w:rFonts w:cs="Times New Roman"/>
            </w:rPr>
            <w:fldChar w:fldCharType="end"/>
          </w:r>
          <w:r>
            <w:rPr>
              <w:rFonts w:cs="Times New Roman"/>
            </w:rPr>
            <w:fldChar w:fldCharType="end"/>
          </w:r>
        </w:p>
        <w:p w14:paraId="3BC628D5">
          <w:pPr>
            <w:ind w:firstLine="0" w:firstLineChars="0"/>
            <w:rPr>
              <w:rFonts w:hint="eastAsia" w:ascii="宋体" w:hAnsi="宋体"/>
              <w:szCs w:val="24"/>
            </w:rPr>
          </w:pPr>
          <w:r>
            <w:rPr>
              <w:rFonts w:cs="Times New Roman"/>
              <w:bCs/>
              <w:szCs w:val="24"/>
              <w:lang w:val="zh-CN"/>
            </w:rPr>
            <w:fldChar w:fldCharType="end"/>
          </w:r>
        </w:p>
      </w:sdtContent>
    </w:sdt>
    <w:p w14:paraId="3C194414">
      <w:pPr>
        <w:widowControl/>
        <w:jc w:val="left"/>
        <w:rPr>
          <w:rFonts w:ascii="方正小标宋_GBK" w:hAnsi="等线" w:eastAsia="方正小标宋_GBK"/>
          <w:sz w:val="32"/>
          <w:szCs w:val="32"/>
        </w:rPr>
      </w:pPr>
      <w:r>
        <w:rPr>
          <w:rFonts w:ascii="方正小标宋_GBK" w:hAnsi="等线" w:eastAsia="方正小标宋_GBK"/>
          <w:sz w:val="32"/>
          <w:szCs w:val="32"/>
        </w:rPr>
        <w:br w:type="page"/>
      </w:r>
    </w:p>
    <w:p w14:paraId="6BA0E220">
      <w:pPr>
        <w:ind w:firstLine="480"/>
        <w:jc w:val="center"/>
        <w:rPr>
          <w:rFonts w:hint="eastAsia" w:ascii="黑体" w:hAnsi="黑体" w:eastAsia="黑体" w:cs="黑体"/>
          <w:bCs w:val="0"/>
          <w:sz w:val="28"/>
          <w:szCs w:val="28"/>
        </w:rPr>
      </w:pPr>
      <w:bookmarkStart w:id="1" w:name="_Toc228914672"/>
      <w:r>
        <w:rPr>
          <w:rFonts w:hint="eastAsia" w:ascii="黑体" w:hAnsi="黑体" w:eastAsia="黑体" w:cs="黑体"/>
          <w:bCs w:val="0"/>
          <w:sz w:val="28"/>
          <w:szCs w:val="28"/>
        </w:rPr>
        <w:t>表格与插图清单</w:t>
      </w:r>
      <w:bookmarkEnd w:id="1"/>
    </w:p>
    <w:p w14:paraId="55FDF305">
      <w:pPr>
        <w:pStyle w:val="18"/>
        <w:tabs>
          <w:tab w:val="right" w:leader="dot" w:pos="8306"/>
        </w:tabs>
      </w:pPr>
      <w:r>
        <w:rPr>
          <w:rFonts w:hint="eastAsia"/>
          <w:szCs w:val="24"/>
        </w:rPr>
        <w:fldChar w:fldCharType="begin"/>
      </w:r>
      <w:r>
        <w:rPr>
          <w:rFonts w:hint="eastAsia"/>
          <w:szCs w:val="24"/>
        </w:rPr>
        <w:instrText xml:space="preserve"> </w:instrText>
      </w:r>
      <w:r>
        <w:rPr>
          <w:szCs w:val="24"/>
        </w:rPr>
        <w:instrText xml:space="preserve">TOC \h \z \t "图标标题" \c</w:instrText>
      </w:r>
      <w:r>
        <w:rPr>
          <w:rFonts w:hint="eastAsia"/>
          <w:szCs w:val="24"/>
        </w:rPr>
        <w:instrText xml:space="preserve"> </w:instrText>
      </w:r>
      <w:r>
        <w:rPr>
          <w:rFonts w:hint="eastAsia"/>
          <w:szCs w:val="24"/>
        </w:rPr>
        <w:fldChar w:fldCharType="separate"/>
      </w:r>
      <w:r>
        <w:rPr>
          <w:rFonts w:hint="eastAsia"/>
          <w:szCs w:val="24"/>
        </w:rPr>
        <w:fldChar w:fldCharType="begin"/>
      </w:r>
      <w:r>
        <w:rPr>
          <w:rFonts w:hint="eastAsia"/>
          <w:szCs w:val="24"/>
        </w:rPr>
        <w:instrText xml:space="preserve"> HYPERLINK \l _Toc30175 </w:instrText>
      </w:r>
      <w:r>
        <w:rPr>
          <w:rFonts w:hint="eastAsia"/>
          <w:szCs w:val="24"/>
        </w:rPr>
        <w:fldChar w:fldCharType="separate"/>
      </w:r>
      <w:r>
        <w:t>图</w:t>
      </w:r>
      <w:r>
        <w:rPr>
          <w:rFonts w:hint="eastAsia"/>
        </w:rPr>
        <w:t>1</w:t>
      </w:r>
      <w:r>
        <w:t xml:space="preserve"> 研究思路图</w:t>
      </w:r>
      <w:r>
        <w:tab/>
      </w:r>
      <w:r>
        <w:fldChar w:fldCharType="begin"/>
      </w:r>
      <w:r>
        <w:instrText xml:space="preserve"> PAGEREF _Toc30175 \h </w:instrText>
      </w:r>
      <w:r>
        <w:fldChar w:fldCharType="separate"/>
      </w:r>
      <w:r>
        <w:t>3</w:t>
      </w:r>
      <w:r>
        <w:fldChar w:fldCharType="end"/>
      </w:r>
      <w:r>
        <w:rPr>
          <w:rFonts w:hint="eastAsia"/>
          <w:szCs w:val="24"/>
        </w:rPr>
        <w:fldChar w:fldCharType="end"/>
      </w:r>
    </w:p>
    <w:p w14:paraId="17412A57">
      <w:pPr>
        <w:pStyle w:val="18"/>
        <w:tabs>
          <w:tab w:val="right" w:leader="dot" w:pos="8306"/>
        </w:tabs>
      </w:pPr>
      <w:r>
        <w:rPr>
          <w:rFonts w:hint="eastAsia"/>
        </w:rPr>
        <w:fldChar w:fldCharType="begin"/>
      </w:r>
      <w:r>
        <w:rPr>
          <w:rFonts w:hint="eastAsia"/>
        </w:rPr>
        <w:instrText xml:space="preserve"> HYPERLINK \l _Toc8116 </w:instrText>
      </w:r>
      <w:r>
        <w:rPr>
          <w:rFonts w:hint="eastAsia"/>
        </w:rPr>
        <w:fldChar w:fldCharType="separate"/>
      </w:r>
      <w:r>
        <w:rPr>
          <w:rFonts w:hint="eastAsia"/>
        </w:rPr>
        <w:t>表1 系统提示词</w:t>
      </w:r>
      <w:r>
        <w:tab/>
      </w:r>
      <w:r>
        <w:fldChar w:fldCharType="begin"/>
      </w:r>
      <w:r>
        <w:instrText xml:space="preserve"> PAGEREF _Toc8116 \h </w:instrText>
      </w:r>
      <w:r>
        <w:fldChar w:fldCharType="separate"/>
      </w:r>
      <w:r>
        <w:t>9</w:t>
      </w:r>
      <w:r>
        <w:fldChar w:fldCharType="end"/>
      </w:r>
      <w:r>
        <w:rPr>
          <w:rFonts w:hint="eastAsia"/>
        </w:rPr>
        <w:fldChar w:fldCharType="end"/>
      </w:r>
    </w:p>
    <w:p w14:paraId="64B2CACB">
      <w:pPr>
        <w:pStyle w:val="18"/>
        <w:tabs>
          <w:tab w:val="right" w:leader="dot" w:pos="8306"/>
        </w:tabs>
      </w:pPr>
      <w:r>
        <w:rPr>
          <w:rFonts w:hint="eastAsia"/>
        </w:rPr>
        <w:fldChar w:fldCharType="begin"/>
      </w:r>
      <w:r>
        <w:rPr>
          <w:rFonts w:hint="eastAsia"/>
        </w:rPr>
        <w:instrText xml:space="preserve"> HYPERLINK \l _Toc4905 </w:instrText>
      </w:r>
      <w:r>
        <w:rPr>
          <w:rFonts w:hint="eastAsia"/>
        </w:rPr>
        <w:fldChar w:fldCharType="separate"/>
      </w:r>
      <w:r>
        <w:rPr>
          <w:rFonts w:hint="eastAsia"/>
        </w:rPr>
        <w:t>表2 主要变量定义</w:t>
      </w:r>
      <w:r>
        <w:tab/>
      </w:r>
      <w:r>
        <w:fldChar w:fldCharType="begin"/>
      </w:r>
      <w:r>
        <w:instrText xml:space="preserve"> PAGEREF _Toc4905 \h </w:instrText>
      </w:r>
      <w:r>
        <w:fldChar w:fldCharType="separate"/>
      </w:r>
      <w:r>
        <w:t>11</w:t>
      </w:r>
      <w:r>
        <w:fldChar w:fldCharType="end"/>
      </w:r>
      <w:r>
        <w:rPr>
          <w:rFonts w:hint="eastAsia"/>
        </w:rPr>
        <w:fldChar w:fldCharType="end"/>
      </w:r>
    </w:p>
    <w:p w14:paraId="5C97DD53">
      <w:pPr>
        <w:pStyle w:val="18"/>
        <w:tabs>
          <w:tab w:val="right" w:leader="dot" w:pos="8306"/>
        </w:tabs>
      </w:pPr>
      <w:r>
        <w:rPr>
          <w:rFonts w:hint="eastAsia"/>
        </w:rPr>
        <w:fldChar w:fldCharType="begin"/>
      </w:r>
      <w:r>
        <w:rPr>
          <w:rFonts w:hint="eastAsia"/>
        </w:rPr>
        <w:instrText xml:space="preserve"> HYPERLINK \l _Toc13148 </w:instrText>
      </w:r>
      <w:r>
        <w:rPr>
          <w:rFonts w:hint="eastAsia"/>
        </w:rPr>
        <w:fldChar w:fldCharType="separate"/>
      </w:r>
      <w:r>
        <w:rPr>
          <w:rFonts w:hint="eastAsia"/>
        </w:rPr>
        <w:t>表3 变量的描述性统计分析</w:t>
      </w:r>
      <w:r>
        <w:tab/>
      </w:r>
      <w:r>
        <w:fldChar w:fldCharType="begin"/>
      </w:r>
      <w:r>
        <w:instrText xml:space="preserve"> PAGEREF _Toc13148 \h </w:instrText>
      </w:r>
      <w:r>
        <w:fldChar w:fldCharType="separate"/>
      </w:r>
      <w:r>
        <w:t>12</w:t>
      </w:r>
      <w:r>
        <w:fldChar w:fldCharType="end"/>
      </w:r>
      <w:r>
        <w:rPr>
          <w:rFonts w:hint="eastAsia"/>
        </w:rPr>
        <w:fldChar w:fldCharType="end"/>
      </w:r>
    </w:p>
    <w:p w14:paraId="7D0CCDD1">
      <w:pPr>
        <w:pStyle w:val="18"/>
        <w:tabs>
          <w:tab w:val="right" w:leader="dot" w:pos="8306"/>
        </w:tabs>
      </w:pPr>
      <w:r>
        <w:rPr>
          <w:rFonts w:hint="eastAsia"/>
        </w:rPr>
        <w:fldChar w:fldCharType="begin"/>
      </w:r>
      <w:r>
        <w:rPr>
          <w:rFonts w:hint="eastAsia"/>
        </w:rPr>
        <w:instrText xml:space="preserve"> HYPERLINK \l _Toc15038 </w:instrText>
      </w:r>
      <w:r>
        <w:rPr>
          <w:rFonts w:hint="eastAsia"/>
        </w:rPr>
        <w:fldChar w:fldCharType="separate"/>
      </w:r>
      <w:r>
        <w:rPr>
          <w:rFonts w:hint="eastAsia"/>
          <w:lang w:eastAsia="zh"/>
          <w:woUserID w:val="1"/>
        </w:rPr>
        <w:t>表4 基准回归结果</w:t>
      </w:r>
      <w:r>
        <w:tab/>
      </w:r>
      <w:r>
        <w:fldChar w:fldCharType="begin"/>
      </w:r>
      <w:r>
        <w:instrText xml:space="preserve"> PAGEREF _Toc15038 \h </w:instrText>
      </w:r>
      <w:r>
        <w:fldChar w:fldCharType="separate"/>
      </w:r>
      <w:r>
        <w:t>15</w:t>
      </w:r>
      <w:r>
        <w:fldChar w:fldCharType="end"/>
      </w:r>
      <w:r>
        <w:rPr>
          <w:rFonts w:hint="eastAsia"/>
        </w:rPr>
        <w:fldChar w:fldCharType="end"/>
      </w:r>
    </w:p>
    <w:p w14:paraId="1610563B">
      <w:pPr>
        <w:pStyle w:val="18"/>
        <w:tabs>
          <w:tab w:val="right" w:leader="dot" w:pos="8306"/>
        </w:tabs>
      </w:pPr>
      <w:r>
        <w:rPr>
          <w:rFonts w:hint="eastAsia"/>
        </w:rPr>
        <w:fldChar w:fldCharType="begin"/>
      </w:r>
      <w:r>
        <w:rPr>
          <w:rFonts w:hint="eastAsia"/>
        </w:rPr>
        <w:instrText xml:space="preserve"> HYPERLINK \l _Toc9626 </w:instrText>
      </w:r>
      <w:r>
        <w:rPr>
          <w:rFonts w:hint="eastAsia"/>
        </w:rPr>
        <w:fldChar w:fldCharType="separate"/>
      </w:r>
      <w:r>
        <w:rPr>
          <w:rFonts w:hint="eastAsia"/>
          <w:woUserID w:val="1"/>
        </w:rPr>
        <w:t>表</w:t>
      </w:r>
      <w:r>
        <w:rPr>
          <w:rFonts w:hint="eastAsia"/>
          <w:lang w:eastAsia="zh"/>
          <w:woUserID w:val="1"/>
        </w:rPr>
        <w:t>5</w:t>
      </w:r>
      <w:r>
        <w:rPr>
          <w:rFonts w:hint="eastAsia"/>
          <w:woUserID w:val="1"/>
        </w:rPr>
        <w:t xml:space="preserve"> 公共数据开放对企业诉求的基准回归结果</w:t>
      </w:r>
      <w:r>
        <w:tab/>
      </w:r>
      <w:r>
        <w:fldChar w:fldCharType="begin"/>
      </w:r>
      <w:r>
        <w:instrText xml:space="preserve"> PAGEREF _Toc9626 \h </w:instrText>
      </w:r>
      <w:r>
        <w:fldChar w:fldCharType="separate"/>
      </w:r>
      <w:r>
        <w:t>16</w:t>
      </w:r>
      <w:r>
        <w:fldChar w:fldCharType="end"/>
      </w:r>
      <w:r>
        <w:rPr>
          <w:rFonts w:hint="eastAsia"/>
        </w:rPr>
        <w:fldChar w:fldCharType="end"/>
      </w:r>
    </w:p>
    <w:p w14:paraId="602E933F">
      <w:pPr>
        <w:pStyle w:val="18"/>
        <w:tabs>
          <w:tab w:val="right" w:leader="dot" w:pos="8306"/>
        </w:tabs>
      </w:pPr>
      <w:r>
        <w:rPr>
          <w:rFonts w:hint="eastAsia"/>
        </w:rPr>
        <w:fldChar w:fldCharType="begin"/>
      </w:r>
      <w:r>
        <w:rPr>
          <w:rFonts w:hint="eastAsia"/>
        </w:rPr>
        <w:instrText xml:space="preserve"> HYPERLINK \l _Toc30507 </w:instrText>
      </w:r>
      <w:r>
        <w:rPr>
          <w:rFonts w:hint="eastAsia"/>
        </w:rPr>
        <w:fldChar w:fldCharType="separate"/>
      </w:r>
      <w:r>
        <w:rPr>
          <w:rFonts w:hint="eastAsia"/>
        </w:rPr>
        <w:t>表</w:t>
      </w:r>
      <w:r>
        <w:rPr>
          <w:rFonts w:hint="eastAsia"/>
          <w:lang w:eastAsia="zh"/>
          <w:woUserID w:val="1"/>
        </w:rPr>
        <w:t>6</w:t>
      </w:r>
      <w:r>
        <w:rPr>
          <w:rFonts w:hint="eastAsia"/>
        </w:rPr>
        <w:t xml:space="preserve"> 异质性分析结果</w:t>
      </w:r>
      <w:r>
        <w:tab/>
      </w:r>
      <w:r>
        <w:fldChar w:fldCharType="begin"/>
      </w:r>
      <w:r>
        <w:instrText xml:space="preserve"> PAGEREF _Toc30507 \h </w:instrText>
      </w:r>
      <w:r>
        <w:fldChar w:fldCharType="separate"/>
      </w:r>
      <w:r>
        <w:t>17</w:t>
      </w:r>
      <w:r>
        <w:fldChar w:fldCharType="end"/>
      </w:r>
      <w:r>
        <w:rPr>
          <w:rFonts w:hint="eastAsia"/>
        </w:rPr>
        <w:fldChar w:fldCharType="end"/>
      </w:r>
    </w:p>
    <w:p w14:paraId="3382F273">
      <w:pPr>
        <w:pStyle w:val="18"/>
        <w:tabs>
          <w:tab w:val="right" w:leader="dot" w:pos="8306"/>
        </w:tabs>
      </w:pPr>
      <w:r>
        <w:rPr>
          <w:rFonts w:hint="eastAsia"/>
        </w:rPr>
        <w:fldChar w:fldCharType="begin"/>
      </w:r>
      <w:r>
        <w:rPr>
          <w:rFonts w:hint="eastAsia"/>
        </w:rPr>
        <w:instrText xml:space="preserve"> HYPERLINK \l _Toc19577 </w:instrText>
      </w:r>
      <w:r>
        <w:rPr>
          <w:rFonts w:hint="eastAsia"/>
        </w:rPr>
        <w:fldChar w:fldCharType="separate"/>
      </w:r>
      <w:r>
        <w:rPr>
          <w:rFonts w:hint="eastAsia"/>
          <w:lang w:bidi="ar"/>
        </w:rPr>
        <w:t>表</w:t>
      </w:r>
      <w:r>
        <w:rPr>
          <w:rFonts w:hint="eastAsia"/>
          <w:lang w:eastAsia="zh" w:bidi="ar"/>
          <w:woUserID w:val="1"/>
        </w:rPr>
        <w:t>7</w:t>
      </w:r>
      <w:r>
        <w:rPr>
          <w:rFonts w:hint="eastAsia"/>
          <w:lang w:bidi="ar"/>
        </w:rPr>
        <w:t xml:space="preserve"> 营商环境指标构建</w:t>
      </w:r>
      <w:r>
        <w:tab/>
      </w:r>
      <w:r>
        <w:fldChar w:fldCharType="begin"/>
      </w:r>
      <w:r>
        <w:instrText xml:space="preserve"> PAGEREF _Toc19577 \h </w:instrText>
      </w:r>
      <w:r>
        <w:fldChar w:fldCharType="separate"/>
      </w:r>
      <w:r>
        <w:t>20</w:t>
      </w:r>
      <w:r>
        <w:fldChar w:fldCharType="end"/>
      </w:r>
      <w:r>
        <w:rPr>
          <w:rFonts w:hint="eastAsia"/>
        </w:rPr>
        <w:fldChar w:fldCharType="end"/>
      </w:r>
    </w:p>
    <w:p w14:paraId="05FF39B8">
      <w:pPr>
        <w:pStyle w:val="18"/>
        <w:tabs>
          <w:tab w:val="right" w:leader="dot" w:pos="8306"/>
        </w:tabs>
      </w:pPr>
      <w:r>
        <w:rPr>
          <w:rFonts w:hint="eastAsia"/>
        </w:rPr>
        <w:fldChar w:fldCharType="begin"/>
      </w:r>
      <w:r>
        <w:rPr>
          <w:rFonts w:hint="eastAsia"/>
        </w:rPr>
        <w:instrText xml:space="preserve"> HYPERLINK \l _Toc11584 </w:instrText>
      </w:r>
      <w:r>
        <w:rPr>
          <w:rFonts w:hint="eastAsia"/>
        </w:rPr>
        <w:fldChar w:fldCharType="separate"/>
      </w:r>
      <w:r>
        <w:rPr>
          <w:rFonts w:hint="eastAsia"/>
        </w:rPr>
        <w:t>表</w:t>
      </w:r>
      <w:r>
        <w:rPr>
          <w:rFonts w:hint="eastAsia"/>
          <w:lang w:val="en-US" w:eastAsia="zh-CN"/>
        </w:rPr>
        <w:t>8</w:t>
      </w:r>
      <w:r>
        <w:rPr>
          <w:rFonts w:hint="eastAsia"/>
        </w:rPr>
        <w:t xml:space="preserve"> 公共数据开放对企业创业及营商环境影响的回归结果</w:t>
      </w:r>
      <w:r>
        <w:tab/>
      </w:r>
      <w:r>
        <w:fldChar w:fldCharType="begin"/>
      </w:r>
      <w:r>
        <w:instrText xml:space="preserve"> PAGEREF _Toc11584 \h </w:instrText>
      </w:r>
      <w:r>
        <w:fldChar w:fldCharType="separate"/>
      </w:r>
      <w:r>
        <w:t>22</w:t>
      </w:r>
      <w:r>
        <w:fldChar w:fldCharType="end"/>
      </w:r>
      <w:r>
        <w:rPr>
          <w:rFonts w:hint="eastAsia"/>
        </w:rPr>
        <w:fldChar w:fldCharType="end"/>
      </w:r>
    </w:p>
    <w:p w14:paraId="2F9BAE64">
      <w:pPr>
        <w:bidi w:val="0"/>
      </w:pPr>
      <w:r>
        <w:rPr>
          <w:rFonts w:hint="eastAsia"/>
        </w:rPr>
        <w:fldChar w:fldCharType="end"/>
      </w:r>
    </w:p>
    <w:p w14:paraId="027DF6F7">
      <w:pPr>
        <w:widowControl/>
        <w:jc w:val="left"/>
        <w:rPr>
          <w:rFonts w:ascii="方正小标宋_GBK" w:hAnsi="等线" w:eastAsia="方正小标宋_GBK"/>
          <w:sz w:val="32"/>
          <w:szCs w:val="32"/>
        </w:rPr>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pgNumType w:fmt="upperRoman" w:start="1"/>
          <w:cols w:space="425" w:num="1"/>
          <w:docGrid w:type="lines" w:linePitch="312" w:charSpace="0"/>
        </w:sectPr>
      </w:pPr>
      <w:r>
        <w:rPr>
          <w:rFonts w:ascii="方正小标宋_GBK" w:hAnsi="等线" w:eastAsia="方正小标宋_GBK"/>
          <w:sz w:val="32"/>
          <w:szCs w:val="32"/>
        </w:rPr>
        <w:br w:type="page"/>
      </w:r>
    </w:p>
    <w:p w14:paraId="572B0578">
      <w:pPr>
        <w:ind w:left="0" w:leftChars="0" w:firstLine="0" w:firstLineChars="0"/>
        <w:jc w:val="center"/>
        <w:rPr>
          <w:rFonts w:hint="eastAsia" w:ascii="方正小标宋简体" w:hAnsi="宋体" w:eastAsia="方正小标宋简体" w:cs="宋体"/>
          <w:sz w:val="32"/>
          <w:szCs w:val="32"/>
        </w:rPr>
      </w:pPr>
      <w:r>
        <w:rPr>
          <w:rFonts w:hint="eastAsia" w:ascii="方正小标宋简体" w:hAnsi="宋体" w:eastAsia="方正小标宋简体" w:cs="宋体"/>
          <w:sz w:val="32"/>
          <w:szCs w:val="32"/>
        </w:rPr>
        <w:t>基于</w:t>
      </w:r>
      <w:r>
        <w:rPr>
          <w:rFonts w:hint="eastAsia" w:ascii="方正小标宋简体" w:hAnsi="等线" w:eastAsia="方正小标宋简体"/>
          <w:sz w:val="32"/>
          <w:szCs w:val="32"/>
        </w:rPr>
        <w:t>LLM</w:t>
      </w:r>
      <w:r>
        <w:rPr>
          <w:rFonts w:hint="eastAsia" w:ascii="方正小标宋简体" w:hAnsi="宋体" w:eastAsia="方正小标宋简体" w:cs="宋体"/>
          <w:sz w:val="32"/>
          <w:szCs w:val="32"/>
        </w:rPr>
        <w:t>与双重机器</w:t>
      </w:r>
      <w:r>
        <w:rPr>
          <w:rFonts w:hint="eastAsia" w:ascii="方正小标宋简体" w:hAnsi="___WRD_EMBED_SUB_49" w:eastAsia="方正小标宋简体" w:cs="___WRD_EMBED_SUB_49"/>
          <w:sz w:val="32"/>
          <w:szCs w:val="32"/>
        </w:rPr>
        <w:t>学</w:t>
      </w:r>
      <w:r>
        <w:rPr>
          <w:rFonts w:hint="eastAsia" w:ascii="方正小标宋简体" w:hAnsi="宋体" w:eastAsia="方正小标宋简体" w:cs="宋体"/>
          <w:sz w:val="32"/>
          <w:szCs w:val="32"/>
        </w:rPr>
        <w:t>习</w:t>
      </w:r>
      <w:r>
        <w:rPr>
          <w:rFonts w:hint="eastAsia" w:ascii="方正小标宋简体" w:hAnsi="___WRD_EMBED_SUB_49" w:eastAsia="方正小标宋简体" w:cs="___WRD_EMBED_SUB_49"/>
          <w:sz w:val="32"/>
          <w:szCs w:val="32"/>
        </w:rPr>
        <w:t>的公</w:t>
      </w:r>
      <w:r>
        <w:rPr>
          <w:rFonts w:hint="eastAsia" w:ascii="方正小标宋简体" w:hAnsi="宋体" w:eastAsia="方正小标宋简体" w:cs="宋体"/>
          <w:sz w:val="32"/>
          <w:szCs w:val="32"/>
        </w:rPr>
        <w:t>共数据开放效应研究</w:t>
      </w:r>
    </w:p>
    <w:p w14:paraId="357823E5">
      <w:pPr>
        <w:ind w:left="0" w:leftChars="0" w:firstLine="0" w:firstLineChars="0"/>
        <w:jc w:val="center"/>
        <w:rPr>
          <w:rFonts w:ascii="方正小标宋_GBK" w:hAnsi="等线" w:eastAsia="方正小标宋_GBK"/>
          <w:sz w:val="32"/>
          <w:szCs w:val="32"/>
        </w:rPr>
      </w:pPr>
      <w:r>
        <w:rPr>
          <w:rFonts w:ascii="方正小标宋简体" w:hAnsi="宋体" w:eastAsia="方正小标宋简体" w:cs="宋体"/>
          <w:sz w:val="32"/>
          <w:szCs w:val="32"/>
        </w:rPr>
        <w:t>——以各地市民营企业为例</w:t>
      </w:r>
    </w:p>
    <w:p w14:paraId="5D05CA94">
      <w:pPr>
        <w:pStyle w:val="2"/>
        <w:rPr>
          <w:rFonts w:hint="eastAsia"/>
        </w:rPr>
      </w:pPr>
      <w:bookmarkStart w:id="2" w:name="_Toc228914673"/>
      <w:r>
        <w:rPr>
          <w:rFonts w:hint="eastAsia"/>
        </w:rPr>
        <w:t>绪论</w:t>
      </w:r>
      <w:bookmarkEnd w:id="2"/>
    </w:p>
    <w:p w14:paraId="42397E0F">
      <w:pPr>
        <w:pStyle w:val="3"/>
        <w:rPr>
          <w:lang w:eastAsia="zh"/>
        </w:rPr>
      </w:pPr>
      <w:bookmarkStart w:id="3" w:name="_Toc228914674"/>
      <w:r>
        <w:rPr>
          <w:rFonts w:hint="eastAsia"/>
          <w:lang w:eastAsia="zh"/>
        </w:rPr>
        <w:t>研究背景与意义</w:t>
      </w:r>
      <w:bookmarkEnd w:id="3"/>
    </w:p>
    <w:p w14:paraId="32A5EDAD">
      <w:pPr>
        <w:ind w:firstLine="420" w:firstLineChars="0"/>
        <w:rPr>
          <w:lang w:eastAsia="zh"/>
        </w:rPr>
      </w:pPr>
      <w:r>
        <w:rPr>
          <w:rFonts w:hint="eastAsia"/>
          <w:lang w:eastAsia="zh"/>
        </w:rPr>
        <w:t>公共数据作为国家重要的基础性战略资源，其在赋能经济社会高质量发展中的作用日益凸显。近年来，我国公共数据资源开发利用制度规则逐步建立，数据产品和服务不断丰富，已发布四批次共一百个公共数据“跑起来”示范场景，数据要素在赋能实体经济、扩大消费需求、拓展投资空间、提升治理能力中的要素作用充分发挥。与此同时，企业作为国民经济的细胞，是市场经济的主要参与者，解决企业的问题需要多听企业的声音，了解企业面临的问题和真正需求，才能抓住要害、对症下药。因此，如何有效释放公共数据开放对企业诉求响应的助推作用，成为政府和社会各界广泛讨论的行动议题。</w:t>
      </w:r>
    </w:p>
    <w:p w14:paraId="229BD2BA">
      <w:pPr>
        <w:ind w:firstLine="420" w:firstLineChars="0"/>
        <w:rPr>
          <w:lang w:eastAsia="zh"/>
        </w:rPr>
      </w:pPr>
      <w:r>
        <w:rPr>
          <w:rFonts w:hint="eastAsia"/>
          <w:lang w:eastAsia="zh"/>
        </w:rPr>
        <w:t>那么，公共数据平台开放是否驱动了企业诉求的变化？如果该效应得到证实，其背后的作用机制是什么？公共数据开放对企业诉求的影响在不同地区、不同企业特征下又具有何种差异？对于这些问题，尽管政策层面已明确要求“制定涉企法规规章和规范性文件必须听取相关企业和行业协会商会意见”，并且公共数据资源开发利用已进入规范化、规模化阶段，但准确评估公共数据开放对企业诉求影响的实证研究仍较为缺乏。现有的相关文献多集中于数字经济对高质量发展的宏观效应（如创业活跃度、全要素生产率等），或从理论层面阐述公共数据赋能经济社会发展的路径，较少有研究在统一框架下定量考察公共数据平台开放与企业诉求之间的因果关系及其作用机制。要回答以上问题，需要在梳理相关理论的基础之上，结合中国的现实背景进行实证研究，这也为本文提供了边际贡献的机会。</w:t>
      </w:r>
    </w:p>
    <w:p w14:paraId="4EEFEAFB">
      <w:pPr>
        <w:ind w:firstLine="420" w:firstLineChars="0"/>
        <w:rPr>
          <w:lang w:eastAsia="zh"/>
        </w:rPr>
      </w:pPr>
      <w:r>
        <w:rPr>
          <w:rFonts w:hint="eastAsia"/>
          <w:lang w:eastAsia="zh"/>
        </w:rPr>
        <w:t>已有的政策文件指出，公共数据开发利用通过深化数据要素配置改革、扩大公共数据资源供给，能够优化城市管理方式，支撑公共卫生、交通管理、公共安全、生态环境、基层治理等多领域场景应用，实现态势实时感知、风险智能研判、及时协同处置。同时，健全政务数据共享机制，加强跨层级、跨地域、跨系统、跨部门、跨业务的数据共享，有利于提高政府运行数字化、智能化水平，为数字政府建设提供关键支撑，实现“高效办成一件事”，不断增强企业群众获得感。然而，这其中存在一个重要的问题：公共数据开放主要通过何种路径影响企业诉求？以往研究并没有提供一个统一的框架来回答该问题。对此，本文选取</w:t>
      </w:r>
      <w:r>
        <w:rPr>
          <w:rFonts w:hint="eastAsia"/>
        </w:rPr>
        <w:t>营商环境作为</w:t>
      </w:r>
      <w:r>
        <w:rPr>
          <w:rFonts w:hint="eastAsia"/>
          <w:lang w:eastAsia="zh"/>
        </w:rPr>
        <w:t>中介视角展开研究。企业诉求是营商环境的重要风向标，畅通企业家提出意见诉求通道，建立规范化机制化政企沟通渠道，对促进民营经济发展壮大具有重要作用。通过该角度，本文尝试基于一个完整的框架探讨公共数据开放如何影响企业诉求。并且，本文选取城市层面作为区域对象，能够在更加细致的空间尺度上对公共数据开放、政府回应与企业诉求进行研究。</w:t>
      </w:r>
    </w:p>
    <w:p w14:paraId="65168EFA">
      <w:pPr>
        <w:pStyle w:val="3"/>
        <w:rPr>
          <w:lang w:eastAsia="zh"/>
        </w:rPr>
      </w:pPr>
      <w:bookmarkStart w:id="4" w:name="_Toc228914675"/>
      <w:r>
        <w:rPr>
          <w:rFonts w:hint="eastAsia"/>
          <w:lang w:eastAsia="zh"/>
        </w:rPr>
        <w:t>研究创新点</w:t>
      </w:r>
      <w:bookmarkEnd w:id="4"/>
    </w:p>
    <w:p w14:paraId="2D77E6F6">
      <w:pPr>
        <w:ind w:firstLine="480"/>
        <w:jc w:val="left"/>
        <w:rPr>
          <w:color w:val="FF0000"/>
          <w:lang w:eastAsia="zh"/>
        </w:rPr>
      </w:pPr>
      <w:r>
        <w:rPr>
          <w:rFonts w:hint="eastAsia" w:ascii="宋体" w:hAnsi="宋体"/>
          <w:szCs w:val="24"/>
        </w:rPr>
        <w:t>本研究的创新与贡献主要体现于三方面。第一，在党中央高度重视优化营商环境、助力民营企业发展的时代背景下，本研究基于“地方领导留言板”大数据全面考察了民营企业诉求的基本特征和时空规律，具有重要的政策启示意义</w:t>
      </w:r>
      <w:r>
        <w:rPr>
          <w:rFonts w:hint="eastAsia" w:ascii="宋体" w:hAnsi="宋体"/>
          <w:szCs w:val="24"/>
          <w:vertAlign w:val="superscript"/>
        </w:rPr>
        <w:fldChar w:fldCharType="begin"/>
      </w:r>
      <w:r>
        <w:rPr>
          <w:rFonts w:hint="eastAsia" w:ascii="宋体" w:hAnsi="宋体"/>
          <w:szCs w:val="24"/>
          <w:vertAlign w:val="superscript"/>
        </w:rPr>
        <w:instrText xml:space="preserve"> REF _Ref228913058 \r \h </w:instrText>
      </w:r>
      <w:r>
        <w:rPr>
          <w:rFonts w:hint="eastAsia" w:ascii="宋体" w:hAnsi="宋体"/>
          <w:szCs w:val="24"/>
          <w:vertAlign w:val="superscript"/>
        </w:rPr>
        <w:fldChar w:fldCharType="separate"/>
      </w:r>
      <w:r>
        <w:rPr>
          <w:rFonts w:hint="eastAsia" w:ascii="宋体" w:hAnsi="宋体"/>
          <w:szCs w:val="24"/>
          <w:vertAlign w:val="superscript"/>
        </w:rPr>
        <w:t>[1]</w:t>
      </w:r>
      <w:r>
        <w:rPr>
          <w:rFonts w:hint="eastAsia" w:ascii="宋体" w:hAnsi="宋体"/>
          <w:szCs w:val="24"/>
          <w:vertAlign w:val="superscript"/>
        </w:rPr>
        <w:fldChar w:fldCharType="end"/>
      </w:r>
      <w:r>
        <w:rPr>
          <w:rFonts w:hint="eastAsia" w:ascii="宋体" w:hAnsi="宋体"/>
          <w:szCs w:val="24"/>
        </w:rPr>
        <w:t>。第二，本文使用“地方领导留言板”数据作为分析对象，确保了所考察的民营企业诉求是真实、准确和全面的。一方面，由于该留言板的作用是为公民提供直接与地方政府沟通的渠道，并且留言有非常大的概率会得到地方政府的回应，加之公民在留言时可以选择是否匿名，因此民营企业家在此平台上的发言能够真正体现自己的诉求。尤其是随着我国改革开放后经济的快速发展，我国民营企业家的社会地位普遍较高，拥有的社会资源相对更多，在面临困境时往往有更多的解决渠道。在这样的现实背景下，若民营企业家还需要通过“地方领导留言板”向党政领导发出自己的诉求，那么这些诉求必然是他们真正急难愁盼的，而且是以其较为丰富的社会资源都无法解决的</w:t>
      </w:r>
      <w:r>
        <w:rPr>
          <w:rFonts w:hint="eastAsia" w:ascii="宋体" w:hAnsi="宋体"/>
          <w:szCs w:val="24"/>
          <w:vertAlign w:val="superscript"/>
        </w:rPr>
        <w:fldChar w:fldCharType="begin"/>
      </w:r>
      <w:r>
        <w:rPr>
          <w:rFonts w:hint="eastAsia" w:ascii="宋体" w:hAnsi="宋体"/>
          <w:szCs w:val="24"/>
          <w:vertAlign w:val="superscript"/>
        </w:rPr>
        <w:instrText xml:space="preserve"> REF _Ref228913116 \r \h  \* MERGEFORMAT </w:instrText>
      </w:r>
      <w:r>
        <w:rPr>
          <w:rFonts w:hint="eastAsia" w:ascii="宋体" w:hAnsi="宋体"/>
          <w:szCs w:val="24"/>
          <w:vertAlign w:val="superscript"/>
        </w:rPr>
        <w:fldChar w:fldCharType="separate"/>
      </w:r>
      <w:r>
        <w:rPr>
          <w:rFonts w:hint="eastAsia" w:ascii="宋体" w:hAnsi="宋体"/>
          <w:szCs w:val="24"/>
          <w:vertAlign w:val="superscript"/>
        </w:rPr>
        <w:t>[2]</w:t>
      </w:r>
      <w:r>
        <w:rPr>
          <w:rFonts w:hint="eastAsia" w:ascii="宋体" w:hAnsi="宋体"/>
          <w:szCs w:val="24"/>
          <w:vertAlign w:val="superscript"/>
        </w:rPr>
        <w:fldChar w:fldCharType="end"/>
      </w:r>
      <w:r>
        <w:rPr>
          <w:rFonts w:hint="eastAsia" w:ascii="宋体" w:hAnsi="宋体"/>
          <w:szCs w:val="24"/>
          <w:vertAlign w:val="superscript"/>
        </w:rPr>
        <w:fldChar w:fldCharType="begin"/>
      </w:r>
      <w:r>
        <w:rPr>
          <w:rFonts w:hint="eastAsia" w:ascii="宋体" w:hAnsi="宋体"/>
          <w:szCs w:val="24"/>
          <w:vertAlign w:val="superscript"/>
        </w:rPr>
        <w:instrText xml:space="preserve"> REF _Ref228913122 \r \h  \* MERGEFORMAT </w:instrText>
      </w:r>
      <w:r>
        <w:rPr>
          <w:rFonts w:hint="eastAsia" w:ascii="宋体" w:hAnsi="宋体"/>
          <w:szCs w:val="24"/>
          <w:vertAlign w:val="superscript"/>
        </w:rPr>
        <w:fldChar w:fldCharType="separate"/>
      </w:r>
      <w:r>
        <w:rPr>
          <w:rFonts w:hint="eastAsia" w:ascii="宋体" w:hAnsi="宋体"/>
          <w:szCs w:val="24"/>
          <w:vertAlign w:val="superscript"/>
        </w:rPr>
        <w:t>[3]</w:t>
      </w:r>
      <w:r>
        <w:rPr>
          <w:rFonts w:hint="eastAsia" w:ascii="宋体" w:hAnsi="宋体"/>
          <w:szCs w:val="24"/>
          <w:vertAlign w:val="superscript"/>
        </w:rPr>
        <w:fldChar w:fldCharType="end"/>
      </w:r>
      <w:r>
        <w:rPr>
          <w:rFonts w:hint="eastAsia" w:ascii="宋体" w:hAnsi="宋体"/>
          <w:szCs w:val="24"/>
        </w:rPr>
        <w:t>。另一方面，由于“地方领导留言板”覆盖全国所有省市县且时间跨度长达十余年，这为我们从动态视角考察民营企业诉求的时空演变特征提供了绝佳条件。因此，我们认为，以留言文本作为分析对象在真实性、迫切性和全面性上具有问卷调查和统计资料等其他数据无可比拟的优势。第三，在研究方法上。近年来，大语言模型和生成式AI的发展为社会科学研究带来了新的机遇。由于大语言模型具有惊人的文本理解和生成能力，有研究者甚至提出它将给现有社会科学的研究范式带来重要改变。例如，有学者列举了涵盖6个领域的25个用例，说明大语言模型将对经济学和其他学科的研究方法带来巨大冲击</w:t>
      </w:r>
      <w:r>
        <w:rPr>
          <w:rFonts w:hint="eastAsia" w:ascii="宋体" w:hAnsi="宋体"/>
          <w:szCs w:val="24"/>
          <w:vertAlign w:val="superscript"/>
        </w:rPr>
        <w:fldChar w:fldCharType="begin"/>
      </w:r>
      <w:r>
        <w:rPr>
          <w:rFonts w:hint="eastAsia" w:ascii="宋体" w:hAnsi="宋体"/>
          <w:szCs w:val="24"/>
          <w:vertAlign w:val="superscript"/>
        </w:rPr>
        <w:instrText xml:space="preserve"> REF _Ref228913628 \r \h  \* MERGEFORMAT </w:instrText>
      </w:r>
      <w:r>
        <w:rPr>
          <w:rFonts w:hint="eastAsia" w:ascii="宋体" w:hAnsi="宋体"/>
          <w:szCs w:val="24"/>
          <w:vertAlign w:val="superscript"/>
        </w:rPr>
        <w:fldChar w:fldCharType="separate"/>
      </w:r>
      <w:r>
        <w:rPr>
          <w:rFonts w:hint="eastAsia" w:ascii="宋体" w:hAnsi="宋体"/>
          <w:szCs w:val="24"/>
          <w:vertAlign w:val="superscript"/>
        </w:rPr>
        <w:t>[8]</w:t>
      </w:r>
      <w:r>
        <w:rPr>
          <w:rFonts w:hint="eastAsia" w:ascii="宋体" w:hAnsi="宋体"/>
          <w:szCs w:val="24"/>
          <w:vertAlign w:val="superscript"/>
        </w:rPr>
        <w:fldChar w:fldCharType="end"/>
      </w:r>
      <w:r>
        <w:rPr>
          <w:rFonts w:hint="eastAsia" w:ascii="宋体" w:hAnsi="宋体"/>
          <w:szCs w:val="24"/>
          <w:vertAlign w:val="superscript"/>
        </w:rPr>
        <w:fldChar w:fldCharType="begin"/>
      </w:r>
      <w:r>
        <w:rPr>
          <w:rFonts w:hint="eastAsia" w:ascii="宋体" w:hAnsi="宋体"/>
          <w:szCs w:val="24"/>
          <w:vertAlign w:val="superscript"/>
        </w:rPr>
        <w:instrText xml:space="preserve"> REF _Ref228913358 \r \h  \* MERGEFORMAT </w:instrText>
      </w:r>
      <w:r>
        <w:rPr>
          <w:rFonts w:hint="eastAsia" w:ascii="宋体" w:hAnsi="宋体"/>
          <w:szCs w:val="24"/>
          <w:vertAlign w:val="superscript"/>
        </w:rPr>
        <w:fldChar w:fldCharType="separate"/>
      </w:r>
      <w:r>
        <w:rPr>
          <w:rFonts w:hint="eastAsia" w:ascii="宋体" w:hAnsi="宋体"/>
          <w:szCs w:val="24"/>
          <w:vertAlign w:val="superscript"/>
        </w:rPr>
        <w:t>[9]</w:t>
      </w:r>
      <w:r>
        <w:rPr>
          <w:rFonts w:hint="eastAsia" w:ascii="宋体" w:hAnsi="宋体"/>
          <w:szCs w:val="24"/>
          <w:vertAlign w:val="superscript"/>
        </w:rPr>
        <w:fldChar w:fldCharType="end"/>
      </w:r>
      <w:r>
        <w:rPr>
          <w:rFonts w:hint="eastAsia" w:ascii="宋体" w:hAnsi="宋体"/>
          <w:szCs w:val="24"/>
        </w:rPr>
        <w:t>。作为一项新兴技术，目前国内社会科学界对大语言模型的实践应用相对较少。本文希望在将大语言模型应用于民营企业诉求探究的同时，能够推动人工智能技术与社会科学研究方法的有机结合</w:t>
      </w:r>
      <w:r>
        <w:rPr>
          <w:rFonts w:hint="eastAsia" w:ascii="宋体" w:hAnsi="宋体"/>
          <w:szCs w:val="24"/>
          <w:vertAlign w:val="superscript"/>
        </w:rPr>
        <w:fldChar w:fldCharType="begin"/>
      </w:r>
      <w:r>
        <w:rPr>
          <w:rFonts w:hint="eastAsia" w:ascii="宋体" w:hAnsi="宋体"/>
          <w:szCs w:val="24"/>
          <w:vertAlign w:val="superscript"/>
        </w:rPr>
        <w:instrText xml:space="preserve"> REF _Ref228913637 \r \h  \* MERGEFORMAT </w:instrText>
      </w:r>
      <w:r>
        <w:rPr>
          <w:rFonts w:hint="eastAsia" w:ascii="宋体" w:hAnsi="宋体"/>
          <w:szCs w:val="24"/>
          <w:vertAlign w:val="superscript"/>
        </w:rPr>
        <w:fldChar w:fldCharType="separate"/>
      </w:r>
      <w:r>
        <w:rPr>
          <w:rFonts w:hint="eastAsia" w:ascii="宋体" w:hAnsi="宋体"/>
          <w:szCs w:val="24"/>
          <w:vertAlign w:val="superscript"/>
        </w:rPr>
        <w:t>[16]</w:t>
      </w:r>
      <w:r>
        <w:rPr>
          <w:rFonts w:hint="eastAsia" w:ascii="宋体" w:hAnsi="宋体"/>
          <w:szCs w:val="24"/>
          <w:vertAlign w:val="superscript"/>
        </w:rPr>
        <w:fldChar w:fldCharType="end"/>
      </w:r>
      <w:r>
        <w:rPr>
          <w:rFonts w:hint="eastAsia" w:ascii="宋体" w:hAnsi="宋体"/>
          <w:szCs w:val="24"/>
          <w:vertAlign w:val="superscript"/>
        </w:rPr>
        <w:fldChar w:fldCharType="begin"/>
      </w:r>
      <w:r>
        <w:rPr>
          <w:rFonts w:hint="eastAsia" w:ascii="宋体" w:hAnsi="宋体"/>
          <w:szCs w:val="24"/>
          <w:vertAlign w:val="superscript"/>
        </w:rPr>
        <w:instrText xml:space="preserve"> REF _Ref228913638 \r \h  \* MERGEFORMAT </w:instrText>
      </w:r>
      <w:r>
        <w:rPr>
          <w:rFonts w:hint="eastAsia" w:ascii="宋体" w:hAnsi="宋体"/>
          <w:szCs w:val="24"/>
          <w:vertAlign w:val="superscript"/>
        </w:rPr>
        <w:fldChar w:fldCharType="separate"/>
      </w:r>
      <w:r>
        <w:rPr>
          <w:rFonts w:hint="eastAsia" w:ascii="宋体" w:hAnsi="宋体"/>
          <w:szCs w:val="24"/>
          <w:vertAlign w:val="superscript"/>
        </w:rPr>
        <w:t>[17]</w:t>
      </w:r>
      <w:r>
        <w:rPr>
          <w:rFonts w:hint="eastAsia" w:ascii="宋体" w:hAnsi="宋体"/>
          <w:szCs w:val="24"/>
          <w:vertAlign w:val="superscript"/>
        </w:rPr>
        <w:fldChar w:fldCharType="end"/>
      </w:r>
      <w:r>
        <w:rPr>
          <w:rFonts w:hint="eastAsia" w:ascii="宋体" w:hAnsi="宋体"/>
          <w:szCs w:val="24"/>
        </w:rPr>
        <w:t>。</w:t>
      </w:r>
    </w:p>
    <w:p w14:paraId="6BE4328C">
      <w:pPr>
        <w:pStyle w:val="3"/>
      </w:pPr>
      <w:bookmarkStart w:id="5" w:name="_Toc228914676"/>
      <w:r>
        <w:rPr>
          <w:rFonts w:hint="eastAsia"/>
          <w:b/>
          <w:bCs/>
        </w:rPr>
        <w:drawing>
          <wp:anchor distT="0" distB="0" distL="114300" distR="114300" simplePos="0" relativeHeight="251659264" behindDoc="0" locked="0" layoutInCell="1" allowOverlap="1">
            <wp:simplePos x="0" y="0"/>
            <wp:positionH relativeFrom="column">
              <wp:posOffset>605155</wp:posOffset>
            </wp:positionH>
            <wp:positionV relativeFrom="paragraph">
              <wp:posOffset>405765</wp:posOffset>
            </wp:positionV>
            <wp:extent cx="4082415" cy="3042285"/>
            <wp:effectExtent l="0" t="0" r="0" b="5715"/>
            <wp:wrapTopAndBottom/>
            <wp:docPr id="1" name="图片 1" descr="技术路线框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技术路线框图"/>
                    <pic:cNvPicPr>
                      <a:picLocks noChangeAspect="1"/>
                    </pic:cNvPicPr>
                  </pic:nvPicPr>
                  <pic:blipFill>
                    <a:blip r:embed="rId13"/>
                    <a:srcRect l="22277" t="17572" r="6786" b="7662"/>
                    <a:stretch>
                      <a:fillRect/>
                    </a:stretch>
                  </pic:blipFill>
                  <pic:spPr>
                    <a:xfrm>
                      <a:off x="0" y="0"/>
                      <a:ext cx="4082415" cy="3042285"/>
                    </a:xfrm>
                    <a:prstGeom prst="rect">
                      <a:avLst/>
                    </a:prstGeom>
                    <a:noFill/>
                    <a:ln>
                      <a:noFill/>
                    </a:ln>
                  </pic:spPr>
                </pic:pic>
              </a:graphicData>
            </a:graphic>
          </wp:anchor>
        </w:drawing>
      </w:r>
      <w:r>
        <w:rPr>
          <w:rFonts w:hint="eastAsia"/>
        </w:rPr>
        <w:t>研究思路</w:t>
      </w:r>
      <w:bookmarkEnd w:id="5"/>
    </w:p>
    <w:p w14:paraId="2C741421">
      <w:pPr>
        <w:pStyle w:val="52"/>
      </w:pPr>
      <w:bookmarkStart w:id="6" w:name="_Toc30175"/>
      <w:r>
        <w:t>图</w:t>
      </w:r>
      <w:r>
        <w:rPr>
          <w:rFonts w:hint="eastAsia"/>
        </w:rPr>
        <w:t>1</w:t>
      </w:r>
      <w:r>
        <w:t xml:space="preserve"> 研究思路图</w:t>
      </w:r>
      <w:bookmarkEnd w:id="6"/>
    </w:p>
    <w:p w14:paraId="7C3505C9">
      <w:pPr>
        <w:pStyle w:val="2"/>
        <w:rPr>
          <w:rFonts w:hint="eastAsia"/>
        </w:rPr>
      </w:pPr>
      <w:bookmarkStart w:id="7" w:name="_Toc228914677"/>
      <w:r>
        <w:rPr>
          <w:rFonts w:hint="eastAsia"/>
        </w:rPr>
        <w:t>文献综述</w:t>
      </w:r>
      <w:bookmarkEnd w:id="7"/>
    </w:p>
    <w:p w14:paraId="192BDB05">
      <w:pPr>
        <w:pStyle w:val="3"/>
      </w:pPr>
      <w:bookmarkStart w:id="8" w:name="_Toc228914678"/>
      <w:r>
        <w:rPr>
          <w:rFonts w:hint="eastAsia"/>
        </w:rPr>
        <w:t>公共数据开放相关研究</w:t>
      </w:r>
      <w:bookmarkEnd w:id="8"/>
    </w:p>
    <w:p w14:paraId="51FA0CFD">
      <w:pPr>
        <w:ind w:firstLine="480"/>
      </w:pPr>
      <w:r>
        <w:t>伴随着数字技术进步与信息公开需求提升，公共数据开放的经济与社会效应逐渐成为学界关注的重要议题，并在多维度形成较为一致的研究</w:t>
      </w:r>
      <w:r>
        <w:rPr>
          <w:rFonts w:hint="eastAsia"/>
        </w:rPr>
        <w:t>共识</w:t>
      </w:r>
      <w:r>
        <w:t>。现有文献普遍认为，公共数据开放在环境治理领域发挥关键作用。郑石明（2017）系统论证了环境数据开放对治理创新的推动作用</w:t>
      </w:r>
      <w:r>
        <w:rPr>
          <w:vertAlign w:val="superscript"/>
        </w:rPr>
        <w:fldChar w:fldCharType="begin"/>
      </w:r>
      <w:r>
        <w:rPr>
          <w:vertAlign w:val="superscript"/>
        </w:rPr>
        <w:instrText xml:space="preserve"> REF _Ref228913058 \r \h  \* MERGEFORMAT </w:instrText>
      </w:r>
      <w:r>
        <w:rPr>
          <w:vertAlign w:val="superscript"/>
        </w:rPr>
        <w:fldChar w:fldCharType="separate"/>
      </w:r>
      <w:r>
        <w:rPr>
          <w:vertAlign w:val="superscript"/>
        </w:rPr>
        <w:t>[1]</w:t>
      </w:r>
      <w:r>
        <w:rPr>
          <w:vertAlign w:val="superscript"/>
        </w:rPr>
        <w:fldChar w:fldCharType="end"/>
      </w:r>
      <w:r>
        <w:t>，Song等人（2022）研究发现地方政府数据开放通过公众监督与政策执行强化促进减排</w:t>
      </w:r>
      <w:r>
        <w:rPr>
          <w:vertAlign w:val="superscript"/>
        </w:rPr>
        <w:fldChar w:fldCharType="begin"/>
      </w:r>
      <w:r>
        <w:rPr>
          <w:vertAlign w:val="superscript"/>
        </w:rPr>
        <w:instrText xml:space="preserve"> REF _Ref228913082 \r \h  \* MERGEFORMAT </w:instrText>
      </w:r>
      <w:r>
        <w:rPr>
          <w:vertAlign w:val="superscript"/>
        </w:rPr>
        <w:fldChar w:fldCharType="separate"/>
      </w:r>
      <w:r>
        <w:rPr>
          <w:vertAlign w:val="superscript"/>
        </w:rPr>
        <w:t>[29]</w:t>
      </w:r>
      <w:r>
        <w:rPr>
          <w:vertAlign w:val="superscript"/>
        </w:rPr>
        <w:fldChar w:fldCharType="end"/>
      </w:r>
      <w:r>
        <w:t>，Fusi等人（2022）探讨了美国各州通过开放政府数据推动环境正义的实践</w:t>
      </w:r>
      <w:r>
        <w:rPr>
          <w:vertAlign w:val="superscript"/>
        </w:rPr>
        <w:fldChar w:fldCharType="begin"/>
      </w:r>
      <w:r>
        <w:rPr>
          <w:vertAlign w:val="superscript"/>
        </w:rPr>
        <w:instrText xml:space="preserve"> REF _Ref228913087 \r \h  \* MERGEFORMAT </w:instrText>
      </w:r>
      <w:r>
        <w:rPr>
          <w:vertAlign w:val="superscript"/>
        </w:rPr>
        <w:fldChar w:fldCharType="separate"/>
      </w:r>
      <w:r>
        <w:rPr>
          <w:vertAlign w:val="superscript"/>
        </w:rPr>
        <w:t>[30]</w:t>
      </w:r>
      <w:r>
        <w:rPr>
          <w:vertAlign w:val="superscript"/>
        </w:rPr>
        <w:fldChar w:fldCharType="end"/>
      </w:r>
      <w:r>
        <w:t>，Liu等人（2024）进一步发现公共数据开放通过政府数字化、财政压力释放与能源需求变化等机制显著提升政府环境关注度</w:t>
      </w:r>
      <w:r>
        <w:rPr>
          <w:vertAlign w:val="superscript"/>
        </w:rPr>
        <w:fldChar w:fldCharType="begin"/>
      </w:r>
      <w:r>
        <w:rPr>
          <w:vertAlign w:val="superscript"/>
        </w:rPr>
        <w:instrText xml:space="preserve"> REF _Ref228913095 \r \h  \* MERGEFORMAT </w:instrText>
      </w:r>
      <w:r>
        <w:rPr>
          <w:vertAlign w:val="superscript"/>
        </w:rPr>
        <w:fldChar w:fldCharType="separate"/>
      </w:r>
      <w:r>
        <w:rPr>
          <w:vertAlign w:val="superscript"/>
        </w:rPr>
        <w:t>[31]</w:t>
      </w:r>
      <w:r>
        <w:rPr>
          <w:vertAlign w:val="superscript"/>
        </w:rPr>
        <w:fldChar w:fldCharType="end"/>
      </w:r>
      <w:r>
        <w:t>。其次，在技术创新方面，公共数据开放被视为重要驱动力。Yan等人（2023）证实其对城市创新具有显著促进作用但存在区域差异</w:t>
      </w:r>
      <w:r>
        <w:rPr>
          <w:vertAlign w:val="superscript"/>
        </w:rPr>
        <w:fldChar w:fldCharType="begin"/>
      </w:r>
      <w:r>
        <w:rPr>
          <w:vertAlign w:val="superscript"/>
        </w:rPr>
        <w:instrText xml:space="preserve"> REF _Ref228913102 \r \h  \* MERGEFORMAT </w:instrText>
      </w:r>
      <w:r>
        <w:rPr>
          <w:vertAlign w:val="superscript"/>
        </w:rPr>
        <w:fldChar w:fldCharType="separate"/>
      </w:r>
      <w:r>
        <w:rPr>
          <w:vertAlign w:val="superscript"/>
        </w:rPr>
        <w:t>[32]</w:t>
      </w:r>
      <w:r>
        <w:rPr>
          <w:vertAlign w:val="superscript"/>
        </w:rPr>
        <w:fldChar w:fldCharType="end"/>
      </w:r>
      <w:r>
        <w:t>，蔡菲莹和黄秀薷（2022）从微观层面发现政府数据开放显著促进企业创新</w:t>
      </w:r>
      <w:r>
        <w:rPr>
          <w:vertAlign w:val="superscript"/>
        </w:rPr>
        <w:fldChar w:fldCharType="begin"/>
      </w:r>
      <w:r>
        <w:rPr>
          <w:vertAlign w:val="superscript"/>
        </w:rPr>
        <w:instrText xml:space="preserve"> REF _Ref228913116 \r \h  \* MERGEFORMAT </w:instrText>
      </w:r>
      <w:r>
        <w:rPr>
          <w:vertAlign w:val="superscript"/>
        </w:rPr>
        <w:fldChar w:fldCharType="separate"/>
      </w:r>
      <w:r>
        <w:rPr>
          <w:vertAlign w:val="superscript"/>
        </w:rPr>
        <w:t>[2]</w:t>
      </w:r>
      <w:r>
        <w:rPr>
          <w:vertAlign w:val="superscript"/>
        </w:rPr>
        <w:fldChar w:fldCharType="end"/>
      </w:r>
      <w:r>
        <w:t>，黄先海和虞柳明（2023）指出其通过激发创业活力、集聚人才与提升行政效率促进创新发展</w:t>
      </w:r>
      <w:r>
        <w:rPr>
          <w:vertAlign w:val="superscript"/>
        </w:rPr>
        <w:fldChar w:fldCharType="begin"/>
      </w:r>
      <w:r>
        <w:rPr>
          <w:vertAlign w:val="superscript"/>
        </w:rPr>
        <w:instrText xml:space="preserve"> REF _Ref228913122 \r \h  \* MERGEFORMAT </w:instrText>
      </w:r>
      <w:r>
        <w:rPr>
          <w:vertAlign w:val="superscript"/>
        </w:rPr>
        <w:fldChar w:fldCharType="separate"/>
      </w:r>
      <w:r>
        <w:rPr>
          <w:vertAlign w:val="superscript"/>
        </w:rPr>
        <w:t>[3]</w:t>
      </w:r>
      <w:r>
        <w:rPr>
          <w:vertAlign w:val="superscript"/>
        </w:rPr>
        <w:fldChar w:fldCharType="end"/>
      </w:r>
      <w:r>
        <w:t>，章昌平等人（2024）则从直接与间接路径系统揭示其提升区域创新能力的机制</w:t>
      </w:r>
      <w:r>
        <w:rPr>
          <w:vertAlign w:val="superscript"/>
        </w:rPr>
        <w:fldChar w:fldCharType="begin"/>
      </w:r>
      <w:r>
        <w:rPr>
          <w:vertAlign w:val="superscript"/>
        </w:rPr>
        <w:instrText xml:space="preserve"> REF _Ref228913128 \r \h  \* MERGEFORMAT </w:instrText>
      </w:r>
      <w:r>
        <w:rPr>
          <w:vertAlign w:val="superscript"/>
        </w:rPr>
        <w:fldChar w:fldCharType="separate"/>
      </w:r>
      <w:r>
        <w:rPr>
          <w:vertAlign w:val="superscript"/>
        </w:rPr>
        <w:t>[4]</w:t>
      </w:r>
      <w:r>
        <w:rPr>
          <w:vertAlign w:val="superscript"/>
        </w:rPr>
        <w:fldChar w:fldCharType="end"/>
      </w:r>
      <w:r>
        <w:t>。再次，在宏观经济层面，张莉等人（2023）研究发现公共数据开放通过降低信息不对称和创新成本推动经济高质量发展</w:t>
      </w:r>
      <w:r>
        <w:rPr>
          <w:vertAlign w:val="superscript"/>
        </w:rPr>
        <w:fldChar w:fldCharType="begin"/>
      </w:r>
      <w:r>
        <w:rPr>
          <w:vertAlign w:val="superscript"/>
        </w:rPr>
        <w:instrText xml:space="preserve"> REF _Ref228913290 \r \h  \* MERGEFORMAT </w:instrText>
      </w:r>
      <w:r>
        <w:rPr>
          <w:vertAlign w:val="superscript"/>
        </w:rPr>
        <w:fldChar w:fldCharType="separate"/>
      </w:r>
      <w:r>
        <w:rPr>
          <w:vertAlign w:val="superscript"/>
        </w:rPr>
        <w:t>[5]</w:t>
      </w:r>
      <w:r>
        <w:rPr>
          <w:vertAlign w:val="superscript"/>
        </w:rPr>
        <w:fldChar w:fldCharType="end"/>
      </w:r>
      <w:r>
        <w:t>，赵丽丽和郝文强（2023）发现其对数字经济发展具有显著正向影响且存在动态效应</w:t>
      </w:r>
      <w:r>
        <w:rPr>
          <w:vertAlign w:val="superscript"/>
        </w:rPr>
        <w:fldChar w:fldCharType="begin"/>
      </w:r>
      <w:r>
        <w:rPr>
          <w:vertAlign w:val="superscript"/>
        </w:rPr>
        <w:instrText xml:space="preserve"> REF _Ref228913296 \r \h  \* MERGEFORMAT </w:instrText>
      </w:r>
      <w:r>
        <w:rPr>
          <w:vertAlign w:val="superscript"/>
        </w:rPr>
        <w:fldChar w:fldCharType="separate"/>
      </w:r>
      <w:r>
        <w:rPr>
          <w:vertAlign w:val="superscript"/>
        </w:rPr>
        <w:t>[6]</w:t>
      </w:r>
      <w:r>
        <w:rPr>
          <w:vertAlign w:val="superscript"/>
        </w:rPr>
        <w:fldChar w:fldCharType="end"/>
      </w:r>
      <w:r>
        <w:t>，Wang等人（2024）指出其通过提升治理透明度与服务质量并带动数字经济与基础设施协同发展形成良性循环。</w:t>
      </w:r>
      <w:r>
        <w:rPr>
          <w:vertAlign w:val="superscript"/>
        </w:rPr>
        <w:fldChar w:fldCharType="begin"/>
      </w:r>
      <w:r>
        <w:rPr>
          <w:vertAlign w:val="superscript"/>
        </w:rPr>
        <w:instrText xml:space="preserve"> REF _Ref228913316 \r \h  \* MERGEFORMAT </w:instrText>
      </w:r>
      <w:r>
        <w:rPr>
          <w:vertAlign w:val="superscript"/>
        </w:rPr>
        <w:fldChar w:fldCharType="separate"/>
      </w:r>
      <w:r>
        <w:rPr>
          <w:vertAlign w:val="superscript"/>
        </w:rPr>
        <w:t>[33]</w:t>
      </w:r>
      <w:r>
        <w:rPr>
          <w:vertAlign w:val="superscript"/>
        </w:rPr>
        <w:fldChar w:fldCharType="end"/>
      </w:r>
      <w:r>
        <w:t>进一步地，在企业层面，彭远怀（2023）研究发现政府数据开放通过优化营商环境和提升企业能力显著提高企业全要素生产率</w:t>
      </w:r>
      <w:r>
        <w:rPr>
          <w:vertAlign w:val="superscript"/>
        </w:rPr>
        <w:fldChar w:fldCharType="begin"/>
      </w:r>
      <w:r>
        <w:rPr>
          <w:vertAlign w:val="superscript"/>
        </w:rPr>
        <w:instrText xml:space="preserve"> REF _Ref228913350 \r \h  \* MERGEFORMAT </w:instrText>
      </w:r>
      <w:r>
        <w:rPr>
          <w:vertAlign w:val="superscript"/>
        </w:rPr>
        <w:fldChar w:fldCharType="separate"/>
      </w:r>
      <w:r>
        <w:rPr>
          <w:vertAlign w:val="superscript"/>
        </w:rPr>
        <w:t>[7]</w:t>
      </w:r>
      <w:r>
        <w:rPr>
          <w:vertAlign w:val="superscript"/>
        </w:rPr>
        <w:fldChar w:fldCharType="end"/>
      </w:r>
      <w:r>
        <w:t>，吴武清等人（2024）验证了其通过降低信息处理成本提升企业生产效率</w:t>
      </w:r>
      <w:r>
        <w:rPr>
          <w:vertAlign w:val="superscript"/>
        </w:rPr>
        <w:fldChar w:fldCharType="begin"/>
      </w:r>
      <w:r>
        <w:rPr>
          <w:vertAlign w:val="superscript"/>
        </w:rPr>
        <w:instrText xml:space="preserve"> REF _Ref228913358 \r \h  \* MERGEFORMAT </w:instrText>
      </w:r>
      <w:r>
        <w:rPr>
          <w:vertAlign w:val="superscript"/>
        </w:rPr>
        <w:fldChar w:fldCharType="separate"/>
      </w:r>
      <w:r>
        <w:rPr>
          <w:vertAlign w:val="superscript"/>
        </w:rPr>
        <w:t>[9]</w:t>
      </w:r>
      <w:r>
        <w:rPr>
          <w:vertAlign w:val="superscript"/>
        </w:rPr>
        <w:fldChar w:fldCharType="end"/>
      </w:r>
      <w:r>
        <w:t>，蔡运坤等人（2024）则发现其通过降低制度性交易成本显著促进城市创业活力</w:t>
      </w:r>
      <w:r>
        <w:rPr>
          <w:vertAlign w:val="superscript"/>
        </w:rPr>
        <w:fldChar w:fldCharType="begin"/>
      </w:r>
      <w:r>
        <w:rPr>
          <w:vertAlign w:val="superscript"/>
        </w:rPr>
        <w:instrText xml:space="preserve"> REF _Ref228913369 \r \h  \* MERGEFORMAT </w:instrText>
      </w:r>
      <w:r>
        <w:rPr>
          <w:vertAlign w:val="superscript"/>
        </w:rPr>
        <w:fldChar w:fldCharType="separate"/>
      </w:r>
      <w:r>
        <w:rPr>
          <w:vertAlign w:val="superscript"/>
        </w:rPr>
        <w:t>[10]</w:t>
      </w:r>
      <w:r>
        <w:rPr>
          <w:vertAlign w:val="superscript"/>
        </w:rPr>
        <w:fldChar w:fldCharType="end"/>
      </w:r>
      <w:r>
        <w:t>。总体来看，既有研究从环境、创新与经济等多个维度系统论证了公共数据开放的积极效应，但对其如何影响企业行为，尤其是企业诉求表达这一微观机制，仍缺乏深入探讨，这也为本文提供了重要的研究切入点。</w:t>
      </w:r>
    </w:p>
    <w:p w14:paraId="4DA2E0C5">
      <w:pPr>
        <w:pStyle w:val="3"/>
      </w:pPr>
      <w:bookmarkStart w:id="9" w:name="_Toc228914679"/>
      <w:r>
        <w:rPr>
          <w:rFonts w:hint="eastAsia"/>
        </w:rPr>
        <w:t>企业诉求相关研究</w:t>
      </w:r>
      <w:bookmarkEnd w:id="9"/>
    </w:p>
    <w:p w14:paraId="7C95D535">
      <w:pPr>
        <w:ind w:firstLine="480"/>
      </w:pPr>
      <w:r>
        <w:rPr>
          <w:rFonts w:hint="eastAsia"/>
        </w:rPr>
        <w:t>国内外关于企业诉求的相关研究历经理论深化与方法革新，逐步形成了多维度分析框架。早期研究基于Pfeffer和Salancik的资源依赖理论与North的制度理论，主要聚焦单一维度的问题，如融资约束和市场准入壁垒</w:t>
      </w:r>
      <w:r>
        <w:rPr>
          <w:vertAlign w:val="superscript"/>
        </w:rPr>
        <w:fldChar w:fldCharType="begin"/>
      </w:r>
      <w:r>
        <w:rPr>
          <w:vertAlign w:val="superscript"/>
        </w:rPr>
        <w:instrText xml:space="preserve"> </w:instrText>
      </w:r>
      <w:r>
        <w:rPr>
          <w:rFonts w:hint="eastAsia"/>
          <w:vertAlign w:val="superscript"/>
        </w:rPr>
        <w:instrText xml:space="preserve">REF _Ref228913714 \r \h</w:instrText>
      </w:r>
      <w:r>
        <w:rPr>
          <w:vertAlign w:val="superscript"/>
        </w:rPr>
        <w:instrText xml:space="preserve">  \* MERGEFORMAT </w:instrText>
      </w:r>
      <w:r>
        <w:rPr>
          <w:vertAlign w:val="superscript"/>
        </w:rPr>
        <w:fldChar w:fldCharType="separate"/>
      </w:r>
      <w:r>
        <w:rPr>
          <w:vertAlign w:val="superscript"/>
        </w:rPr>
        <w:t>[34]</w:t>
      </w:r>
      <w:r>
        <w:rPr>
          <w:vertAlign w:val="superscript"/>
        </w:rPr>
        <w:fldChar w:fldCharType="end"/>
      </w:r>
      <w:r>
        <w:rPr>
          <w:vertAlign w:val="superscript"/>
        </w:rPr>
        <w:fldChar w:fldCharType="begin"/>
      </w:r>
      <w:r>
        <w:rPr>
          <w:vertAlign w:val="superscript"/>
        </w:rPr>
        <w:instrText xml:space="preserve"> REF _Ref228913717 \r \h  \* MERGEFORMAT </w:instrText>
      </w:r>
      <w:r>
        <w:rPr>
          <w:vertAlign w:val="superscript"/>
        </w:rPr>
        <w:fldChar w:fldCharType="separate"/>
      </w:r>
      <w:r>
        <w:rPr>
          <w:vertAlign w:val="superscript"/>
        </w:rPr>
        <w:t>[35]</w:t>
      </w:r>
      <w:r>
        <w:rPr>
          <w:vertAlign w:val="superscript"/>
        </w:rPr>
        <w:fldChar w:fldCharType="end"/>
      </w:r>
      <w:r>
        <w:rPr>
          <w:vertAlign w:val="superscript"/>
        </w:rPr>
        <w:fldChar w:fldCharType="begin"/>
      </w:r>
      <w:r>
        <w:rPr>
          <w:vertAlign w:val="superscript"/>
        </w:rPr>
        <w:instrText xml:space="preserve"> REF _Ref228913720 \r \h  \* MERGEFORMAT </w:instrText>
      </w:r>
      <w:r>
        <w:rPr>
          <w:vertAlign w:val="superscript"/>
        </w:rPr>
        <w:fldChar w:fldCharType="separate"/>
      </w:r>
      <w:r>
        <w:rPr>
          <w:vertAlign w:val="superscript"/>
        </w:rPr>
        <w:t>[36]</w:t>
      </w:r>
      <w:r>
        <w:rPr>
          <w:vertAlign w:val="superscript"/>
        </w:rPr>
        <w:fldChar w:fldCharType="end"/>
      </w:r>
      <w:r>
        <w:rPr>
          <w:vertAlign w:val="superscript"/>
        </w:rPr>
        <w:fldChar w:fldCharType="begin"/>
      </w:r>
      <w:r>
        <w:rPr>
          <w:vertAlign w:val="superscript"/>
        </w:rPr>
        <w:instrText xml:space="preserve"> REF _Ref228913736 \r \h  \* MERGEFORMAT </w:instrText>
      </w:r>
      <w:r>
        <w:rPr>
          <w:vertAlign w:val="superscript"/>
        </w:rPr>
        <w:fldChar w:fldCharType="separate"/>
      </w:r>
      <w:r>
        <w:rPr>
          <w:vertAlign w:val="superscript"/>
        </w:rPr>
        <w:t>[11]</w:t>
      </w:r>
      <w:r>
        <w:rPr>
          <w:vertAlign w:val="superscript"/>
        </w:rPr>
        <w:fldChar w:fldCharType="end"/>
      </w:r>
      <w:r>
        <w:rPr>
          <w:rFonts w:hint="eastAsia"/>
        </w:rPr>
        <w:t>。随着世界银行营商环境指标的引入，学者们构建了中国化评价体系，揭示了要素获取等核心诉求，并开始关注经济周期的动态影响</w:t>
      </w:r>
      <w:r>
        <w:rPr>
          <w:vertAlign w:val="superscript"/>
        </w:rPr>
        <w:fldChar w:fldCharType="begin"/>
      </w:r>
      <w:r>
        <w:rPr>
          <w:vertAlign w:val="superscript"/>
        </w:rPr>
        <w:instrText xml:space="preserve"> </w:instrText>
      </w:r>
      <w:r>
        <w:rPr>
          <w:rFonts w:hint="eastAsia"/>
          <w:vertAlign w:val="superscript"/>
        </w:rPr>
        <w:instrText xml:space="preserve">REF _Ref228913775 \r \h</w:instrText>
      </w:r>
      <w:r>
        <w:rPr>
          <w:vertAlign w:val="superscript"/>
        </w:rPr>
        <w:instrText xml:space="preserve">  \* MERGEFORMAT </w:instrText>
      </w:r>
      <w:r>
        <w:rPr>
          <w:vertAlign w:val="superscript"/>
        </w:rPr>
        <w:fldChar w:fldCharType="separate"/>
      </w:r>
      <w:r>
        <w:rPr>
          <w:vertAlign w:val="superscript"/>
        </w:rPr>
        <w:t>[12]</w:t>
      </w:r>
      <w:r>
        <w:rPr>
          <w:vertAlign w:val="superscript"/>
        </w:rPr>
        <w:fldChar w:fldCharType="end"/>
      </w:r>
      <w:r>
        <w:rPr>
          <w:vertAlign w:val="superscript"/>
        </w:rPr>
        <w:fldChar w:fldCharType="begin"/>
      </w:r>
      <w:r>
        <w:rPr>
          <w:vertAlign w:val="superscript"/>
        </w:rPr>
        <w:instrText xml:space="preserve"> REF _Ref228913785 \r \h  \* MERGEFORMAT </w:instrText>
      </w:r>
      <w:r>
        <w:rPr>
          <w:vertAlign w:val="superscript"/>
        </w:rPr>
        <w:fldChar w:fldCharType="separate"/>
      </w:r>
      <w:r>
        <w:rPr>
          <w:vertAlign w:val="superscript"/>
        </w:rPr>
        <w:t>[13]</w:t>
      </w:r>
      <w:r>
        <w:rPr>
          <w:vertAlign w:val="superscript"/>
        </w:rPr>
        <w:fldChar w:fldCharType="end"/>
      </w:r>
      <w:r>
        <w:rPr>
          <w:vertAlign w:val="superscript"/>
        </w:rPr>
        <w:fldChar w:fldCharType="begin"/>
      </w:r>
      <w:r>
        <w:rPr>
          <w:vertAlign w:val="superscript"/>
        </w:rPr>
        <w:instrText xml:space="preserve"> REF _Ref228913787 \r \h  \* MERGEFORMAT </w:instrText>
      </w:r>
      <w:r>
        <w:rPr>
          <w:vertAlign w:val="superscript"/>
        </w:rPr>
        <w:fldChar w:fldCharType="separate"/>
      </w:r>
      <w:r>
        <w:rPr>
          <w:vertAlign w:val="superscript"/>
        </w:rPr>
        <w:t>[14]</w:t>
      </w:r>
      <w:r>
        <w:rPr>
          <w:vertAlign w:val="superscript"/>
        </w:rPr>
        <w:fldChar w:fldCharType="end"/>
      </w:r>
      <w:r>
        <w:rPr>
          <w:rFonts w:hint="eastAsia"/>
        </w:rPr>
        <w:t>。研究方法从利用CPES数据库的传统问卷调查向大数据与AI技术跨越，卢圣华等人（2023）运用ChatGLM实现诉求分类，准确率达98.7%，推动了理论研究与政策实践的深度耦合。</w:t>
      </w:r>
      <w:r>
        <w:rPr>
          <w:vertAlign w:val="superscript"/>
        </w:rPr>
        <w:fldChar w:fldCharType="begin"/>
      </w:r>
      <w:r>
        <w:rPr>
          <w:vertAlign w:val="superscript"/>
        </w:rPr>
        <w:instrText xml:space="preserve"> </w:instrText>
      </w:r>
      <w:r>
        <w:rPr>
          <w:rFonts w:hint="eastAsia"/>
          <w:vertAlign w:val="superscript"/>
        </w:rPr>
        <w:instrText xml:space="preserve">REF _Ref228913795 \r \h</w:instrText>
      </w:r>
      <w:r>
        <w:rPr>
          <w:vertAlign w:val="superscript"/>
        </w:rPr>
        <w:instrText xml:space="preserve">  \* MERGEFORMAT </w:instrText>
      </w:r>
      <w:r>
        <w:rPr>
          <w:vertAlign w:val="superscript"/>
        </w:rPr>
        <w:fldChar w:fldCharType="separate"/>
      </w:r>
      <w:r>
        <w:rPr>
          <w:vertAlign w:val="superscript"/>
        </w:rPr>
        <w:t>[15]</w:t>
      </w:r>
      <w:r>
        <w:rPr>
          <w:vertAlign w:val="superscript"/>
        </w:rPr>
        <w:fldChar w:fldCharType="end"/>
      </w:r>
    </w:p>
    <w:p w14:paraId="1B2144D2">
      <w:pPr>
        <w:pStyle w:val="3"/>
      </w:pPr>
      <w:bookmarkStart w:id="10" w:name="_Toc228914680"/>
      <w:r>
        <w:rPr>
          <w:rFonts w:hint="eastAsia"/>
        </w:rPr>
        <w:t>双重机器学习相关研究</w:t>
      </w:r>
      <w:bookmarkEnd w:id="10"/>
    </w:p>
    <w:p w14:paraId="6659FBC9">
      <w:pPr>
        <w:ind w:firstLine="480"/>
        <w:rPr>
          <w:lang w:eastAsia="zh"/>
        </w:rPr>
      </w:pPr>
      <w:r>
        <w:rPr>
          <w:rFonts w:hint="eastAsia"/>
          <w:lang w:eastAsia="zh"/>
        </w:rPr>
        <w:t>双重机器学习在政策实证研究中的应用日益广泛，其核心优势在于通过结合Neyman正交化与交叉拟合，有效缓解了高维控制变量和复杂模型设定所带来的正则化偏误与过拟合偏误，从而为低维政策参数的因果推断提供了稳健基础。在具体实证中，DML已被用于评估人工智能、数字普惠金融等多种政策变量的处理效应。例如，周十同等（2025）基于企业层面数据，运用部分线性DML模型发现，人工智能技术应用通过成本控制、内部治理与持续创新三条路径显著提升了企业产业链韧性，且该效应在非链长制企业、国有企业和市场分割程度较高的地区表现更强。黄旭（2025）则采用随机森林作为辅助回归的DML方法，系统评估了数字普惠金融对农业产业链韧性的提升作用，识别出科技创新、农业专业化分工与产业结构升级作为关键传导机制，并发现该效应在粮食主销区和农业规模化程度高的地区更为突出。此外，张涛和李均超（2023）利用DML考察了网络基础设施对包容性绿色增长的影响，证实了其在缩小地区差距方面的有效性。这些研究共同表明，DML凭借其处理高维数据、自动筛选控制变量及弱化模型设定的灵活性，已成为政策评估中识别因果机制、检验稳健性与探索异质性的重要工具，尤其在传统参数方法难以应对的复杂数据下展现出显著优势</w:t>
      </w:r>
      <w:r>
        <w:rPr>
          <w:vertAlign w:val="superscript"/>
          <w:lang w:eastAsia="zh"/>
        </w:rPr>
        <w:fldChar w:fldCharType="begin"/>
      </w:r>
      <w:r>
        <w:rPr>
          <w:vertAlign w:val="superscript"/>
          <w:lang w:eastAsia="zh"/>
        </w:rPr>
        <w:instrText xml:space="preserve"> </w:instrText>
      </w:r>
      <w:r>
        <w:rPr>
          <w:rFonts w:hint="eastAsia"/>
          <w:vertAlign w:val="superscript"/>
          <w:lang w:eastAsia="zh"/>
        </w:rPr>
        <w:instrText xml:space="preserve">REF _Ref228913638 \r \h</w:instrText>
      </w:r>
      <w:r>
        <w:rPr>
          <w:vertAlign w:val="superscript"/>
          <w:lang w:eastAsia="zh"/>
        </w:rPr>
        <w:instrText xml:space="preserve">  \* MERGEFORMAT </w:instrText>
      </w:r>
      <w:r>
        <w:rPr>
          <w:vertAlign w:val="superscript"/>
          <w:lang w:eastAsia="zh"/>
        </w:rPr>
        <w:fldChar w:fldCharType="separate"/>
      </w:r>
      <w:r>
        <w:rPr>
          <w:vertAlign w:val="superscript"/>
          <w:lang w:eastAsia="zh"/>
        </w:rPr>
        <w:t>[17]</w:t>
      </w:r>
      <w:r>
        <w:rPr>
          <w:vertAlign w:val="superscript"/>
          <w:lang w:eastAsia="zh"/>
        </w:rPr>
        <w:fldChar w:fldCharType="end"/>
      </w:r>
      <w:r>
        <w:rPr>
          <w:vertAlign w:val="superscript"/>
          <w:lang w:eastAsia="zh"/>
        </w:rPr>
        <w:fldChar w:fldCharType="begin"/>
      </w:r>
      <w:r>
        <w:rPr>
          <w:vertAlign w:val="superscript"/>
          <w:lang w:eastAsia="zh"/>
        </w:rPr>
        <w:instrText xml:space="preserve"> REF _Ref228914058 \r \h  \* MERGEFORMAT </w:instrText>
      </w:r>
      <w:r>
        <w:rPr>
          <w:vertAlign w:val="superscript"/>
          <w:lang w:eastAsia="zh"/>
        </w:rPr>
        <w:fldChar w:fldCharType="separate"/>
      </w:r>
      <w:r>
        <w:rPr>
          <w:vertAlign w:val="superscript"/>
          <w:lang w:eastAsia="zh"/>
        </w:rPr>
        <w:t>[18]</w:t>
      </w:r>
      <w:r>
        <w:rPr>
          <w:vertAlign w:val="superscript"/>
          <w:lang w:eastAsia="zh"/>
        </w:rPr>
        <w:fldChar w:fldCharType="end"/>
      </w:r>
      <w:r>
        <w:rPr>
          <w:vertAlign w:val="superscript"/>
          <w:lang w:eastAsia="zh"/>
        </w:rPr>
        <w:fldChar w:fldCharType="begin"/>
      </w:r>
      <w:r>
        <w:rPr>
          <w:vertAlign w:val="superscript"/>
          <w:lang w:eastAsia="zh"/>
        </w:rPr>
        <w:instrText xml:space="preserve"> REF _Ref228914059 \r \h  \* MERGEFORMAT </w:instrText>
      </w:r>
      <w:r>
        <w:rPr>
          <w:vertAlign w:val="superscript"/>
          <w:lang w:eastAsia="zh"/>
        </w:rPr>
        <w:fldChar w:fldCharType="separate"/>
      </w:r>
      <w:r>
        <w:rPr>
          <w:vertAlign w:val="superscript"/>
          <w:lang w:eastAsia="zh"/>
        </w:rPr>
        <w:t>[19]</w:t>
      </w:r>
      <w:r>
        <w:rPr>
          <w:vertAlign w:val="superscript"/>
          <w:lang w:eastAsia="zh"/>
        </w:rPr>
        <w:fldChar w:fldCharType="end"/>
      </w:r>
      <w:r>
        <w:rPr>
          <w:rFonts w:hint="eastAsia"/>
          <w:lang w:eastAsia="zh"/>
        </w:rPr>
        <w:t>。</w:t>
      </w:r>
    </w:p>
    <w:p w14:paraId="251D4382">
      <w:pPr>
        <w:pStyle w:val="3"/>
      </w:pPr>
      <w:bookmarkStart w:id="11" w:name="_Toc228914681"/>
      <w:r>
        <w:rPr>
          <w:rFonts w:hint="eastAsia"/>
        </w:rPr>
        <w:t>国内外相关研究述评</w:t>
      </w:r>
      <w:bookmarkEnd w:id="11"/>
    </w:p>
    <w:p w14:paraId="6EB3A4DF">
      <w:pPr>
        <w:ind w:firstLine="480"/>
      </w:pPr>
      <w:r>
        <w:rPr>
          <w:rFonts w:hint="eastAsia"/>
        </w:rPr>
        <w:t>对国内外研究现状的梳理后，发现政府开放数据与企业行为这一研究主题虽然有了一定的研究基础和理论成果，但仍存在显著缺口：一是宏观视角主导，缺乏对企业诉求文本的细粒度分析；二是对中国地方政府数据开放试点的差异化路径关注不足（如贵州与浙江模式对比）；三是数据开放的微观效应尚未充分验证。为此，本文将未来研究需结合最新的自然语言处理技术深化诉求分析，进一步拓展上述问题研究。为政策优化提供科学依据。</w:t>
      </w:r>
    </w:p>
    <w:p w14:paraId="7CC8E642">
      <w:pPr>
        <w:ind w:firstLine="480"/>
        <w:rPr>
          <w:rFonts w:hint="eastAsia" w:ascii="宋体" w:hAnsi="宋体"/>
          <w:color w:val="000000"/>
          <w:kern w:val="0"/>
          <w:szCs w:val="24"/>
          <w:lang w:eastAsia="zh"/>
        </w:rPr>
      </w:pPr>
      <w:r>
        <w:rPr>
          <w:rFonts w:hint="eastAsia" w:ascii="宋体" w:hAnsi="宋体"/>
          <w:color w:val="000000"/>
          <w:kern w:val="0"/>
          <w:szCs w:val="24"/>
          <w:lang w:eastAsia="zh"/>
        </w:rPr>
        <w:t>相较传统因果推断模型，双重机器学习在变量选择和模型估计上具有独特优势，也更适用于本文的研究问题。一方面，</w:t>
      </w:r>
      <w:r>
        <w:rPr>
          <w:rFonts w:hint="eastAsia" w:ascii="宋体" w:hAnsi="宋体"/>
          <w:color w:val="000000"/>
          <w:kern w:val="0"/>
          <w:szCs w:val="24"/>
        </w:rPr>
        <w:t>企业诉求</w:t>
      </w:r>
      <w:r>
        <w:rPr>
          <w:rFonts w:hint="eastAsia" w:ascii="宋体" w:hAnsi="宋体"/>
          <w:color w:val="000000"/>
          <w:kern w:val="0"/>
          <w:szCs w:val="24"/>
          <w:lang w:eastAsia="zh"/>
        </w:rPr>
        <w:t>受经济社会中诸多因素的影响，为保证政策效果估计的准确性，应尽可能控制其他因素对城市包容性绿色增长的干扰。然而，在处理高维控制变量时，传统回归模型可能面临“维度诅咒”和多重共线性，估计量的准确性值得怀疑。双重机器学习采用诸多机器学习及其正则化算法，在预选的高维控制变量集合中进行自动筛选，获得预测精度较高的有效控制变量集合，既避免了控制变量冗余带来的“维度诅咒”，又缓解了主要控制变量有限导致的估计有偏问题。另一方面，在经济转型增长中，变量间的非线性关系是常态，常规线性回归可能带来模型设定上的偏误，估计量不够稳健，而双重机器学习凭借机器学习算法在处理非线性数据上的优势，能够有效避免模型误设问题</w:t>
      </w:r>
      <w:r>
        <w:rPr>
          <w:rFonts w:hint="eastAsia" w:ascii="宋体" w:hAnsi="宋体"/>
          <w:color w:val="000000"/>
          <w:kern w:val="0"/>
          <w:szCs w:val="24"/>
          <w:vertAlign w:val="superscript"/>
          <w:lang w:eastAsia="zh"/>
        </w:rPr>
        <w:fldChar w:fldCharType="begin"/>
      </w:r>
      <w:r>
        <w:rPr>
          <w:rFonts w:hint="eastAsia" w:ascii="宋体" w:hAnsi="宋体"/>
          <w:color w:val="000000"/>
          <w:kern w:val="0"/>
          <w:szCs w:val="24"/>
          <w:vertAlign w:val="superscript"/>
          <w:lang w:eastAsia="zh"/>
        </w:rPr>
        <w:instrText xml:space="preserve"> REF _Ref228913102 \r \h  \* MERGEFORMAT </w:instrText>
      </w:r>
      <w:r>
        <w:rPr>
          <w:rFonts w:hint="eastAsia" w:ascii="宋体" w:hAnsi="宋体"/>
          <w:color w:val="000000"/>
          <w:kern w:val="0"/>
          <w:szCs w:val="24"/>
          <w:vertAlign w:val="superscript"/>
          <w:lang w:eastAsia="zh"/>
        </w:rPr>
        <w:fldChar w:fldCharType="separate"/>
      </w:r>
      <w:r>
        <w:rPr>
          <w:rFonts w:hint="eastAsia" w:ascii="宋体" w:hAnsi="宋体"/>
          <w:color w:val="000000"/>
          <w:kern w:val="0"/>
          <w:szCs w:val="24"/>
          <w:vertAlign w:val="superscript"/>
          <w:lang w:eastAsia="zh"/>
        </w:rPr>
        <w:t>[32]</w:t>
      </w:r>
      <w:r>
        <w:rPr>
          <w:rFonts w:hint="eastAsia" w:ascii="宋体" w:hAnsi="宋体"/>
          <w:color w:val="000000"/>
          <w:kern w:val="0"/>
          <w:szCs w:val="24"/>
          <w:vertAlign w:val="superscript"/>
          <w:lang w:eastAsia="zh"/>
        </w:rPr>
        <w:fldChar w:fldCharType="end"/>
      </w:r>
      <w:r>
        <w:rPr>
          <w:rFonts w:hint="eastAsia" w:ascii="宋体" w:hAnsi="宋体"/>
          <w:color w:val="000000"/>
          <w:kern w:val="0"/>
          <w:szCs w:val="24"/>
          <w:vertAlign w:val="superscript"/>
          <w:lang w:eastAsia="zh"/>
        </w:rPr>
        <w:fldChar w:fldCharType="begin"/>
      </w:r>
      <w:r>
        <w:rPr>
          <w:rFonts w:hint="eastAsia" w:ascii="宋体" w:hAnsi="宋体"/>
          <w:color w:val="000000"/>
          <w:kern w:val="0"/>
          <w:szCs w:val="24"/>
          <w:vertAlign w:val="superscript"/>
          <w:lang w:eastAsia="zh"/>
        </w:rPr>
        <w:instrText xml:space="preserve"> REF _Ref228914135 \r \h  \* MERGEFORMAT </w:instrText>
      </w:r>
      <w:r>
        <w:rPr>
          <w:rFonts w:hint="eastAsia" w:ascii="宋体" w:hAnsi="宋体"/>
          <w:color w:val="000000"/>
          <w:kern w:val="0"/>
          <w:szCs w:val="24"/>
          <w:vertAlign w:val="superscript"/>
          <w:lang w:eastAsia="zh"/>
        </w:rPr>
        <w:fldChar w:fldCharType="separate"/>
      </w:r>
      <w:r>
        <w:rPr>
          <w:rFonts w:hint="eastAsia" w:ascii="宋体" w:hAnsi="宋体"/>
          <w:color w:val="000000"/>
          <w:kern w:val="0"/>
          <w:szCs w:val="24"/>
          <w:vertAlign w:val="superscript"/>
          <w:lang w:eastAsia="zh"/>
        </w:rPr>
        <w:t>[37]</w:t>
      </w:r>
      <w:r>
        <w:rPr>
          <w:rFonts w:hint="eastAsia" w:ascii="宋体" w:hAnsi="宋体"/>
          <w:color w:val="000000"/>
          <w:kern w:val="0"/>
          <w:szCs w:val="24"/>
          <w:vertAlign w:val="superscript"/>
          <w:lang w:eastAsia="zh"/>
        </w:rPr>
        <w:fldChar w:fldCharType="end"/>
      </w:r>
      <w:r>
        <w:rPr>
          <w:rFonts w:hint="eastAsia" w:ascii="宋体" w:hAnsi="宋体"/>
          <w:color w:val="000000"/>
          <w:kern w:val="0"/>
          <w:szCs w:val="24"/>
          <w:lang w:eastAsia="zh"/>
        </w:rPr>
        <w:t>。</w:t>
      </w:r>
    </w:p>
    <w:p w14:paraId="42367DDE">
      <w:pPr>
        <w:ind w:firstLine="480"/>
        <w:rPr>
          <w:rFonts w:hint="eastAsia" w:ascii="宋体" w:hAnsi="宋体"/>
          <w:color w:val="000000"/>
          <w:kern w:val="0"/>
          <w:szCs w:val="24"/>
          <w:lang w:eastAsia="zh"/>
        </w:rPr>
      </w:pPr>
      <w:r>
        <w:rPr>
          <w:rFonts w:hint="eastAsia" w:ascii="宋体" w:hAnsi="宋体"/>
          <w:color w:val="000000"/>
          <w:kern w:val="0"/>
          <w:szCs w:val="24"/>
          <w:lang w:eastAsia="zh"/>
        </w:rPr>
        <w:t>另外，基于工具变量函数、两阶段预测残差回归以及样本分割拟合的思想，双重机器学习能够缓解机器学习估计中存在的“正则偏误”，在小样本下保证处置系数估计量的无偏性</w:t>
      </w:r>
      <w:r>
        <w:rPr>
          <w:rFonts w:hint="eastAsia" w:ascii="宋体" w:hAnsi="宋体"/>
          <w:color w:val="000000"/>
          <w:kern w:val="0"/>
          <w:szCs w:val="24"/>
          <w:vertAlign w:val="superscript"/>
          <w:lang w:eastAsia="zh"/>
        </w:rPr>
        <w:fldChar w:fldCharType="begin"/>
      </w:r>
      <w:r>
        <w:rPr>
          <w:rFonts w:hint="eastAsia" w:ascii="宋体" w:hAnsi="宋体"/>
          <w:color w:val="000000"/>
          <w:kern w:val="0"/>
          <w:szCs w:val="24"/>
          <w:vertAlign w:val="superscript"/>
          <w:lang w:eastAsia="zh"/>
        </w:rPr>
        <w:instrText xml:space="preserve"> REF _Ref228913358 \r \h  \* MERGEFORMAT </w:instrText>
      </w:r>
      <w:r>
        <w:rPr>
          <w:rFonts w:hint="eastAsia" w:ascii="宋体" w:hAnsi="宋体"/>
          <w:color w:val="000000"/>
          <w:kern w:val="0"/>
          <w:szCs w:val="24"/>
          <w:vertAlign w:val="superscript"/>
          <w:lang w:eastAsia="zh"/>
        </w:rPr>
        <w:fldChar w:fldCharType="separate"/>
      </w:r>
      <w:r>
        <w:rPr>
          <w:rFonts w:hint="eastAsia" w:ascii="宋体" w:hAnsi="宋体"/>
          <w:color w:val="000000"/>
          <w:kern w:val="0"/>
          <w:szCs w:val="24"/>
          <w:vertAlign w:val="superscript"/>
          <w:lang w:eastAsia="zh"/>
        </w:rPr>
        <w:t>[9]</w:t>
      </w:r>
      <w:r>
        <w:rPr>
          <w:rFonts w:hint="eastAsia" w:ascii="宋体" w:hAnsi="宋体"/>
          <w:color w:val="000000"/>
          <w:kern w:val="0"/>
          <w:szCs w:val="24"/>
          <w:vertAlign w:val="superscript"/>
          <w:lang w:eastAsia="zh"/>
        </w:rPr>
        <w:fldChar w:fldCharType="end"/>
      </w:r>
      <w:r>
        <w:rPr>
          <w:rFonts w:hint="eastAsia" w:ascii="宋体" w:hAnsi="宋体"/>
          <w:color w:val="000000"/>
          <w:kern w:val="0"/>
          <w:szCs w:val="24"/>
          <w:lang w:eastAsia="zh"/>
        </w:rPr>
        <w:t>。</w:t>
      </w:r>
    </w:p>
    <w:p w14:paraId="3F878C49">
      <w:pPr>
        <w:pStyle w:val="2"/>
        <w:rPr>
          <w:rFonts w:hint="eastAsia"/>
        </w:rPr>
      </w:pPr>
      <w:bookmarkStart w:id="12" w:name="_Toc228914682"/>
      <w:r>
        <w:rPr>
          <w:rFonts w:hint="eastAsia"/>
        </w:rPr>
        <w:t>理论分析和模型假设</w:t>
      </w:r>
      <w:bookmarkEnd w:id="12"/>
    </w:p>
    <w:p w14:paraId="4E1D8FCE">
      <w:pPr>
        <w:ind w:firstLine="480"/>
      </w:pPr>
      <w:r>
        <w:rPr>
          <w:rFonts w:hint="eastAsia"/>
        </w:rPr>
        <w:t>企业诉求强度反映政企互动顺畅度与政务服务适配性，其过高往往源于政企信息不对称，而公共数据开放作为打破信息壁垒的核心路径，可通过提升信息透明度、强化企业监督双重路径降低企业诉求强度：一方面，公共数据开放公开企业经营相关的基础数据，显著提升信息透明度，使企业无需反复咨询即可获取关键信息，有效减少因信息模糊、滞后产生的诉求，降低诉求强度；同时，信息透明度提升可减少政企信息不对称，降低企业经营不确定性与权益顾虑，避免因政策偏差、行政不规范产生的诉求，促进政策精准落地，从根本上减少诉求。另一方面，公共数据开放形成的“阳光政务”强化社会监督，提升企业监督能力，推动其将被动诉求转化为针对性建议；同时压缩权力寻租空间、规范政府行为、优化政务流程，减少企业诉求，还能推动政府提前回应潜在诉求，避免诉求升级。</w:t>
      </w:r>
    </w:p>
    <w:p w14:paraId="5F22B005">
      <w:pPr>
        <w:ind w:firstLine="480"/>
      </w:pPr>
      <w:r>
        <w:rPr>
          <w:rFonts w:hint="eastAsia"/>
        </w:rPr>
        <w:t>H1：公共数据开放可以降低企业诉求强度</w:t>
      </w:r>
    </w:p>
    <w:p w14:paraId="50C79605">
      <w:pPr>
        <w:ind w:firstLine="480"/>
      </w:pPr>
      <w:r>
        <w:rPr>
          <w:rFonts w:hint="eastAsia"/>
        </w:rPr>
        <w:t>营商环境的优化从源头上减少了企业的负向诉求。具体而言：金融服务环境的改善使企业尤其是中小企业能够以更低成本获得信贷支持，减少了因资金链紧张而产生的“求贷”诉求。人力要素环境的优化使企业能够更便捷地招聘到合适人才，减少了因用工短缺而产生的“招工”诉求。市场环境的透明化降低了企业在准入、贸易、投资等环节的信息搜寻成本，减少了因政策不确定性而产生的“咨询”诉求。社会服务环境的提升保障了企业生产经营的基础条件，减少了因水电燃气供应不稳定而产生的“投诉”诉求。创新环境的完善帮助企业更高效地获取技术信息与研发资源，减少了因技术瓶颈而产生的“求助”诉求。</w:t>
      </w:r>
    </w:p>
    <w:p w14:paraId="13D30E5E">
      <w:pPr>
        <w:ind w:firstLine="480"/>
      </w:pPr>
      <w:r>
        <w:rPr>
          <w:rFonts w:hint="eastAsia"/>
        </w:rPr>
        <w:t>H2：公共数据开放通过优化地区营商环境，进而起到缓解企业诉求的作用。</w:t>
      </w:r>
    </w:p>
    <w:p w14:paraId="673D3FFE">
      <w:pPr>
        <w:widowControl/>
        <w:spacing w:line="240" w:lineRule="auto"/>
        <w:ind w:firstLine="0" w:firstLineChars="0"/>
        <w:jc w:val="left"/>
      </w:pPr>
      <w:r>
        <w:br w:type="page"/>
      </w:r>
    </w:p>
    <w:p w14:paraId="22DAE9BE">
      <w:pPr>
        <w:pStyle w:val="2"/>
        <w:rPr>
          <w:rFonts w:hint="eastAsia"/>
          <w:lang w:eastAsia="zh"/>
        </w:rPr>
      </w:pPr>
      <w:bookmarkStart w:id="13" w:name="_Toc228914683"/>
      <w:r>
        <w:rPr>
          <w:rFonts w:hint="eastAsia"/>
        </w:rPr>
        <w:t>指标设计和模型构建</w:t>
      </w:r>
      <w:bookmarkEnd w:id="13"/>
    </w:p>
    <w:p w14:paraId="4345DD57">
      <w:pPr>
        <w:pStyle w:val="3"/>
        <w:numPr>
          <w:ilvl w:val="1"/>
          <w:numId w:val="0"/>
        </w:numPr>
      </w:pPr>
      <w:bookmarkStart w:id="14" w:name="_Toc228914684"/>
      <w:r>
        <w:rPr>
          <w:rFonts w:hint="eastAsia"/>
        </w:rPr>
        <w:t>（一）数据来源</w:t>
      </w:r>
      <w:bookmarkEnd w:id="14"/>
    </w:p>
    <w:p w14:paraId="6A4918BC">
      <w:pPr>
        <w:ind w:firstLine="480"/>
      </w:pPr>
      <w:r>
        <w:t>数据来源于以下几个方面：首先，城市数据来源于2008~202</w:t>
      </w:r>
      <w:r>
        <w:rPr>
          <w:rFonts w:hint="eastAsia"/>
        </w:rPr>
        <w:t>3</w:t>
      </w:r>
      <w:r>
        <w:t>年《中国城市统计年鉴》的面板数据，在剔除严重缺失值与无法识别的样本之后，进一步采用插值法对缺失值进行补充。另外，相关变量数据主要来源于国泰安数据库、复旦大学联合国家信息中心数字中国研究院发布的《中国地方政府据开放报告》</w:t>
      </w:r>
      <w:r>
        <w:rPr>
          <w:rFonts w:hint="eastAsia"/>
        </w:rPr>
        <w:t>。</w:t>
      </w:r>
    </w:p>
    <w:p w14:paraId="1146E51A">
      <w:pPr>
        <w:ind w:firstLine="480"/>
      </w:pPr>
      <w:r>
        <w:rPr>
          <w:rFonts w:hint="eastAsia"/>
        </w:rPr>
        <w:t>“地方领导留言板”的网友留言记录来源为全国性网络问政平台人民网。自2006年试运行以来，该平台便广受地方政府及公众关注。据人民网统计，已有26个省份建立回复留言的固定工作机制，各级党政机关及领导人均在平台公开回复网民。由于平台由人民网牵头，可有效避免地方政府控制舆论的可能，大大减少了选择性呈现网民意见和投诉的现象，从而保证了数据的客观性。此外，留言的目的性和匿名性有助于真实反映留言者的诉求。我们通过爬虫搜集了2011—2023年人民网“地方领导留言板”平台上的所有留言和回复记录，共计3084861条。</w:t>
      </w:r>
    </w:p>
    <w:p w14:paraId="67CFD323">
      <w:pPr>
        <w:pStyle w:val="3"/>
        <w:numPr>
          <w:ilvl w:val="0"/>
          <w:numId w:val="2"/>
        </w:numPr>
        <w:rPr>
          <w:lang w:eastAsia="zh"/>
        </w:rPr>
      </w:pPr>
      <w:bookmarkStart w:id="15" w:name="_Toc228914685"/>
      <w:r>
        <w:rPr>
          <w:rFonts w:hint="eastAsia" w:ascii="宋体" w:hAnsi="宋体" w:eastAsia="宋体" w:cs="宋体"/>
          <w:lang w:val="en-US" w:eastAsia="zh-CN"/>
        </w:rPr>
        <w:t>基于</w:t>
      </w:r>
      <w:r>
        <w:rPr>
          <w:rFonts w:hint="default" w:ascii="Times New Roman" w:hAnsi="Times New Roman" w:eastAsia="宋体" w:cs="Times New Roman"/>
          <w:lang w:val="en-US" w:eastAsia="zh-CN"/>
        </w:rPr>
        <w:t>LLM</w:t>
      </w:r>
      <w:r>
        <w:rPr>
          <w:rFonts w:hint="eastAsia" w:ascii="宋体" w:hAnsi="宋体" w:eastAsia="宋体" w:cs="宋体"/>
          <w:lang w:val="en-US" w:eastAsia="zh-CN"/>
        </w:rPr>
        <w:t>的</w:t>
      </w:r>
      <w:r>
        <w:rPr>
          <w:rFonts w:hint="eastAsia" w:ascii="宋体" w:hAnsi="宋体" w:eastAsia="宋体" w:cs="宋体"/>
          <w:lang w:eastAsia="zh"/>
        </w:rPr>
        <w:t>企业诉求</w:t>
      </w:r>
      <w:r>
        <w:rPr>
          <w:rFonts w:ascii="宋体" w:hAnsi="宋体" w:eastAsia="宋体" w:cs="宋体"/>
        </w:rPr>
        <w:t>识别</w:t>
      </w:r>
      <w:bookmarkEnd w:id="15"/>
    </w:p>
    <w:p w14:paraId="2AE3C480">
      <w:pPr>
        <w:widowControl/>
        <w:ind w:firstLine="480"/>
      </w:pPr>
      <w:r>
        <w:t>本文以“地方领导留言板”中海量非结构化文本为基础，构建民营企业诉求指标，以刻画企业在实际经营过程中所面临的制度性约束与现实困难。相较于传统基于关键词或规则的方法，本文引入大语言模型（Large Language Model, LLM）进行语义识别，在保证识别精度的同时显著提升对复杂语境的理解能力，从而实现对企业真实诉求的高质量提取。</w:t>
      </w:r>
    </w:p>
    <w:p w14:paraId="7EF633B8">
      <w:pPr>
        <w:widowControl/>
        <w:ind w:firstLine="480"/>
      </w:pPr>
      <w:r>
        <w:t>大语言模型是一类基于Transformer架构、在大规模语料上进行自监督预训练，并通过监督微调与强化学习实现人类偏好对齐的通用人工智能模型。LLM在文本生成、语义理解、信息抽取及价值判断等方面</w:t>
      </w:r>
      <w:r>
        <w:rPr>
          <w:rFonts w:hint="eastAsia"/>
        </w:rPr>
        <w:t>具备</w:t>
      </w:r>
      <w:r>
        <w:t>显著优势。其中，LLM-as-a-Judge范式使模型能够模拟人类标准对文本进行判别与评估，为复杂语义识别任务提供了可靠的方法论基础。本文正是基于该范式，将企业诉求识别问题转化为“语义判别任务”，即由模型判断一段文本是否属于企业主体从自身经营出发提出的真实诉求。</w:t>
      </w:r>
    </w:p>
    <w:p w14:paraId="0637E1A9">
      <w:pPr>
        <w:widowControl/>
        <w:ind w:firstLine="480"/>
      </w:pPr>
      <w:r>
        <w:rPr>
          <w:rFonts w:hint="eastAsia"/>
        </w:rPr>
        <w:t>已有研究表明，大语言模型在文本信息抽取、政策识别与语义分类任务中已能够达到接近人工标注的判别水平。Gu等（202</w:t>
      </w:r>
      <w:r>
        <w:rPr>
          <w:rFonts w:hint="eastAsia"/>
          <w:lang w:val="en-US" w:eastAsia="zh-CN"/>
        </w:rPr>
        <w:t>4</w:t>
      </w:r>
      <w:r>
        <w:rPr>
          <w:rFonts w:hint="eastAsia"/>
        </w:rPr>
        <w:t>）指出，LLM-as-a-Judge通过“提示词—上下文—概率生成”的机制，能够在复杂任务中实现与人类价值判断较为一致的评估结果，并已在金融、法律及科学研究等领域得到广泛应用。此外，Ye等（202</w:t>
      </w:r>
      <w:r>
        <w:rPr>
          <w:rFonts w:hint="eastAsia"/>
          <w:lang w:val="en-US" w:eastAsia="zh-CN"/>
        </w:rPr>
        <w:t>5</w:t>
      </w:r>
      <w:r>
        <w:rPr>
          <w:rFonts w:hint="eastAsia"/>
        </w:rPr>
        <w:t>）认为，大语言模型在文本生成与语义偏离识别方面已具备较强稳定性；Chen等（202</w:t>
      </w:r>
      <w:r>
        <w:rPr>
          <w:rFonts w:hint="eastAsia"/>
          <w:lang w:val="en-US" w:eastAsia="zh-CN"/>
        </w:rPr>
        <w:t>4</w:t>
      </w:r>
      <w:r>
        <w:rPr>
          <w:rFonts w:hint="eastAsia"/>
        </w:rPr>
        <w:t>）则进一步验证了LLM在非结构化文本情绪识别与信息提取中的有效性。这些研究均为本文采用LLM进行企业诉求识别提供了方法论支撑。</w:t>
      </w:r>
    </w:p>
    <w:p w14:paraId="462B1626">
      <w:pPr>
        <w:widowControl/>
        <w:ind w:firstLine="480"/>
      </w:pPr>
      <w:r>
        <w:t>在具体实现上，本文采用阿里云平台提供的 DeepSeek-V4-Pro 大语言模型开展文本识别。该模型基于混合专家（Mixture-of-Experts, MoE）架构，总参数规模约为1.6T，在推理过程中动态激活约49B参数，在兼顾计算效率的同时具备较强的表达能力与泛化性能。同时，该模型支持百万级超长上下文输入，能够有效处理长文本语境下的信息依赖与语义关联问题。依托大规模高质量语料的预训练与对齐优化，该模型在复杂逻辑推理、长文本理解及结构化信息抽取等方面表现出较高水平，从而为企业诉求的精准识别提供了技术基础。</w:t>
      </w:r>
    </w:p>
    <w:p w14:paraId="7DFD96D4">
      <w:pPr>
        <w:widowControl/>
        <w:ind w:firstLine="480"/>
      </w:pPr>
      <w:r>
        <w:t>在数据构建过程中，本文设计“两阶段语义识别框架”。首先，为降低无关文本带来的噪音干扰，借鉴既有文本挖掘研究思路，构建涵盖企业主体、经营要素、政务服务、财税政策及市场环境等维度的关键词词典，对原始文本进行初步筛选，保留与企业相关的候选样本。该步骤以提高召回率为目标，尽可能避免潜在企业诉求的遗漏。</w:t>
      </w:r>
    </w:p>
    <w:p w14:paraId="049039DB">
      <w:pPr>
        <w:widowControl/>
        <w:ind w:firstLine="480"/>
      </w:pPr>
      <w:r>
        <w:t>其次，在粗筛基础上，引入大语言模型进行精细化语义判别。具体而言，本文以System Prompt的形式向模型明确“企业诉求”的判定标准，从主体身份、表达方式及内容指向三个维度构建严格识别规则：其一，要求文本主体为民营企业或个体工商户等市场经营主体，并以第一人称进行表述；其二，要求内容围绕企业生产经营过程中的具体困难、问题或政策诉求；其三，明确排除消费者投诉、环境举报及一般性民生问题等非企业诉求文本。在此基础上，将单条留言文本作为User Prompt输入模型，由模型基于既定标准进行“是/否”判别，从而实现对企业诉求文本的精准识别。</w:t>
      </w:r>
    </w:p>
    <w:p w14:paraId="717FC756">
      <w:pPr>
        <w:widowControl/>
        <w:ind w:firstLine="480"/>
      </w:pPr>
      <w:r>
        <w:t>从形式上看，该识别过程可表述为典型的LLM-as-a-Judge函数：模型在给定上下文提示（C）与输入文本（x）的条件下，通过自回归概率生成机制输出判别结果ε（取值为0或1），即企业诉求识别结果可表示为</w:t>
      </w:r>
    </w:p>
    <w:tbl>
      <w:tblPr>
        <w:tblStyle w:val="2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71"/>
        <w:gridCol w:w="935"/>
      </w:tblGrid>
      <w:tr w14:paraId="543389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680" w:hRule="atLeast"/>
        </w:trPr>
        <w:tc>
          <w:tcPr>
            <w:tcW w:w="7371" w:type="dxa"/>
            <w:vAlign w:val="center"/>
          </w:tcPr>
          <w:p w14:paraId="13D27DA8">
            <w:pPr>
              <w:spacing w:line="240" w:lineRule="auto"/>
              <w:ind w:firstLine="0" w:firstLineChars="0"/>
              <w:jc w:val="center"/>
              <w:rPr>
                <w:rFonts w:cs="Times New Roman"/>
                <w:iCs/>
              </w:rPr>
            </w:pPr>
            <m:oMathPara>
              <m:oMath>
                <m:r>
                  <m:rPr>
                    <m:nor/>
                    <m:sty m:val="p"/>
                  </m:rPr>
                  <w:rPr>
                    <w:rFonts w:cs="Times New Roman"/>
                    <w:b w:val="0"/>
                    <w:i w:val="0"/>
                    <w:iCs/>
                  </w:rPr>
                  <m:t>f&lt;sub&gt;LLM&lt;/sub&gt;(x,C)→ε</m:t>
                </m:r>
              </m:oMath>
            </m:oMathPara>
          </w:p>
        </w:tc>
        <w:tc>
          <w:tcPr>
            <w:tcW w:w="935" w:type="dxa"/>
            <w:vAlign w:val="center"/>
          </w:tcPr>
          <w:p w14:paraId="0D2B60F7">
            <w:pPr>
              <w:spacing w:line="240" w:lineRule="auto"/>
              <w:ind w:firstLine="0" w:firstLineChars="0"/>
              <w:jc w:val="right"/>
            </w:pPr>
            <w:r>
              <w:rPr>
                <w:rFonts w:hint="eastAsia"/>
              </w:rPr>
              <w:t>（1）</w:t>
            </w:r>
          </w:p>
        </w:tc>
      </w:tr>
    </w:tbl>
    <w:p w14:paraId="2C083D55">
      <w:pPr>
        <w:widowControl/>
        <w:ind w:firstLine="480"/>
      </w:pPr>
      <w:r>
        <w:t>其中，ε=1表示该文本被识别为企业诉求，ε=0则表示非企业诉求。为提升识别结果的稳定性，本文在模型调用过程中采用低温度（temperature=0）设定，以降低随机性并增强输出一致性。</w:t>
      </w:r>
    </w:p>
    <w:p w14:paraId="5325B740">
      <w:pPr>
        <w:widowControl/>
        <w:ind w:firstLine="480"/>
      </w:pPr>
      <w:r>
        <w:t>基于上述方法，本文最终从原始留言文本中识别出57,705条民营企业诉求数据。需要指出的是，该比例在全部留言中相对较低，这一方面源于企业相较于个人拥有更多市场化与内部化的问题解决渠道，另一方面也表明能够通过政府渠道表达的企业诉求往往具有更强的紧迫性与代表性。因此，本文所构建的“企业诉求”变量能够较为准确地反映企业在制度环境中的真实约束与核心关切。</w:t>
      </w:r>
    </w:p>
    <w:p w14:paraId="1999B887">
      <w:pPr>
        <w:pStyle w:val="52"/>
      </w:pPr>
      <w:bookmarkStart w:id="16" w:name="_Toc8116"/>
      <w:r>
        <w:rPr>
          <w:rFonts w:hint="eastAsia"/>
        </w:rPr>
        <w:t>表1 系统提示词</w:t>
      </w:r>
      <w:bookmarkEnd w:id="16"/>
    </w:p>
    <w:tbl>
      <w:tblPr>
        <w:tblStyle w:val="53"/>
        <w:tblW w:w="8306" w:type="dxa"/>
        <w:jc w:val="center"/>
        <w:tblBorders>
          <w:top w:val="none" w:color="auto" w:sz="0"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79"/>
        <w:gridCol w:w="1648"/>
        <w:gridCol w:w="5879"/>
      </w:tblGrid>
      <w:tr w14:paraId="659AFCF2">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jc w:val="center"/>
        </w:trPr>
        <w:tc>
          <w:tcPr>
            <w:tcW w:w="851" w:type="dxa"/>
            <w:tcBorders>
              <w:top w:val="single" w:color="auto" w:sz="12" w:space="0"/>
              <w:left w:val="nil"/>
              <w:bottom w:val="single" w:color="auto" w:sz="6" w:space="0"/>
              <w:right w:val="nil"/>
              <w:insideH w:val="single" w:sz="6" w:space="0"/>
              <w:insideV w:val="nil"/>
              <w:tl2br w:val="nil"/>
              <w:tr2bl w:val="nil"/>
            </w:tcBorders>
            <w:vAlign w:val="center"/>
          </w:tcPr>
          <w:p w14:paraId="149E587D">
            <w:pPr>
              <w:pStyle w:val="44"/>
              <w:bidi w:val="0"/>
              <w:rPr>
                <w:rFonts w:hint="eastAsia"/>
              </w:rPr>
            </w:pPr>
            <w:r>
              <w:rPr>
                <w:rFonts w:hint="eastAsia"/>
              </w:rPr>
              <w:t>结构</w:t>
            </w:r>
          </w:p>
        </w:tc>
        <w:tc>
          <w:tcPr>
            <w:tcW w:w="8788" w:type="dxa"/>
            <w:gridSpan w:val="2"/>
            <w:tcBorders>
              <w:top w:val="single" w:color="auto" w:sz="12" w:space="0"/>
              <w:bottom w:val="single" w:color="auto" w:sz="6" w:space="0"/>
              <w:right w:val="nil"/>
              <w:insideH w:val="single" w:sz="6" w:space="0"/>
              <w:insideV w:val="nil"/>
              <w:tl2br w:val="nil"/>
              <w:tr2bl w:val="nil"/>
            </w:tcBorders>
            <w:vAlign w:val="center"/>
          </w:tcPr>
          <w:p w14:paraId="291152D0">
            <w:pPr>
              <w:pStyle w:val="44"/>
              <w:bidi w:val="0"/>
              <w:rPr>
                <w:rFonts w:hint="eastAsia"/>
              </w:rPr>
            </w:pPr>
            <w:r>
              <w:rPr>
                <w:rFonts w:hint="eastAsia"/>
              </w:rPr>
              <w:t>系统提示词</w:t>
            </w:r>
          </w:p>
        </w:tc>
      </w:tr>
      <w:tr w14:paraId="638DC4E0">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jc w:val="center"/>
        </w:trPr>
        <w:tc>
          <w:tcPr>
            <w:tcW w:w="851" w:type="dxa"/>
            <w:vAlign w:val="center"/>
          </w:tcPr>
          <w:p w14:paraId="1C0072FF">
            <w:pPr>
              <w:pStyle w:val="44"/>
              <w:bidi w:val="0"/>
              <w:rPr>
                <w:rFonts w:hint="eastAsia"/>
              </w:rPr>
            </w:pPr>
            <w:r>
              <w:rPr>
                <w:rFonts w:hint="eastAsia"/>
              </w:rPr>
              <w:t>任务</w:t>
            </w:r>
          </w:p>
        </w:tc>
        <w:tc>
          <w:tcPr>
            <w:tcW w:w="8788" w:type="dxa"/>
            <w:gridSpan w:val="2"/>
            <w:vAlign w:val="center"/>
          </w:tcPr>
          <w:p w14:paraId="27470BCB">
            <w:pPr>
              <w:pStyle w:val="44"/>
              <w:bidi w:val="0"/>
            </w:pPr>
            <w:r>
              <w:t>判断</w:t>
            </w:r>
            <w:r>
              <w:rPr>
                <w:rFonts w:hint="eastAsia"/>
              </w:rPr>
              <w:t>文本</w:t>
            </w:r>
            <w:r>
              <w:t>是否属于民营企业等市场经营主体以第一人称主动表达的</w:t>
            </w:r>
            <w:r>
              <w:rPr>
                <w:rFonts w:hint="eastAsia"/>
              </w:rPr>
              <w:t>真实诉求，</w:t>
            </w:r>
            <w:r>
              <w:t>并输出二分类结果（YES/NO）。</w:t>
            </w:r>
          </w:p>
        </w:tc>
      </w:tr>
      <w:tr w14:paraId="2C47678A">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jc w:val="center"/>
        </w:trPr>
        <w:tc>
          <w:tcPr>
            <w:tcW w:w="851" w:type="dxa"/>
            <w:vMerge w:val="restart"/>
            <w:vAlign w:val="center"/>
          </w:tcPr>
          <w:p w14:paraId="2D5E1304">
            <w:pPr>
              <w:pStyle w:val="44"/>
              <w:bidi w:val="0"/>
              <w:rPr>
                <w:rFonts w:hint="eastAsia"/>
              </w:rPr>
            </w:pPr>
            <w:r>
              <w:rPr>
                <w:rFonts w:hint="eastAsia"/>
              </w:rPr>
              <w:t>解释</w:t>
            </w:r>
          </w:p>
        </w:tc>
        <w:tc>
          <w:tcPr>
            <w:tcW w:w="1805" w:type="dxa"/>
            <w:vAlign w:val="center"/>
          </w:tcPr>
          <w:p w14:paraId="3CE77D25">
            <w:pPr>
              <w:pStyle w:val="44"/>
              <w:bidi w:val="0"/>
            </w:pPr>
          </w:p>
          <w:p w14:paraId="0DE94B10">
            <w:pPr>
              <w:pStyle w:val="44"/>
              <w:bidi w:val="0"/>
            </w:pPr>
            <w:r>
              <w:t>主体要求：</w:t>
            </w:r>
          </w:p>
        </w:tc>
        <w:tc>
          <w:tcPr>
            <w:tcW w:w="6983" w:type="dxa"/>
            <w:vAlign w:val="center"/>
          </w:tcPr>
          <w:p w14:paraId="2AD12E64">
            <w:pPr>
              <w:pStyle w:val="44"/>
              <w:bidi w:val="0"/>
            </w:pPr>
            <w:r>
              <w:t>文本须由企业经营主体（如民营企业、个体工商户等）以第一人称表达；</w:t>
            </w:r>
          </w:p>
        </w:tc>
      </w:tr>
      <w:tr w14:paraId="435AFEA3">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jc w:val="center"/>
        </w:trPr>
        <w:tc>
          <w:tcPr>
            <w:tcW w:w="851" w:type="dxa"/>
            <w:vMerge w:val="continue"/>
            <w:vAlign w:val="center"/>
          </w:tcPr>
          <w:p w14:paraId="75C58772">
            <w:pPr>
              <w:pStyle w:val="44"/>
              <w:bidi w:val="0"/>
              <w:rPr>
                <w:rFonts w:hint="eastAsia"/>
              </w:rPr>
            </w:pPr>
          </w:p>
        </w:tc>
        <w:tc>
          <w:tcPr>
            <w:tcW w:w="1805" w:type="dxa"/>
            <w:vAlign w:val="center"/>
          </w:tcPr>
          <w:p w14:paraId="61BBD5FA">
            <w:pPr>
              <w:pStyle w:val="44"/>
              <w:bidi w:val="0"/>
            </w:pPr>
            <w:r>
              <w:t>（2）</w:t>
            </w:r>
          </w:p>
          <w:p w14:paraId="50EE95EE">
            <w:pPr>
              <w:pStyle w:val="44"/>
              <w:bidi w:val="0"/>
            </w:pPr>
            <w:r>
              <w:t>内容要求：</w:t>
            </w:r>
          </w:p>
        </w:tc>
        <w:tc>
          <w:tcPr>
            <w:tcW w:w="6983" w:type="dxa"/>
            <w:vAlign w:val="center"/>
          </w:tcPr>
          <w:p w14:paraId="546DF501">
            <w:pPr>
              <w:pStyle w:val="44"/>
              <w:bidi w:val="0"/>
            </w:pPr>
            <w:r>
              <w:t>须围绕企业生产经营中的具体困难、问题或政策诉求，包括融资约束、用工问题、审批效率、市场环境及政策建议等；</w:t>
            </w:r>
          </w:p>
        </w:tc>
      </w:tr>
      <w:tr w14:paraId="619D31EF">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jc w:val="center"/>
        </w:trPr>
        <w:tc>
          <w:tcPr>
            <w:tcW w:w="851" w:type="dxa"/>
            <w:vMerge w:val="continue"/>
            <w:vAlign w:val="center"/>
          </w:tcPr>
          <w:p w14:paraId="03D86FEA">
            <w:pPr>
              <w:pStyle w:val="44"/>
              <w:bidi w:val="0"/>
              <w:rPr>
                <w:rFonts w:hint="eastAsia"/>
              </w:rPr>
            </w:pPr>
          </w:p>
        </w:tc>
        <w:tc>
          <w:tcPr>
            <w:tcW w:w="1805" w:type="dxa"/>
            <w:vAlign w:val="center"/>
          </w:tcPr>
          <w:p w14:paraId="508E5C2B">
            <w:pPr>
              <w:pStyle w:val="44"/>
              <w:bidi w:val="0"/>
            </w:pPr>
            <w:r>
              <w:t>（3）</w:t>
            </w:r>
          </w:p>
          <w:p w14:paraId="0243E6D1">
            <w:pPr>
              <w:pStyle w:val="44"/>
              <w:bidi w:val="0"/>
            </w:pPr>
            <w:r>
              <w:t>表达要求：</w:t>
            </w:r>
          </w:p>
        </w:tc>
        <w:tc>
          <w:tcPr>
            <w:tcW w:w="6983" w:type="dxa"/>
            <w:vAlign w:val="center"/>
          </w:tcPr>
          <w:p w14:paraId="2EF03485">
            <w:pPr>
              <w:pStyle w:val="44"/>
              <w:bidi w:val="0"/>
            </w:pPr>
            <w:r>
              <w:t>需具有明确诉求导向，而非单纯描述或信息陈述；</w:t>
            </w:r>
          </w:p>
        </w:tc>
      </w:tr>
      <w:tr w14:paraId="254F54DB">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jc w:val="center"/>
        </w:trPr>
        <w:tc>
          <w:tcPr>
            <w:tcW w:w="851" w:type="dxa"/>
            <w:vMerge w:val="continue"/>
            <w:vAlign w:val="center"/>
          </w:tcPr>
          <w:p w14:paraId="49572DFA">
            <w:pPr>
              <w:pStyle w:val="44"/>
              <w:bidi w:val="0"/>
              <w:rPr>
                <w:rFonts w:hint="eastAsia"/>
              </w:rPr>
            </w:pPr>
          </w:p>
        </w:tc>
        <w:tc>
          <w:tcPr>
            <w:tcW w:w="1805" w:type="dxa"/>
            <w:vAlign w:val="center"/>
          </w:tcPr>
          <w:p w14:paraId="11CF8CD3">
            <w:pPr>
              <w:pStyle w:val="44"/>
              <w:bidi w:val="0"/>
            </w:pPr>
            <w:r>
              <w:t>（4）</w:t>
            </w:r>
          </w:p>
          <w:p w14:paraId="308BBEA4">
            <w:pPr>
              <w:pStyle w:val="44"/>
              <w:bidi w:val="0"/>
              <w:rPr>
                <w:rFonts w:hint="eastAsia"/>
              </w:rPr>
            </w:pPr>
            <w:r>
              <w:t>排除规则：</w:t>
            </w:r>
          </w:p>
        </w:tc>
        <w:tc>
          <w:tcPr>
            <w:tcW w:w="6983" w:type="dxa"/>
            <w:vAlign w:val="center"/>
          </w:tcPr>
          <w:p w14:paraId="606182A6">
            <w:pPr>
              <w:pStyle w:val="44"/>
              <w:bidi w:val="0"/>
            </w:pPr>
            <w:r>
              <w:t>剔除消费者投诉、环境举报、一般民生问题、无主体表述及无实质诉求文本。</w:t>
            </w:r>
          </w:p>
        </w:tc>
      </w:tr>
      <w:tr w14:paraId="00A27F27">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jc w:val="center"/>
        </w:trPr>
        <w:tc>
          <w:tcPr>
            <w:tcW w:w="851" w:type="dxa"/>
            <w:vAlign w:val="center"/>
          </w:tcPr>
          <w:p w14:paraId="0ED958F4">
            <w:pPr>
              <w:pStyle w:val="44"/>
              <w:bidi w:val="0"/>
              <w:rPr>
                <w:rFonts w:hint="eastAsia"/>
              </w:rPr>
            </w:pPr>
            <w:r>
              <w:rPr>
                <w:rFonts w:hint="eastAsia"/>
              </w:rPr>
              <w:t>准则</w:t>
            </w:r>
          </w:p>
        </w:tc>
        <w:tc>
          <w:tcPr>
            <w:tcW w:w="8788" w:type="dxa"/>
            <w:gridSpan w:val="2"/>
            <w:vAlign w:val="center"/>
          </w:tcPr>
          <w:p w14:paraId="0F2652B5">
            <w:pPr>
              <w:pStyle w:val="44"/>
              <w:bidi w:val="0"/>
            </w:pPr>
            <w:r>
              <w:t>基于LLM-as-a-Judge范式，在给定提示词约束下，对文本语义进行整体理解，并将其映射至“是否构成企业真实经营约束与制度性诉求”的判别空间；判别过程综合考虑主体身份、语义指向与问题性质，实现对非结构化文本的经济含义识别。</w:t>
            </w:r>
          </w:p>
        </w:tc>
      </w:tr>
      <w:tr w14:paraId="7D044F50">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jc w:val="center"/>
        </w:trPr>
        <w:tc>
          <w:tcPr>
            <w:tcW w:w="851" w:type="dxa"/>
            <w:vAlign w:val="center"/>
          </w:tcPr>
          <w:p w14:paraId="373DBA28">
            <w:pPr>
              <w:pStyle w:val="44"/>
              <w:bidi w:val="0"/>
              <w:rPr>
                <w:rFonts w:hint="eastAsia"/>
              </w:rPr>
            </w:pPr>
            <w:r>
              <w:rPr>
                <w:rFonts w:hint="eastAsia"/>
              </w:rPr>
              <w:t>格式</w:t>
            </w:r>
          </w:p>
        </w:tc>
        <w:tc>
          <w:tcPr>
            <w:tcW w:w="8788" w:type="dxa"/>
            <w:gridSpan w:val="2"/>
            <w:vAlign w:val="center"/>
          </w:tcPr>
          <w:p w14:paraId="6E490BD5">
            <w:pPr>
              <w:pStyle w:val="44"/>
              <w:bidi w:val="0"/>
            </w:pPr>
            <w:r>
              <w:t>输出结果严格限定为“YES”或“NO”，不包含任何解释性文本或附加内容；模型调用设置temperature=0，以降低随机性并提高判别一致性。</w:t>
            </w:r>
          </w:p>
        </w:tc>
      </w:tr>
    </w:tbl>
    <w:p w14:paraId="68F3F621">
      <w:pPr>
        <w:pStyle w:val="3"/>
        <w:numPr>
          <w:ilvl w:val="1"/>
          <w:numId w:val="0"/>
        </w:numPr>
      </w:pPr>
      <w:bookmarkStart w:id="17" w:name="_Toc228914686"/>
      <w:r>
        <w:rPr>
          <w:rFonts w:hint="eastAsia"/>
        </w:rPr>
        <w:t>（</w:t>
      </w:r>
      <w:r>
        <w:rPr>
          <w:rFonts w:hint="eastAsia"/>
          <w:lang w:eastAsia="zh"/>
        </w:rPr>
        <w:t>三</w:t>
      </w:r>
      <w:r>
        <w:rPr>
          <w:rFonts w:hint="eastAsia"/>
        </w:rPr>
        <w:t>）</w:t>
      </w:r>
      <w:r>
        <w:rPr>
          <w:rFonts w:hint="eastAsia"/>
          <w:lang w:eastAsia="zh"/>
        </w:rPr>
        <w:t>指标</w:t>
      </w:r>
      <w:r>
        <w:rPr>
          <w:rFonts w:hint="eastAsia"/>
        </w:rPr>
        <w:t>选择</w:t>
      </w:r>
      <w:bookmarkEnd w:id="17"/>
    </w:p>
    <w:p w14:paraId="72362EB2">
      <w:pPr>
        <w:pStyle w:val="4"/>
        <w:numPr>
          <w:ilvl w:val="2"/>
          <w:numId w:val="0"/>
        </w:numPr>
        <w:ind w:firstLine="482" w:firstLineChars="200"/>
        <w:rPr>
          <w:lang w:eastAsia="zh"/>
        </w:rPr>
      </w:pPr>
      <w:bookmarkStart w:id="18" w:name="_Toc228914687"/>
      <w:r>
        <w:rPr>
          <w:rFonts w:hint="eastAsia"/>
        </w:rPr>
        <w:t>1．被解释变量：企业诉求</w:t>
      </w:r>
      <w:r>
        <w:rPr>
          <w:rFonts w:hint="eastAsia"/>
          <w:lang w:eastAsia="zh"/>
        </w:rPr>
        <w:t>量</w:t>
      </w:r>
      <w:bookmarkEnd w:id="18"/>
    </w:p>
    <w:p w14:paraId="23AA5349">
      <w:pPr>
        <w:ind w:firstLine="480"/>
        <w:rPr>
          <w:lang w:eastAsia="zh"/>
        </w:rPr>
      </w:pPr>
      <w:r>
        <w:rPr>
          <w:rFonts w:hint="eastAsia"/>
          <w:lang w:eastAsia="zh"/>
        </w:rPr>
        <w:t>语义识别后，将识别结果以城市—年份为基本分析单元，统计每一地市在每一年度内被识别为“民营企业诉求”的留言数量，构建城市层面的企业诉求量。考虑到不同城市间留言总量及规模差异较大，本文对诉求数量进行对数化处理（log(1+Demand)），以缓解数据分布的右偏性并降低极端值对估计结果的影响。</w:t>
      </w:r>
    </w:p>
    <w:p w14:paraId="5849CB4B">
      <w:pPr>
        <w:ind w:firstLine="480"/>
        <w:rPr>
          <w:lang w:eastAsia="zh"/>
        </w:rPr>
      </w:pPr>
      <w:r>
        <w:rPr>
          <w:rFonts w:hint="eastAsia"/>
          <w:lang w:eastAsia="zh"/>
        </w:rPr>
        <w:t>该变量从企业实际表达行为出发，刻画了企业在特定制度与营商环境下对政府提出问题反映、政策诉求及协调需求的总体强度，能够较为直接地反映企业在经营过程中所面临的约束程度与制度摩擦。与传统基于宏观统计数据或问卷调查构建的指标相比，企业诉求变量具有更强的现实针对性与动态性，能够捕捉微观主体在不同阶段的真实关切。</w:t>
      </w:r>
    </w:p>
    <w:p w14:paraId="2208E9CB">
      <w:pPr>
        <w:pStyle w:val="4"/>
        <w:numPr>
          <w:ilvl w:val="2"/>
          <w:numId w:val="0"/>
        </w:numPr>
        <w:ind w:firstLine="482" w:firstLineChars="200"/>
      </w:pPr>
      <w:bookmarkStart w:id="19" w:name="_Toc228914688"/>
      <w:r>
        <w:rPr>
          <w:rFonts w:hint="eastAsia"/>
        </w:rPr>
        <w:t>2．解释变量：公共数据开放</w:t>
      </w:r>
      <w:bookmarkEnd w:id="19"/>
    </w:p>
    <w:p w14:paraId="4AFDD9A7">
      <w:pPr>
        <w:ind w:firstLine="480"/>
      </w:pPr>
      <w:r>
        <w:t>公共数据开放的政策处理变量（</w:t>
      </w:r>
      <w:r>
        <w:rPr>
          <w:rFonts w:hint="eastAsia"/>
        </w:rPr>
        <w:t>post</w:t>
      </w:r>
      <w:r>
        <w:t>）表示城市i在第t年及以后是否上线公共数据开放平台。参考复旦大学数字与移动治理实验室发布的《2023中国地方公共数据开放报告（城市）》，整理出各城市是否上线公共数据开放平台的基础数据，并且将其与华中师范大学信息管理学院发布的《中国政府开放数据利用研究报告（2022）》进一步对照。同时，借鉴复旦大学数字与移动治理实验室发布的《2023中国地方公共数据开放报告（城市）》的方法，通过以下两步进一步进行检验：首先，将各地区公共数据开放平台域名限定于gov.cn，将其作为确认官方公共数据开放平台的依据，且必须由地级市以上行政级别的政府部门负责建设与运营，同时通过开设专门且统一平台或者由政府部门在官网设置专栏的形式开放；其次，通过在搜索引擎中对各地区名称加关键词（“数据开放”“数据资源”“公共资源”等）加以验证。据此，最后获得了截至2023年204个城市（含有直辖市、副省级城市与地级市）的公共数据平台上线时间，将上线公共数据平台的城市设定为treat，将首次上线时间以及之后年份设定为post，进而构建城市—年份层面城市是否上线公共数据开放平台的虚拟变量open（treat×post）。</w:t>
      </w:r>
    </w:p>
    <w:p w14:paraId="0793AB65">
      <w:pPr>
        <w:pStyle w:val="4"/>
        <w:numPr>
          <w:ilvl w:val="2"/>
          <w:numId w:val="0"/>
        </w:numPr>
        <w:ind w:firstLine="482" w:firstLineChars="200"/>
      </w:pPr>
      <w:bookmarkStart w:id="20" w:name="_Toc228914689"/>
      <w:r>
        <w:rPr>
          <w:rFonts w:hint="eastAsia"/>
        </w:rPr>
        <w:t>3．控制变量</w:t>
      </w:r>
      <w:bookmarkEnd w:id="20"/>
    </w:p>
    <w:p w14:paraId="4722FF5B">
      <w:pPr>
        <w:ind w:firstLine="480"/>
      </w:pPr>
      <w:r>
        <w:t>城市层面控制变量包括:①经济发展水平。经济发展水平与生产要素集聚密切相关，进而影响企业经营环境及诉求表达行为，本文采用人口密度衡量城市要素集聚程度，并同时纳入地区生产总值刻画城市整体经济规模。②产业结构升级。产业结构反映资源配置方式与经济发展阶段，服务业占比越高，越有利于企业获取专业化服务支持，本文采用第三产业增加值占GDP比重衡量产业结构。③人力资本水平。人力资本是影响信息获取与技术应用的重要因素，进而影响企业对公共数据的利用能力，本文采用普通高等学校在校学生数与户籍人口之比衡量。④公共服务水平。公共服务水平影响企业经营环境及城市吸引力，本文采用每百人公共图书馆藏书量衡量。</w:t>
      </w:r>
      <w:r>
        <w:rPr>
          <w:rFonts w:cs="Times New Roman"/>
        </w:rPr>
        <w:t>⑤</w:t>
      </w:r>
      <w:r>
        <w:t>传统基础设施。交通运输与物流条件能够降低交易成本、提升企业运行效率，本文采用公路货运量的自然对数（加1处理）衡量传统基础设施水平。⑥互联网发展水平。互联网基础设施有助于降低信息不对称并提高数据获取效率，本文采用电信业务收入的自然对数（加1处理）衡量。⑦金融发展水平。金融资源可得性影响企业融资约束及经营决策，本文采用年末金融机构各项贷款余额与地区生产总值之比衡量。⑧财政压力水平。财政压力反映地方政府收支约束状况，并可能影响公共资源配置及政策实施效果，本文采用地方财政一般预算内支出与收入之比衡量。⑨科学支出水平。科学支出体现政府对创新环境的支持力度，进而影响企业发展与信息利用能力，本文采用科学支出的自然对数（加1处理）衡量。⑩对外开放水平。对外开放有助于引入外部资本与技术，影响企业行为模式，本文采用外商投资企业数量的自然对数衡量。⑪城市发展水平。城市发展阶段会系统性影响企业活动，本文采用人均地区生产总值的自然对数衡量。⑫城市治理水平。良好的城市治理有助于改善营商环境，本文采用生活垃圾无害化处理率衡量。⑬交通便捷程度。交通条件影响要素流动与企业区位选择，本文采用高速公路里程与户籍人口之比衡量。</w:t>
      </w:r>
      <w:r>
        <w:rPr>
          <w:vertAlign w:val="superscript"/>
        </w:rPr>
        <w:fldChar w:fldCharType="begin"/>
      </w:r>
      <w:r>
        <w:rPr>
          <w:vertAlign w:val="superscript"/>
        </w:rPr>
        <w:instrText xml:space="preserve"> REF _Ref228914298 \r \h  \* MERGEFORMAT </w:instrText>
      </w:r>
      <w:r>
        <w:rPr>
          <w:vertAlign w:val="superscript"/>
        </w:rPr>
        <w:fldChar w:fldCharType="separate"/>
      </w:r>
      <w:r>
        <w:rPr>
          <w:vertAlign w:val="superscript"/>
        </w:rPr>
        <w:t>[20]</w:t>
      </w:r>
      <w:r>
        <w:rPr>
          <w:vertAlign w:val="superscript"/>
        </w:rPr>
        <w:fldChar w:fldCharType="end"/>
      </w:r>
      <w:r>
        <w:rPr>
          <w:vertAlign w:val="superscript"/>
        </w:rPr>
        <w:fldChar w:fldCharType="begin"/>
      </w:r>
      <w:r>
        <w:rPr>
          <w:vertAlign w:val="superscript"/>
        </w:rPr>
        <w:instrText xml:space="preserve"> REF _Ref228914305 \r \h  \* MERGEFORMAT </w:instrText>
      </w:r>
      <w:r>
        <w:rPr>
          <w:vertAlign w:val="superscript"/>
        </w:rPr>
        <w:fldChar w:fldCharType="separate"/>
      </w:r>
      <w:r>
        <w:rPr>
          <w:vertAlign w:val="superscript"/>
        </w:rPr>
        <w:t>[21]</w:t>
      </w:r>
      <w:r>
        <w:rPr>
          <w:vertAlign w:val="superscript"/>
        </w:rPr>
        <w:fldChar w:fldCharType="end"/>
      </w:r>
      <w:r>
        <w:rPr>
          <w:vertAlign w:val="superscript"/>
        </w:rPr>
        <w:fldChar w:fldCharType="begin"/>
      </w:r>
      <w:r>
        <w:rPr>
          <w:vertAlign w:val="superscript"/>
        </w:rPr>
        <w:instrText xml:space="preserve"> REF _Ref228914280 \r \h  \* MERGEFORMAT </w:instrText>
      </w:r>
      <w:r>
        <w:rPr>
          <w:vertAlign w:val="superscript"/>
        </w:rPr>
        <w:fldChar w:fldCharType="separate"/>
      </w:r>
      <w:r>
        <w:rPr>
          <w:vertAlign w:val="superscript"/>
        </w:rPr>
        <w:t>[24]</w:t>
      </w:r>
      <w:r>
        <w:rPr>
          <w:vertAlign w:val="superscript"/>
        </w:rPr>
        <w:fldChar w:fldCharType="end"/>
      </w:r>
    </w:p>
    <w:p w14:paraId="24AB32B5">
      <w:pPr>
        <w:pStyle w:val="52"/>
      </w:pPr>
      <w:bookmarkStart w:id="21" w:name="_Toc4905"/>
      <w:r>
        <w:rPr>
          <w:rFonts w:hint="eastAsia"/>
        </w:rPr>
        <w:t>表2 主要变量定义</w:t>
      </w:r>
      <w:bookmarkEnd w:id="21"/>
    </w:p>
    <w:tbl>
      <w:tblPr>
        <w:tblStyle w:val="23"/>
        <w:tblW w:w="88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1"/>
        <w:gridCol w:w="4606"/>
      </w:tblGrid>
      <w:tr w14:paraId="69520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jc w:val="center"/>
        </w:trPr>
        <w:tc>
          <w:tcPr>
            <w:tcW w:w="2130" w:type="dxa"/>
            <w:tcBorders>
              <w:top w:val="single" w:color="000000" w:sz="12" w:space="0"/>
              <w:left w:val="nil"/>
              <w:bottom w:val="single" w:color="000000" w:sz="4" w:space="0"/>
              <w:right w:val="nil"/>
              <w:tl2br w:val="nil"/>
            </w:tcBorders>
            <w:shd w:val="clear" w:color="auto" w:fill="FFFFFF"/>
            <w:vAlign w:val="center"/>
          </w:tcPr>
          <w:p w14:paraId="56C50BC4">
            <w:pPr>
              <w:pStyle w:val="44"/>
              <w:widowControl w:val="0"/>
              <w:rPr>
                <w:color w:val="000000"/>
                <w:szCs w:val="24"/>
              </w:rPr>
            </w:pPr>
            <w:r>
              <w:rPr>
                <w:color w:val="000000"/>
                <w:szCs w:val="24"/>
              </w:rPr>
              <w:t>变量名称</w:t>
            </w:r>
          </w:p>
        </w:tc>
        <w:tc>
          <w:tcPr>
            <w:tcW w:w="2131" w:type="dxa"/>
            <w:tcBorders>
              <w:top w:val="single" w:color="000000" w:sz="12" w:space="0"/>
              <w:left w:val="nil"/>
              <w:bottom w:val="single" w:color="000000" w:sz="4" w:space="0"/>
              <w:right w:val="nil"/>
            </w:tcBorders>
            <w:shd w:val="clear" w:color="auto" w:fill="FFFFFF"/>
            <w:vAlign w:val="center"/>
          </w:tcPr>
          <w:p w14:paraId="60613904">
            <w:pPr>
              <w:pStyle w:val="44"/>
              <w:widowControl w:val="0"/>
              <w:rPr>
                <w:color w:val="000000"/>
                <w:szCs w:val="24"/>
              </w:rPr>
            </w:pPr>
            <w:r>
              <w:rPr>
                <w:color w:val="000000"/>
                <w:szCs w:val="24"/>
              </w:rPr>
              <w:t>变量符号</w:t>
            </w:r>
          </w:p>
        </w:tc>
        <w:tc>
          <w:tcPr>
            <w:tcW w:w="4606" w:type="dxa"/>
            <w:tcBorders>
              <w:top w:val="single" w:color="000000" w:sz="12" w:space="0"/>
              <w:left w:val="nil"/>
              <w:bottom w:val="single" w:color="000000" w:sz="4" w:space="0"/>
              <w:right w:val="nil"/>
            </w:tcBorders>
            <w:shd w:val="clear" w:color="auto" w:fill="FFFFFF"/>
            <w:vAlign w:val="center"/>
          </w:tcPr>
          <w:p w14:paraId="0CD52DFD">
            <w:pPr>
              <w:pStyle w:val="44"/>
              <w:widowControl w:val="0"/>
              <w:rPr>
                <w:color w:val="000000"/>
                <w:szCs w:val="24"/>
              </w:rPr>
            </w:pPr>
            <w:r>
              <w:rPr>
                <w:color w:val="000000"/>
                <w:szCs w:val="24"/>
              </w:rPr>
              <w:t>变量定义与说明</w:t>
            </w:r>
          </w:p>
        </w:tc>
      </w:tr>
      <w:tr w14:paraId="349F3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jc w:val="center"/>
        </w:trPr>
        <w:tc>
          <w:tcPr>
            <w:tcW w:w="2130" w:type="dxa"/>
            <w:tcBorders>
              <w:top w:val="single" w:color="000000" w:sz="4" w:space="0"/>
              <w:left w:val="nil"/>
              <w:bottom w:val="nil"/>
              <w:right w:val="nil"/>
            </w:tcBorders>
            <w:shd w:val="clear" w:color="auto" w:fill="FFFFFF"/>
            <w:vAlign w:val="center"/>
          </w:tcPr>
          <w:p w14:paraId="0BCCFE74">
            <w:pPr>
              <w:pStyle w:val="44"/>
              <w:widowControl w:val="0"/>
              <w:rPr>
                <w:color w:val="000000"/>
                <w:szCs w:val="24"/>
              </w:rPr>
            </w:pPr>
            <w:r>
              <w:rPr>
                <w:color w:val="000000"/>
                <w:szCs w:val="24"/>
              </w:rPr>
              <w:t>经济规模</w:t>
            </w:r>
          </w:p>
        </w:tc>
        <w:tc>
          <w:tcPr>
            <w:tcW w:w="2131" w:type="dxa"/>
            <w:tcBorders>
              <w:top w:val="single" w:color="000000" w:sz="4" w:space="0"/>
              <w:left w:val="nil"/>
              <w:bottom w:val="nil"/>
              <w:right w:val="nil"/>
            </w:tcBorders>
            <w:shd w:val="clear" w:color="auto" w:fill="FFFFFF"/>
            <w:vAlign w:val="center"/>
          </w:tcPr>
          <w:p w14:paraId="524A6C79">
            <w:pPr>
              <w:pStyle w:val="44"/>
              <w:widowControl w:val="0"/>
              <w:rPr>
                <w:color w:val="000000"/>
                <w:szCs w:val="24"/>
              </w:rPr>
            </w:pPr>
            <w:r>
              <w:rPr>
                <w:color w:val="000000"/>
                <w:szCs w:val="24"/>
              </w:rPr>
              <w:t>GDP</w:t>
            </w:r>
          </w:p>
        </w:tc>
        <w:tc>
          <w:tcPr>
            <w:tcW w:w="4606" w:type="dxa"/>
            <w:tcBorders>
              <w:top w:val="single" w:color="000000" w:sz="4" w:space="0"/>
              <w:left w:val="nil"/>
              <w:bottom w:val="nil"/>
              <w:right w:val="nil"/>
            </w:tcBorders>
            <w:shd w:val="clear" w:color="auto" w:fill="FFFFFF"/>
            <w:vAlign w:val="center"/>
          </w:tcPr>
          <w:p w14:paraId="0C3050FA">
            <w:pPr>
              <w:pStyle w:val="44"/>
              <w:widowControl w:val="0"/>
              <w:rPr>
                <w:color w:val="000000"/>
                <w:szCs w:val="24"/>
              </w:rPr>
            </w:pPr>
            <w:r>
              <w:rPr>
                <w:color w:val="000000"/>
                <w:szCs w:val="24"/>
              </w:rPr>
              <w:t>地区生产总值（万元）</w:t>
            </w:r>
          </w:p>
        </w:tc>
      </w:tr>
      <w:tr w14:paraId="4DD93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jc w:val="center"/>
        </w:trPr>
        <w:tc>
          <w:tcPr>
            <w:tcW w:w="2130" w:type="dxa"/>
            <w:tcBorders>
              <w:top w:val="nil"/>
              <w:left w:val="nil"/>
              <w:bottom w:val="nil"/>
              <w:right w:val="nil"/>
            </w:tcBorders>
            <w:shd w:val="clear" w:color="auto" w:fill="FFFFFF"/>
            <w:vAlign w:val="center"/>
          </w:tcPr>
          <w:p w14:paraId="5A80F34F">
            <w:pPr>
              <w:pStyle w:val="44"/>
              <w:widowControl w:val="0"/>
              <w:rPr>
                <w:color w:val="000000"/>
                <w:szCs w:val="24"/>
              </w:rPr>
            </w:pPr>
            <w:r>
              <w:rPr>
                <w:color w:val="000000"/>
                <w:szCs w:val="24"/>
              </w:rPr>
              <w:t>要素集聚水平</w:t>
            </w:r>
          </w:p>
        </w:tc>
        <w:tc>
          <w:tcPr>
            <w:tcW w:w="2131" w:type="dxa"/>
            <w:tcBorders>
              <w:top w:val="nil"/>
              <w:left w:val="nil"/>
              <w:bottom w:val="nil"/>
              <w:right w:val="nil"/>
            </w:tcBorders>
            <w:shd w:val="clear" w:color="auto" w:fill="FFFFFF"/>
            <w:vAlign w:val="center"/>
          </w:tcPr>
          <w:p w14:paraId="2002F6B7">
            <w:pPr>
              <w:pStyle w:val="44"/>
              <w:widowControl w:val="0"/>
              <w:rPr>
                <w:color w:val="000000"/>
                <w:szCs w:val="24"/>
              </w:rPr>
            </w:pPr>
            <w:r>
              <w:rPr>
                <w:color w:val="000000"/>
                <w:szCs w:val="24"/>
              </w:rPr>
              <w:t>DENSITY</w:t>
            </w:r>
          </w:p>
        </w:tc>
        <w:tc>
          <w:tcPr>
            <w:tcW w:w="4606" w:type="dxa"/>
            <w:tcBorders>
              <w:top w:val="nil"/>
              <w:left w:val="nil"/>
              <w:bottom w:val="nil"/>
              <w:right w:val="nil"/>
            </w:tcBorders>
            <w:shd w:val="clear" w:color="auto" w:fill="FFFFFF"/>
            <w:vAlign w:val="center"/>
          </w:tcPr>
          <w:p w14:paraId="2CBF9C3B">
            <w:pPr>
              <w:pStyle w:val="44"/>
              <w:widowControl w:val="0"/>
              <w:rPr>
                <w:color w:val="000000"/>
                <w:szCs w:val="24"/>
              </w:rPr>
            </w:pPr>
            <w:r>
              <w:rPr>
                <w:color w:val="000000"/>
                <w:szCs w:val="24"/>
              </w:rPr>
              <w:t>人口密度（人/平方公里）</w:t>
            </w:r>
          </w:p>
        </w:tc>
      </w:tr>
      <w:tr w14:paraId="7E0B1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jc w:val="center"/>
        </w:trPr>
        <w:tc>
          <w:tcPr>
            <w:tcW w:w="2130" w:type="dxa"/>
            <w:tcBorders>
              <w:top w:val="nil"/>
              <w:left w:val="nil"/>
              <w:bottom w:val="nil"/>
              <w:right w:val="nil"/>
            </w:tcBorders>
            <w:shd w:val="clear" w:color="auto" w:fill="FFFFFF"/>
            <w:vAlign w:val="center"/>
          </w:tcPr>
          <w:p w14:paraId="22166F11">
            <w:pPr>
              <w:pStyle w:val="44"/>
              <w:widowControl w:val="0"/>
              <w:rPr>
                <w:color w:val="000000"/>
                <w:szCs w:val="24"/>
              </w:rPr>
            </w:pPr>
            <w:r>
              <w:rPr>
                <w:color w:val="000000"/>
                <w:szCs w:val="24"/>
              </w:rPr>
              <w:t>产业结构</w:t>
            </w:r>
          </w:p>
        </w:tc>
        <w:tc>
          <w:tcPr>
            <w:tcW w:w="2131" w:type="dxa"/>
            <w:tcBorders>
              <w:top w:val="nil"/>
              <w:left w:val="nil"/>
              <w:bottom w:val="nil"/>
              <w:right w:val="nil"/>
            </w:tcBorders>
            <w:shd w:val="clear" w:color="auto" w:fill="FFFFFF"/>
            <w:vAlign w:val="center"/>
          </w:tcPr>
          <w:p w14:paraId="51AFAB4D">
            <w:pPr>
              <w:pStyle w:val="44"/>
              <w:widowControl w:val="0"/>
              <w:rPr>
                <w:color w:val="000000"/>
                <w:szCs w:val="24"/>
              </w:rPr>
            </w:pPr>
            <w:r>
              <w:rPr>
                <w:color w:val="000000"/>
                <w:szCs w:val="24"/>
              </w:rPr>
              <w:t>INDUS</w:t>
            </w:r>
          </w:p>
        </w:tc>
        <w:tc>
          <w:tcPr>
            <w:tcW w:w="4606" w:type="dxa"/>
            <w:tcBorders>
              <w:top w:val="nil"/>
              <w:left w:val="nil"/>
              <w:bottom w:val="nil"/>
              <w:right w:val="nil"/>
            </w:tcBorders>
            <w:shd w:val="clear" w:color="auto" w:fill="FFFFFF"/>
            <w:vAlign w:val="center"/>
          </w:tcPr>
          <w:p w14:paraId="5B4B97CA">
            <w:pPr>
              <w:pStyle w:val="44"/>
              <w:widowControl w:val="0"/>
              <w:rPr>
                <w:color w:val="000000"/>
                <w:szCs w:val="24"/>
              </w:rPr>
            </w:pPr>
            <w:r>
              <w:rPr>
                <w:color w:val="000000"/>
                <w:szCs w:val="24"/>
              </w:rPr>
              <w:t>第三产业增加值占GDP比重（%）</w:t>
            </w:r>
          </w:p>
        </w:tc>
      </w:tr>
      <w:tr w14:paraId="2DD46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jc w:val="center"/>
        </w:trPr>
        <w:tc>
          <w:tcPr>
            <w:tcW w:w="2130" w:type="dxa"/>
            <w:tcBorders>
              <w:top w:val="nil"/>
              <w:left w:val="nil"/>
              <w:bottom w:val="nil"/>
              <w:right w:val="nil"/>
            </w:tcBorders>
            <w:shd w:val="clear" w:color="auto" w:fill="FFFFFF"/>
            <w:vAlign w:val="center"/>
          </w:tcPr>
          <w:p w14:paraId="09E5A393">
            <w:pPr>
              <w:pStyle w:val="44"/>
              <w:widowControl w:val="0"/>
              <w:rPr>
                <w:color w:val="000000"/>
                <w:szCs w:val="24"/>
              </w:rPr>
            </w:pPr>
            <w:r>
              <w:rPr>
                <w:color w:val="000000"/>
                <w:szCs w:val="24"/>
              </w:rPr>
              <w:t>人力资本水平</w:t>
            </w:r>
          </w:p>
        </w:tc>
        <w:tc>
          <w:tcPr>
            <w:tcW w:w="2131" w:type="dxa"/>
            <w:tcBorders>
              <w:top w:val="nil"/>
              <w:left w:val="nil"/>
              <w:bottom w:val="nil"/>
              <w:right w:val="nil"/>
            </w:tcBorders>
            <w:shd w:val="clear" w:color="auto" w:fill="FFFFFF"/>
            <w:vAlign w:val="center"/>
          </w:tcPr>
          <w:p w14:paraId="49C10283">
            <w:pPr>
              <w:pStyle w:val="44"/>
              <w:widowControl w:val="0"/>
              <w:rPr>
                <w:color w:val="000000"/>
                <w:szCs w:val="24"/>
              </w:rPr>
            </w:pPr>
            <w:r>
              <w:rPr>
                <w:color w:val="000000"/>
                <w:szCs w:val="24"/>
              </w:rPr>
              <w:t>HC</w:t>
            </w:r>
          </w:p>
        </w:tc>
        <w:tc>
          <w:tcPr>
            <w:tcW w:w="4606" w:type="dxa"/>
            <w:tcBorders>
              <w:top w:val="nil"/>
              <w:left w:val="nil"/>
              <w:bottom w:val="nil"/>
              <w:right w:val="nil"/>
            </w:tcBorders>
            <w:shd w:val="clear" w:color="auto" w:fill="FFFFFF"/>
            <w:vAlign w:val="center"/>
          </w:tcPr>
          <w:p w14:paraId="0C8A39B4">
            <w:pPr>
              <w:pStyle w:val="44"/>
              <w:widowControl w:val="0"/>
              <w:rPr>
                <w:color w:val="000000"/>
                <w:szCs w:val="24"/>
              </w:rPr>
            </w:pPr>
            <w:r>
              <w:rPr>
                <w:color w:val="000000"/>
                <w:szCs w:val="24"/>
              </w:rPr>
              <w:t>普通高等学校在校学生数/户籍人口</w:t>
            </w:r>
          </w:p>
        </w:tc>
      </w:tr>
      <w:tr w14:paraId="56151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jc w:val="center"/>
        </w:trPr>
        <w:tc>
          <w:tcPr>
            <w:tcW w:w="2130" w:type="dxa"/>
            <w:tcBorders>
              <w:top w:val="nil"/>
              <w:left w:val="nil"/>
              <w:bottom w:val="nil"/>
              <w:right w:val="nil"/>
            </w:tcBorders>
            <w:shd w:val="clear" w:color="auto" w:fill="FFFFFF"/>
            <w:vAlign w:val="center"/>
          </w:tcPr>
          <w:p w14:paraId="488A4A02">
            <w:pPr>
              <w:pStyle w:val="44"/>
              <w:widowControl w:val="0"/>
              <w:rPr>
                <w:color w:val="000000"/>
                <w:szCs w:val="24"/>
              </w:rPr>
            </w:pPr>
            <w:r>
              <w:rPr>
                <w:color w:val="000000"/>
                <w:szCs w:val="24"/>
              </w:rPr>
              <w:t>公共服务水平</w:t>
            </w:r>
          </w:p>
        </w:tc>
        <w:tc>
          <w:tcPr>
            <w:tcW w:w="2131" w:type="dxa"/>
            <w:tcBorders>
              <w:top w:val="nil"/>
              <w:left w:val="nil"/>
              <w:bottom w:val="nil"/>
              <w:right w:val="nil"/>
            </w:tcBorders>
            <w:shd w:val="clear" w:color="auto" w:fill="FFFFFF"/>
            <w:vAlign w:val="center"/>
          </w:tcPr>
          <w:p w14:paraId="7C46124E">
            <w:pPr>
              <w:pStyle w:val="44"/>
              <w:widowControl w:val="0"/>
              <w:rPr>
                <w:color w:val="000000"/>
                <w:szCs w:val="24"/>
              </w:rPr>
            </w:pPr>
            <w:r>
              <w:rPr>
                <w:color w:val="000000"/>
                <w:szCs w:val="24"/>
              </w:rPr>
              <w:t>PUBLIC</w:t>
            </w:r>
          </w:p>
        </w:tc>
        <w:tc>
          <w:tcPr>
            <w:tcW w:w="4606" w:type="dxa"/>
            <w:tcBorders>
              <w:top w:val="nil"/>
              <w:left w:val="nil"/>
              <w:bottom w:val="nil"/>
              <w:right w:val="nil"/>
            </w:tcBorders>
            <w:shd w:val="clear" w:color="auto" w:fill="FFFFFF"/>
            <w:vAlign w:val="center"/>
          </w:tcPr>
          <w:p w14:paraId="27392389">
            <w:pPr>
              <w:pStyle w:val="44"/>
              <w:widowControl w:val="0"/>
              <w:rPr>
                <w:color w:val="000000"/>
                <w:szCs w:val="24"/>
              </w:rPr>
            </w:pPr>
            <w:r>
              <w:rPr>
                <w:color w:val="000000"/>
                <w:szCs w:val="24"/>
              </w:rPr>
              <w:t>每百人公共图书馆藏书量</w:t>
            </w:r>
          </w:p>
        </w:tc>
      </w:tr>
      <w:tr w14:paraId="357E5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jc w:val="center"/>
        </w:trPr>
        <w:tc>
          <w:tcPr>
            <w:tcW w:w="2130" w:type="dxa"/>
            <w:tcBorders>
              <w:top w:val="nil"/>
              <w:left w:val="nil"/>
              <w:bottom w:val="nil"/>
              <w:right w:val="nil"/>
            </w:tcBorders>
            <w:shd w:val="clear" w:color="auto" w:fill="FFFFFF"/>
            <w:vAlign w:val="center"/>
          </w:tcPr>
          <w:p w14:paraId="028068CC">
            <w:pPr>
              <w:pStyle w:val="44"/>
              <w:widowControl w:val="0"/>
              <w:rPr>
                <w:color w:val="000000"/>
                <w:szCs w:val="24"/>
              </w:rPr>
            </w:pPr>
            <w:r>
              <w:rPr>
                <w:color w:val="000000"/>
                <w:szCs w:val="24"/>
              </w:rPr>
              <w:t>传统基础设施</w:t>
            </w:r>
          </w:p>
        </w:tc>
        <w:tc>
          <w:tcPr>
            <w:tcW w:w="2131" w:type="dxa"/>
            <w:tcBorders>
              <w:top w:val="nil"/>
              <w:left w:val="nil"/>
              <w:bottom w:val="nil"/>
              <w:right w:val="nil"/>
            </w:tcBorders>
            <w:shd w:val="clear" w:color="auto" w:fill="FFFFFF"/>
            <w:vAlign w:val="center"/>
          </w:tcPr>
          <w:p w14:paraId="1341020D">
            <w:pPr>
              <w:pStyle w:val="44"/>
              <w:widowControl w:val="0"/>
              <w:rPr>
                <w:color w:val="000000"/>
                <w:szCs w:val="24"/>
              </w:rPr>
            </w:pPr>
            <w:r>
              <w:rPr>
                <w:color w:val="000000"/>
                <w:szCs w:val="24"/>
              </w:rPr>
              <w:t>INFRA</w:t>
            </w:r>
          </w:p>
        </w:tc>
        <w:tc>
          <w:tcPr>
            <w:tcW w:w="4606" w:type="dxa"/>
            <w:tcBorders>
              <w:top w:val="nil"/>
              <w:left w:val="nil"/>
              <w:bottom w:val="nil"/>
              <w:right w:val="nil"/>
            </w:tcBorders>
            <w:shd w:val="clear" w:color="auto" w:fill="FFFFFF"/>
            <w:vAlign w:val="center"/>
          </w:tcPr>
          <w:p w14:paraId="3FF85915">
            <w:pPr>
              <w:pStyle w:val="44"/>
              <w:widowControl w:val="0"/>
              <w:rPr>
                <w:color w:val="000000"/>
                <w:szCs w:val="24"/>
              </w:rPr>
            </w:pPr>
            <w:r>
              <w:rPr>
                <w:color w:val="000000"/>
                <w:szCs w:val="24"/>
              </w:rPr>
              <w:t>ln(公路货运量+1)</w:t>
            </w:r>
          </w:p>
        </w:tc>
      </w:tr>
      <w:tr w14:paraId="678BE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jc w:val="center"/>
        </w:trPr>
        <w:tc>
          <w:tcPr>
            <w:tcW w:w="2130" w:type="dxa"/>
            <w:tcBorders>
              <w:top w:val="nil"/>
              <w:left w:val="nil"/>
              <w:bottom w:val="nil"/>
              <w:right w:val="nil"/>
            </w:tcBorders>
            <w:shd w:val="clear" w:color="auto" w:fill="FFFFFF"/>
            <w:vAlign w:val="center"/>
          </w:tcPr>
          <w:p w14:paraId="4B3BE89A">
            <w:pPr>
              <w:pStyle w:val="44"/>
              <w:widowControl w:val="0"/>
              <w:rPr>
                <w:color w:val="000000"/>
                <w:szCs w:val="24"/>
              </w:rPr>
            </w:pPr>
            <w:r>
              <w:rPr>
                <w:color w:val="000000"/>
                <w:szCs w:val="24"/>
              </w:rPr>
              <w:t>互联网发展水平</w:t>
            </w:r>
          </w:p>
        </w:tc>
        <w:tc>
          <w:tcPr>
            <w:tcW w:w="2131" w:type="dxa"/>
            <w:tcBorders>
              <w:top w:val="nil"/>
              <w:left w:val="nil"/>
              <w:bottom w:val="nil"/>
              <w:right w:val="nil"/>
            </w:tcBorders>
            <w:shd w:val="clear" w:color="auto" w:fill="FFFFFF"/>
            <w:vAlign w:val="center"/>
          </w:tcPr>
          <w:p w14:paraId="54572DC4">
            <w:pPr>
              <w:pStyle w:val="44"/>
              <w:widowControl w:val="0"/>
              <w:rPr>
                <w:color w:val="000000"/>
                <w:szCs w:val="24"/>
              </w:rPr>
            </w:pPr>
            <w:r>
              <w:rPr>
                <w:color w:val="000000"/>
                <w:szCs w:val="24"/>
              </w:rPr>
              <w:t>INTERNET</w:t>
            </w:r>
          </w:p>
        </w:tc>
        <w:tc>
          <w:tcPr>
            <w:tcW w:w="4606" w:type="dxa"/>
            <w:tcBorders>
              <w:top w:val="nil"/>
              <w:left w:val="nil"/>
              <w:bottom w:val="nil"/>
              <w:right w:val="nil"/>
            </w:tcBorders>
            <w:shd w:val="clear" w:color="auto" w:fill="FFFFFF"/>
            <w:vAlign w:val="center"/>
          </w:tcPr>
          <w:p w14:paraId="2F839F88">
            <w:pPr>
              <w:pStyle w:val="44"/>
              <w:widowControl w:val="0"/>
              <w:rPr>
                <w:color w:val="000000"/>
                <w:szCs w:val="24"/>
              </w:rPr>
            </w:pPr>
            <w:r>
              <w:rPr>
                <w:color w:val="000000"/>
                <w:szCs w:val="24"/>
              </w:rPr>
              <w:t>ln(电信业务收入+1)</w:t>
            </w:r>
          </w:p>
        </w:tc>
      </w:tr>
      <w:tr w14:paraId="6FCB4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jc w:val="center"/>
        </w:trPr>
        <w:tc>
          <w:tcPr>
            <w:tcW w:w="2130" w:type="dxa"/>
            <w:tcBorders>
              <w:top w:val="nil"/>
              <w:left w:val="nil"/>
              <w:bottom w:val="nil"/>
              <w:right w:val="nil"/>
            </w:tcBorders>
            <w:shd w:val="clear" w:color="auto" w:fill="FFFFFF"/>
            <w:vAlign w:val="center"/>
          </w:tcPr>
          <w:p w14:paraId="7DABCAD4">
            <w:pPr>
              <w:pStyle w:val="44"/>
              <w:widowControl w:val="0"/>
              <w:rPr>
                <w:color w:val="000000"/>
                <w:szCs w:val="24"/>
              </w:rPr>
            </w:pPr>
            <w:r>
              <w:rPr>
                <w:color w:val="000000"/>
                <w:szCs w:val="24"/>
              </w:rPr>
              <w:t>金融发展水平</w:t>
            </w:r>
          </w:p>
        </w:tc>
        <w:tc>
          <w:tcPr>
            <w:tcW w:w="2131" w:type="dxa"/>
            <w:tcBorders>
              <w:top w:val="nil"/>
              <w:left w:val="nil"/>
              <w:bottom w:val="nil"/>
              <w:right w:val="nil"/>
            </w:tcBorders>
            <w:shd w:val="clear" w:color="auto" w:fill="FFFFFF"/>
            <w:vAlign w:val="center"/>
          </w:tcPr>
          <w:p w14:paraId="42911250">
            <w:pPr>
              <w:pStyle w:val="44"/>
              <w:widowControl w:val="0"/>
              <w:rPr>
                <w:color w:val="000000"/>
                <w:szCs w:val="24"/>
              </w:rPr>
            </w:pPr>
            <w:r>
              <w:rPr>
                <w:color w:val="000000"/>
                <w:szCs w:val="24"/>
              </w:rPr>
              <w:t>FINANCE</w:t>
            </w:r>
          </w:p>
        </w:tc>
        <w:tc>
          <w:tcPr>
            <w:tcW w:w="4606" w:type="dxa"/>
            <w:tcBorders>
              <w:top w:val="nil"/>
              <w:left w:val="nil"/>
              <w:bottom w:val="nil"/>
              <w:right w:val="nil"/>
            </w:tcBorders>
            <w:shd w:val="clear" w:color="auto" w:fill="FFFFFF"/>
            <w:vAlign w:val="center"/>
          </w:tcPr>
          <w:p w14:paraId="52786519">
            <w:pPr>
              <w:pStyle w:val="44"/>
              <w:widowControl w:val="0"/>
              <w:rPr>
                <w:color w:val="000000"/>
                <w:szCs w:val="24"/>
              </w:rPr>
            </w:pPr>
            <w:r>
              <w:rPr>
                <w:color w:val="000000"/>
                <w:szCs w:val="24"/>
              </w:rPr>
              <w:t>年末金融机构贷款余额/地区生产总值</w:t>
            </w:r>
          </w:p>
        </w:tc>
      </w:tr>
      <w:tr w14:paraId="669E5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jc w:val="center"/>
        </w:trPr>
        <w:tc>
          <w:tcPr>
            <w:tcW w:w="2130" w:type="dxa"/>
            <w:tcBorders>
              <w:top w:val="nil"/>
              <w:left w:val="nil"/>
              <w:bottom w:val="nil"/>
              <w:right w:val="nil"/>
            </w:tcBorders>
            <w:shd w:val="clear" w:color="auto" w:fill="FFFFFF"/>
            <w:vAlign w:val="center"/>
          </w:tcPr>
          <w:p w14:paraId="64A3571F">
            <w:pPr>
              <w:pStyle w:val="44"/>
              <w:widowControl w:val="0"/>
              <w:rPr>
                <w:color w:val="000000"/>
                <w:szCs w:val="24"/>
              </w:rPr>
            </w:pPr>
            <w:r>
              <w:rPr>
                <w:color w:val="000000"/>
                <w:szCs w:val="24"/>
              </w:rPr>
              <w:t>财政压力水平</w:t>
            </w:r>
          </w:p>
        </w:tc>
        <w:tc>
          <w:tcPr>
            <w:tcW w:w="2131" w:type="dxa"/>
            <w:tcBorders>
              <w:top w:val="nil"/>
              <w:left w:val="nil"/>
              <w:bottom w:val="nil"/>
              <w:right w:val="nil"/>
            </w:tcBorders>
            <w:shd w:val="clear" w:color="auto" w:fill="FFFFFF"/>
            <w:vAlign w:val="center"/>
          </w:tcPr>
          <w:p w14:paraId="6952238A">
            <w:pPr>
              <w:pStyle w:val="44"/>
              <w:widowControl w:val="0"/>
              <w:rPr>
                <w:color w:val="000000"/>
                <w:szCs w:val="24"/>
              </w:rPr>
            </w:pPr>
            <w:r>
              <w:rPr>
                <w:color w:val="000000"/>
                <w:szCs w:val="24"/>
              </w:rPr>
              <w:t>FISCAL</w:t>
            </w:r>
          </w:p>
        </w:tc>
        <w:tc>
          <w:tcPr>
            <w:tcW w:w="4606" w:type="dxa"/>
            <w:tcBorders>
              <w:top w:val="nil"/>
              <w:left w:val="nil"/>
              <w:bottom w:val="nil"/>
              <w:right w:val="nil"/>
            </w:tcBorders>
            <w:shd w:val="clear" w:color="auto" w:fill="FFFFFF"/>
            <w:vAlign w:val="center"/>
          </w:tcPr>
          <w:p w14:paraId="0F2A58D3">
            <w:pPr>
              <w:pStyle w:val="44"/>
              <w:widowControl w:val="0"/>
              <w:rPr>
                <w:color w:val="000000"/>
                <w:szCs w:val="24"/>
              </w:rPr>
            </w:pPr>
            <w:r>
              <w:rPr>
                <w:color w:val="000000"/>
                <w:szCs w:val="24"/>
              </w:rPr>
              <w:t>地方财政一般预算内支出/地方财政一般预算内收入</w:t>
            </w:r>
          </w:p>
        </w:tc>
      </w:tr>
      <w:tr w14:paraId="05C54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jc w:val="center"/>
        </w:trPr>
        <w:tc>
          <w:tcPr>
            <w:tcW w:w="2130" w:type="dxa"/>
            <w:tcBorders>
              <w:top w:val="nil"/>
              <w:left w:val="nil"/>
              <w:bottom w:val="nil"/>
              <w:right w:val="nil"/>
            </w:tcBorders>
            <w:shd w:val="clear" w:color="auto" w:fill="FFFFFF"/>
            <w:vAlign w:val="center"/>
          </w:tcPr>
          <w:p w14:paraId="642987A8">
            <w:pPr>
              <w:pStyle w:val="44"/>
              <w:widowControl w:val="0"/>
              <w:rPr>
                <w:color w:val="000000"/>
                <w:szCs w:val="24"/>
              </w:rPr>
            </w:pPr>
            <w:r>
              <w:rPr>
                <w:color w:val="000000"/>
                <w:szCs w:val="24"/>
              </w:rPr>
              <w:t>科学支出水平</w:t>
            </w:r>
          </w:p>
        </w:tc>
        <w:tc>
          <w:tcPr>
            <w:tcW w:w="2131" w:type="dxa"/>
            <w:tcBorders>
              <w:top w:val="nil"/>
              <w:left w:val="nil"/>
              <w:bottom w:val="nil"/>
              <w:right w:val="nil"/>
            </w:tcBorders>
            <w:shd w:val="clear" w:color="auto" w:fill="FFFFFF"/>
            <w:vAlign w:val="center"/>
          </w:tcPr>
          <w:p w14:paraId="2846146B">
            <w:pPr>
              <w:pStyle w:val="44"/>
              <w:widowControl w:val="0"/>
              <w:rPr>
                <w:color w:val="000000"/>
                <w:szCs w:val="24"/>
              </w:rPr>
            </w:pPr>
            <w:r>
              <w:rPr>
                <w:color w:val="000000"/>
                <w:szCs w:val="24"/>
              </w:rPr>
              <w:t>SCIENCE</w:t>
            </w:r>
          </w:p>
        </w:tc>
        <w:tc>
          <w:tcPr>
            <w:tcW w:w="4606" w:type="dxa"/>
            <w:tcBorders>
              <w:top w:val="nil"/>
              <w:left w:val="nil"/>
              <w:bottom w:val="nil"/>
              <w:right w:val="nil"/>
            </w:tcBorders>
            <w:shd w:val="clear" w:color="auto" w:fill="FFFFFF"/>
            <w:vAlign w:val="center"/>
          </w:tcPr>
          <w:p w14:paraId="238A254A">
            <w:pPr>
              <w:pStyle w:val="44"/>
              <w:widowControl w:val="0"/>
              <w:rPr>
                <w:color w:val="000000"/>
                <w:szCs w:val="24"/>
              </w:rPr>
            </w:pPr>
            <w:r>
              <w:rPr>
                <w:color w:val="000000"/>
                <w:szCs w:val="24"/>
              </w:rPr>
              <w:t>ln(科学支出+1)</w:t>
            </w:r>
          </w:p>
        </w:tc>
      </w:tr>
      <w:tr w14:paraId="5ECF5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jc w:val="center"/>
        </w:trPr>
        <w:tc>
          <w:tcPr>
            <w:tcW w:w="2130" w:type="dxa"/>
            <w:tcBorders>
              <w:top w:val="nil"/>
              <w:left w:val="nil"/>
              <w:bottom w:val="nil"/>
              <w:right w:val="nil"/>
            </w:tcBorders>
            <w:shd w:val="clear" w:color="auto" w:fill="FFFFFF"/>
            <w:vAlign w:val="center"/>
          </w:tcPr>
          <w:p w14:paraId="7C7173D9">
            <w:pPr>
              <w:pStyle w:val="44"/>
              <w:widowControl w:val="0"/>
              <w:rPr>
                <w:color w:val="000000"/>
                <w:szCs w:val="24"/>
              </w:rPr>
            </w:pPr>
            <w:r>
              <w:rPr>
                <w:color w:val="000000"/>
                <w:szCs w:val="24"/>
              </w:rPr>
              <w:t>城市发展水平</w:t>
            </w:r>
          </w:p>
        </w:tc>
        <w:tc>
          <w:tcPr>
            <w:tcW w:w="2131" w:type="dxa"/>
            <w:tcBorders>
              <w:top w:val="nil"/>
              <w:left w:val="nil"/>
              <w:bottom w:val="nil"/>
              <w:right w:val="nil"/>
            </w:tcBorders>
            <w:shd w:val="clear" w:color="auto" w:fill="FFFFFF"/>
            <w:vAlign w:val="center"/>
          </w:tcPr>
          <w:p w14:paraId="2776394E">
            <w:pPr>
              <w:pStyle w:val="44"/>
              <w:widowControl w:val="0"/>
              <w:rPr>
                <w:color w:val="000000"/>
                <w:szCs w:val="24"/>
              </w:rPr>
            </w:pPr>
            <w:r>
              <w:rPr>
                <w:color w:val="000000"/>
                <w:szCs w:val="24"/>
              </w:rPr>
              <w:t>PGDP</w:t>
            </w:r>
          </w:p>
        </w:tc>
        <w:tc>
          <w:tcPr>
            <w:tcW w:w="4606" w:type="dxa"/>
            <w:tcBorders>
              <w:top w:val="nil"/>
              <w:left w:val="nil"/>
              <w:bottom w:val="nil"/>
              <w:right w:val="nil"/>
            </w:tcBorders>
            <w:shd w:val="clear" w:color="auto" w:fill="FFFFFF"/>
            <w:vAlign w:val="center"/>
          </w:tcPr>
          <w:p w14:paraId="7D812758">
            <w:pPr>
              <w:pStyle w:val="44"/>
              <w:widowControl w:val="0"/>
              <w:rPr>
                <w:color w:val="000000"/>
                <w:szCs w:val="24"/>
              </w:rPr>
            </w:pPr>
            <w:r>
              <w:rPr>
                <w:color w:val="000000"/>
                <w:szCs w:val="24"/>
              </w:rPr>
              <w:t>ln(人均地区生产总值)</w:t>
            </w:r>
          </w:p>
        </w:tc>
      </w:tr>
      <w:tr w14:paraId="66F76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jc w:val="center"/>
        </w:trPr>
        <w:tc>
          <w:tcPr>
            <w:tcW w:w="2130" w:type="dxa"/>
            <w:tcBorders>
              <w:top w:val="nil"/>
              <w:left w:val="nil"/>
              <w:bottom w:val="nil"/>
              <w:right w:val="nil"/>
            </w:tcBorders>
            <w:shd w:val="clear" w:color="auto" w:fill="FFFFFF"/>
            <w:vAlign w:val="center"/>
          </w:tcPr>
          <w:p w14:paraId="540ED6F9">
            <w:pPr>
              <w:pStyle w:val="44"/>
              <w:widowControl w:val="0"/>
              <w:rPr>
                <w:color w:val="000000"/>
                <w:szCs w:val="24"/>
              </w:rPr>
            </w:pPr>
            <w:r>
              <w:rPr>
                <w:color w:val="000000"/>
                <w:szCs w:val="24"/>
              </w:rPr>
              <w:t>对外开放水平</w:t>
            </w:r>
          </w:p>
        </w:tc>
        <w:tc>
          <w:tcPr>
            <w:tcW w:w="2131" w:type="dxa"/>
            <w:tcBorders>
              <w:top w:val="nil"/>
              <w:left w:val="nil"/>
              <w:bottom w:val="nil"/>
              <w:right w:val="nil"/>
            </w:tcBorders>
            <w:shd w:val="clear" w:color="auto" w:fill="FFFFFF"/>
            <w:vAlign w:val="center"/>
          </w:tcPr>
          <w:p w14:paraId="5859FF00">
            <w:pPr>
              <w:pStyle w:val="44"/>
              <w:widowControl w:val="0"/>
              <w:rPr>
                <w:color w:val="000000"/>
                <w:szCs w:val="24"/>
              </w:rPr>
            </w:pPr>
            <w:r>
              <w:rPr>
                <w:color w:val="000000"/>
                <w:szCs w:val="24"/>
              </w:rPr>
              <w:t>FDI</w:t>
            </w:r>
          </w:p>
        </w:tc>
        <w:tc>
          <w:tcPr>
            <w:tcW w:w="4606" w:type="dxa"/>
            <w:tcBorders>
              <w:top w:val="nil"/>
              <w:left w:val="nil"/>
              <w:bottom w:val="nil"/>
              <w:right w:val="nil"/>
            </w:tcBorders>
            <w:shd w:val="clear" w:color="auto" w:fill="FFFFFF"/>
            <w:vAlign w:val="center"/>
          </w:tcPr>
          <w:p w14:paraId="0F987619">
            <w:pPr>
              <w:pStyle w:val="44"/>
              <w:widowControl w:val="0"/>
              <w:rPr>
                <w:color w:val="000000"/>
                <w:szCs w:val="24"/>
              </w:rPr>
            </w:pPr>
            <w:r>
              <w:rPr>
                <w:color w:val="000000"/>
                <w:szCs w:val="24"/>
              </w:rPr>
              <w:t>ln(外商投资企业数)</w:t>
            </w:r>
          </w:p>
        </w:tc>
      </w:tr>
      <w:tr w14:paraId="4663E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jc w:val="center"/>
        </w:trPr>
        <w:tc>
          <w:tcPr>
            <w:tcW w:w="2130" w:type="dxa"/>
            <w:tcBorders>
              <w:top w:val="nil"/>
              <w:left w:val="nil"/>
              <w:bottom w:val="nil"/>
              <w:right w:val="nil"/>
            </w:tcBorders>
            <w:shd w:val="clear" w:color="auto" w:fill="FFFFFF"/>
            <w:vAlign w:val="center"/>
          </w:tcPr>
          <w:p w14:paraId="3B611286">
            <w:pPr>
              <w:pStyle w:val="44"/>
              <w:widowControl w:val="0"/>
              <w:rPr>
                <w:color w:val="000000"/>
                <w:szCs w:val="24"/>
              </w:rPr>
            </w:pPr>
            <w:r>
              <w:rPr>
                <w:color w:val="000000"/>
                <w:szCs w:val="24"/>
              </w:rPr>
              <w:t>城市治理水平</w:t>
            </w:r>
          </w:p>
        </w:tc>
        <w:tc>
          <w:tcPr>
            <w:tcW w:w="2131" w:type="dxa"/>
            <w:tcBorders>
              <w:top w:val="nil"/>
              <w:left w:val="nil"/>
              <w:bottom w:val="nil"/>
              <w:right w:val="nil"/>
            </w:tcBorders>
            <w:shd w:val="clear" w:color="auto" w:fill="FFFFFF"/>
            <w:vAlign w:val="center"/>
          </w:tcPr>
          <w:p w14:paraId="1610718E">
            <w:pPr>
              <w:pStyle w:val="44"/>
              <w:widowControl w:val="0"/>
              <w:rPr>
                <w:color w:val="000000"/>
                <w:szCs w:val="24"/>
              </w:rPr>
            </w:pPr>
            <w:r>
              <w:rPr>
                <w:color w:val="000000"/>
                <w:szCs w:val="24"/>
              </w:rPr>
              <w:t>ENV</w:t>
            </w:r>
          </w:p>
        </w:tc>
        <w:tc>
          <w:tcPr>
            <w:tcW w:w="4606" w:type="dxa"/>
            <w:tcBorders>
              <w:top w:val="nil"/>
              <w:left w:val="nil"/>
              <w:bottom w:val="nil"/>
              <w:right w:val="nil"/>
            </w:tcBorders>
            <w:shd w:val="clear" w:color="auto" w:fill="FFFFFF"/>
            <w:vAlign w:val="center"/>
          </w:tcPr>
          <w:p w14:paraId="0FE10405">
            <w:pPr>
              <w:pStyle w:val="44"/>
              <w:widowControl w:val="0"/>
              <w:rPr>
                <w:color w:val="000000"/>
                <w:szCs w:val="24"/>
              </w:rPr>
            </w:pPr>
            <w:r>
              <w:rPr>
                <w:color w:val="000000"/>
                <w:szCs w:val="24"/>
              </w:rPr>
              <w:t>生活垃圾无害化处理率（%）</w:t>
            </w:r>
          </w:p>
        </w:tc>
      </w:tr>
      <w:tr w14:paraId="17EA1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jc w:val="center"/>
        </w:trPr>
        <w:tc>
          <w:tcPr>
            <w:tcW w:w="2130" w:type="dxa"/>
            <w:tcBorders>
              <w:top w:val="nil"/>
              <w:left w:val="nil"/>
              <w:bottom w:val="single" w:color="000000" w:sz="12" w:space="0"/>
              <w:right w:val="nil"/>
            </w:tcBorders>
            <w:shd w:val="clear" w:color="auto" w:fill="FFFFFF"/>
            <w:vAlign w:val="center"/>
          </w:tcPr>
          <w:p w14:paraId="018D5B58">
            <w:pPr>
              <w:pStyle w:val="44"/>
              <w:widowControl w:val="0"/>
              <w:rPr>
                <w:color w:val="000000"/>
                <w:szCs w:val="24"/>
              </w:rPr>
            </w:pPr>
            <w:r>
              <w:rPr>
                <w:color w:val="000000"/>
                <w:szCs w:val="24"/>
              </w:rPr>
              <w:t>交通便捷程度</w:t>
            </w:r>
          </w:p>
        </w:tc>
        <w:tc>
          <w:tcPr>
            <w:tcW w:w="2131" w:type="dxa"/>
            <w:tcBorders>
              <w:top w:val="nil"/>
              <w:left w:val="nil"/>
              <w:bottom w:val="single" w:color="000000" w:sz="12" w:space="0"/>
              <w:right w:val="nil"/>
            </w:tcBorders>
            <w:shd w:val="clear" w:color="auto" w:fill="FFFFFF"/>
            <w:vAlign w:val="center"/>
          </w:tcPr>
          <w:p w14:paraId="26F5F8F7">
            <w:pPr>
              <w:pStyle w:val="44"/>
              <w:widowControl w:val="0"/>
              <w:rPr>
                <w:color w:val="000000"/>
                <w:szCs w:val="24"/>
              </w:rPr>
            </w:pPr>
            <w:r>
              <w:rPr>
                <w:color w:val="000000"/>
                <w:szCs w:val="24"/>
              </w:rPr>
              <w:t>ROAD</w:t>
            </w:r>
          </w:p>
        </w:tc>
        <w:tc>
          <w:tcPr>
            <w:tcW w:w="4606" w:type="dxa"/>
            <w:tcBorders>
              <w:top w:val="nil"/>
              <w:left w:val="nil"/>
              <w:bottom w:val="single" w:color="000000" w:sz="12" w:space="0"/>
              <w:right w:val="nil"/>
            </w:tcBorders>
            <w:shd w:val="clear" w:color="auto" w:fill="FFFFFF"/>
            <w:vAlign w:val="center"/>
          </w:tcPr>
          <w:p w14:paraId="455CE5D6">
            <w:pPr>
              <w:pStyle w:val="44"/>
              <w:widowControl w:val="0"/>
              <w:rPr>
                <w:color w:val="000000"/>
                <w:szCs w:val="24"/>
              </w:rPr>
            </w:pPr>
            <w:r>
              <w:rPr>
                <w:color w:val="000000"/>
                <w:szCs w:val="24"/>
              </w:rPr>
              <w:t>高速公路里程/户籍人口</w:t>
            </w:r>
          </w:p>
        </w:tc>
      </w:tr>
    </w:tbl>
    <w:p w14:paraId="0B028595">
      <w:pPr>
        <w:pStyle w:val="3"/>
        <w:numPr>
          <w:ilvl w:val="1"/>
          <w:numId w:val="0"/>
        </w:numPr>
        <w:rPr>
          <w:rFonts w:hint="eastAsia" w:ascii="楷体" w:hAnsi="楷体"/>
          <w:bCs/>
          <w:szCs w:val="28"/>
        </w:rPr>
      </w:pPr>
      <w:bookmarkStart w:id="22" w:name="_Toc228914690"/>
      <w:r>
        <w:rPr>
          <w:rFonts w:hint="eastAsia" w:ascii="楷体" w:hAnsi="楷体"/>
          <w:bCs/>
          <w:szCs w:val="28"/>
          <w:lang w:eastAsia="zh"/>
        </w:rPr>
        <w:t>（四）</w:t>
      </w:r>
      <w:r>
        <w:rPr>
          <w:rFonts w:hint="eastAsia" w:ascii="楷体" w:hAnsi="楷体"/>
          <w:bCs/>
          <w:szCs w:val="28"/>
        </w:rPr>
        <w:t>描述性统计</w:t>
      </w:r>
      <w:bookmarkEnd w:id="22"/>
    </w:p>
    <w:p w14:paraId="7ACB5B26">
      <w:pPr>
        <w:ind w:firstLine="420" w:firstLineChars="0"/>
      </w:pPr>
      <w:r>
        <w:rPr>
          <w:rFonts w:hint="eastAsia"/>
          <w:lang w:eastAsia="zh"/>
        </w:rPr>
        <w:t>部分</w:t>
      </w:r>
      <w:r>
        <w:rPr>
          <w:rFonts w:hint="eastAsia"/>
        </w:rPr>
        <w:t>描述性统计</w:t>
      </w:r>
      <w:r>
        <w:rPr>
          <w:rFonts w:hint="eastAsia"/>
          <w:lang w:eastAsia="zh"/>
        </w:rPr>
        <w:t>如表所示</w:t>
      </w:r>
      <w:r>
        <w:rPr>
          <w:rFonts w:hint="eastAsia"/>
        </w:rPr>
        <w:t>。整体来看，各变量在城市层面呈现出较大的离散性与明显的异质性特征。经济规模均值较高但标准差显著，表明不同城市之间发展水平差距较大；人口密度与产业结构指标亦存在较强波动，反映出要素集聚程度与产业升级水平的区域差异。人力资本、公共服务及互联网发展水平等变量的标准差同样较大，说明城市在教育资源、公共供给及数字基础设施方面分布不均。金融发展、财政压力与科学支出等指标的极值差异较为明显，体现出地方政府财力与资源配置能力的显著分化。此外，交通便捷程度与城市治理水平也表现出一定程度的离散性。</w:t>
      </w:r>
    </w:p>
    <w:p w14:paraId="6674BF95">
      <w:pPr>
        <w:ind w:firstLine="420" w:firstLineChars="0"/>
      </w:pPr>
      <w:r>
        <w:rPr>
          <w:rFonts w:hint="eastAsia"/>
        </w:rPr>
        <w:t>需要说明的是，本文采用双重机器学习方法进行估计，该方法对变量量纲不敏感，无需对所有变量进行统一标准化处理，从而避免了传统回归中因量纲差异带来的估计偏误。</w:t>
      </w:r>
    </w:p>
    <w:p w14:paraId="27E69DDB">
      <w:pPr>
        <w:pStyle w:val="52"/>
      </w:pPr>
      <w:bookmarkStart w:id="23" w:name="_Toc13148"/>
      <w:r>
        <w:rPr>
          <w:rFonts w:hint="eastAsia"/>
        </w:rPr>
        <w:t>表3 变量的描述性统计分析</w:t>
      </w:r>
      <w:bookmarkEnd w:id="23"/>
    </w:p>
    <w:tbl>
      <w:tblPr>
        <w:tblStyle w:val="22"/>
        <w:tblW w:w="4998" w:type="pct"/>
        <w:jc w:val="center"/>
        <w:tblLayout w:type="autofit"/>
        <w:tblCellMar>
          <w:top w:w="0" w:type="dxa"/>
          <w:left w:w="108" w:type="dxa"/>
          <w:bottom w:w="0" w:type="dxa"/>
          <w:right w:w="108" w:type="dxa"/>
        </w:tblCellMar>
      </w:tblPr>
      <w:tblGrid>
        <w:gridCol w:w="2166"/>
        <w:gridCol w:w="1476"/>
        <w:gridCol w:w="1468"/>
        <w:gridCol w:w="1176"/>
        <w:gridCol w:w="936"/>
        <w:gridCol w:w="1297"/>
      </w:tblGrid>
      <w:tr w14:paraId="691EC885">
        <w:tblPrEx>
          <w:tblCellMar>
            <w:top w:w="0" w:type="dxa"/>
            <w:left w:w="108" w:type="dxa"/>
            <w:bottom w:w="0" w:type="dxa"/>
            <w:right w:w="108" w:type="dxa"/>
          </w:tblCellMar>
        </w:tblPrEx>
        <w:trPr>
          <w:trHeight w:val="454" w:hRule="atLeast"/>
          <w:jc w:val="center"/>
        </w:trPr>
        <w:tc>
          <w:tcPr>
            <w:tcW w:w="1332" w:type="pct"/>
            <w:tcBorders>
              <w:top w:val="single" w:color="000000" w:sz="12" w:space="0"/>
              <w:left w:val="nil"/>
              <w:bottom w:val="single" w:color="000000" w:sz="4" w:space="0"/>
              <w:right w:val="nil"/>
              <w:tl2br w:val="nil"/>
            </w:tcBorders>
            <w:shd w:val="clear" w:color="auto" w:fill="FFFFFF"/>
            <w:noWrap/>
            <w:vAlign w:val="center"/>
          </w:tcPr>
          <w:p w14:paraId="5542B585">
            <w:pPr>
              <w:pStyle w:val="44"/>
              <w:bidi w:val="0"/>
            </w:pPr>
          </w:p>
        </w:tc>
        <w:tc>
          <w:tcPr>
            <w:tcW w:w="910" w:type="pct"/>
            <w:tcBorders>
              <w:top w:val="single" w:color="000000" w:sz="12" w:space="0"/>
              <w:left w:val="nil"/>
              <w:bottom w:val="single" w:color="000000" w:sz="4" w:space="0"/>
              <w:right w:val="nil"/>
            </w:tcBorders>
            <w:shd w:val="clear" w:color="auto" w:fill="FFFFFF"/>
            <w:noWrap/>
            <w:vAlign w:val="center"/>
          </w:tcPr>
          <w:p w14:paraId="7B3A9CC9">
            <w:pPr>
              <w:pStyle w:val="44"/>
              <w:bidi w:val="0"/>
            </w:pPr>
            <w:r>
              <w:t>均值</w:t>
            </w:r>
          </w:p>
        </w:tc>
        <w:tc>
          <w:tcPr>
            <w:tcW w:w="883" w:type="pct"/>
            <w:tcBorders>
              <w:top w:val="single" w:color="000000" w:sz="12" w:space="0"/>
              <w:left w:val="nil"/>
              <w:bottom w:val="single" w:color="000000" w:sz="4" w:space="0"/>
              <w:right w:val="nil"/>
            </w:tcBorders>
            <w:shd w:val="clear" w:color="auto" w:fill="FFFFFF"/>
            <w:noWrap/>
            <w:vAlign w:val="center"/>
          </w:tcPr>
          <w:p w14:paraId="129DB353">
            <w:pPr>
              <w:pStyle w:val="44"/>
              <w:bidi w:val="0"/>
            </w:pPr>
            <w:r>
              <w:t>标准差</w:t>
            </w:r>
          </w:p>
        </w:tc>
        <w:tc>
          <w:tcPr>
            <w:tcW w:w="643" w:type="pct"/>
            <w:tcBorders>
              <w:top w:val="single" w:color="000000" w:sz="12" w:space="0"/>
              <w:left w:val="nil"/>
              <w:bottom w:val="single" w:color="000000" w:sz="4" w:space="0"/>
              <w:right w:val="nil"/>
            </w:tcBorders>
            <w:shd w:val="clear" w:color="auto" w:fill="FFFFFF"/>
            <w:noWrap/>
            <w:vAlign w:val="center"/>
          </w:tcPr>
          <w:p w14:paraId="46F524A2">
            <w:pPr>
              <w:pStyle w:val="44"/>
              <w:bidi w:val="0"/>
            </w:pPr>
            <w:r>
              <w:t>中位数</w:t>
            </w:r>
          </w:p>
        </w:tc>
        <w:tc>
          <w:tcPr>
            <w:tcW w:w="522" w:type="pct"/>
            <w:tcBorders>
              <w:top w:val="single" w:color="000000" w:sz="12" w:space="0"/>
              <w:left w:val="nil"/>
              <w:bottom w:val="single" w:color="000000" w:sz="4" w:space="0"/>
              <w:right w:val="nil"/>
            </w:tcBorders>
            <w:shd w:val="clear" w:color="auto" w:fill="FFFFFF"/>
            <w:noWrap/>
            <w:vAlign w:val="center"/>
          </w:tcPr>
          <w:p w14:paraId="458B3E82">
            <w:pPr>
              <w:pStyle w:val="44"/>
              <w:bidi w:val="0"/>
            </w:pPr>
            <w:r>
              <w:t>最小值</w:t>
            </w:r>
          </w:p>
        </w:tc>
        <w:tc>
          <w:tcPr>
            <w:tcW w:w="707" w:type="pct"/>
            <w:tcBorders>
              <w:top w:val="single" w:color="000000" w:sz="12" w:space="0"/>
              <w:left w:val="nil"/>
              <w:bottom w:val="single" w:color="000000" w:sz="4" w:space="0"/>
              <w:right w:val="nil"/>
            </w:tcBorders>
            <w:shd w:val="clear" w:color="auto" w:fill="FFFFFF"/>
            <w:noWrap/>
            <w:vAlign w:val="center"/>
          </w:tcPr>
          <w:p w14:paraId="09E9CB09">
            <w:pPr>
              <w:pStyle w:val="44"/>
              <w:bidi w:val="0"/>
            </w:pPr>
            <w:r>
              <w:t>最大值</w:t>
            </w:r>
          </w:p>
        </w:tc>
      </w:tr>
      <w:tr w14:paraId="5537A940">
        <w:tblPrEx>
          <w:tblCellMar>
            <w:top w:w="0" w:type="dxa"/>
            <w:left w:w="108" w:type="dxa"/>
            <w:bottom w:w="0" w:type="dxa"/>
            <w:right w:w="108" w:type="dxa"/>
          </w:tblCellMar>
        </w:tblPrEx>
        <w:trPr>
          <w:trHeight w:val="454" w:hRule="atLeast"/>
          <w:jc w:val="center"/>
        </w:trPr>
        <w:tc>
          <w:tcPr>
            <w:tcW w:w="1332" w:type="pct"/>
            <w:tcBorders>
              <w:top w:val="single" w:color="000000" w:sz="4" w:space="0"/>
              <w:left w:val="nil"/>
              <w:bottom w:val="nil"/>
              <w:right w:val="nil"/>
            </w:tcBorders>
            <w:shd w:val="clear" w:color="auto" w:fill="FFFFFF"/>
            <w:noWrap/>
            <w:vAlign w:val="center"/>
          </w:tcPr>
          <w:p w14:paraId="5CFF959E">
            <w:pPr>
              <w:pStyle w:val="44"/>
              <w:bidi w:val="0"/>
            </w:pPr>
            <w:r>
              <w:t>经济规模</w:t>
            </w:r>
          </w:p>
        </w:tc>
        <w:tc>
          <w:tcPr>
            <w:tcW w:w="910" w:type="pct"/>
            <w:tcBorders>
              <w:top w:val="single" w:color="000000" w:sz="4" w:space="0"/>
              <w:left w:val="nil"/>
              <w:bottom w:val="nil"/>
              <w:right w:val="nil"/>
            </w:tcBorders>
            <w:shd w:val="clear" w:color="auto" w:fill="FFFFFF"/>
            <w:noWrap/>
            <w:vAlign w:val="center"/>
          </w:tcPr>
          <w:p w14:paraId="541BBF8A">
            <w:pPr>
              <w:pStyle w:val="44"/>
              <w:bidi w:val="0"/>
            </w:pPr>
            <w:r>
              <w:t>25587013.02</w:t>
            </w:r>
          </w:p>
        </w:tc>
        <w:tc>
          <w:tcPr>
            <w:tcW w:w="883" w:type="pct"/>
            <w:tcBorders>
              <w:top w:val="single" w:color="000000" w:sz="4" w:space="0"/>
              <w:left w:val="nil"/>
              <w:bottom w:val="nil"/>
              <w:right w:val="nil"/>
            </w:tcBorders>
            <w:shd w:val="clear" w:color="auto" w:fill="FFFFFF"/>
            <w:noWrap/>
            <w:vAlign w:val="center"/>
          </w:tcPr>
          <w:p w14:paraId="478FF59D">
            <w:pPr>
              <w:pStyle w:val="44"/>
              <w:bidi w:val="0"/>
            </w:pPr>
            <w:r>
              <w:t>38863211.43</w:t>
            </w:r>
          </w:p>
        </w:tc>
        <w:tc>
          <w:tcPr>
            <w:tcW w:w="643" w:type="pct"/>
            <w:tcBorders>
              <w:top w:val="single" w:color="000000" w:sz="4" w:space="0"/>
              <w:left w:val="nil"/>
              <w:bottom w:val="nil"/>
              <w:right w:val="nil"/>
            </w:tcBorders>
            <w:shd w:val="clear" w:color="auto" w:fill="FFFFFF"/>
            <w:noWrap/>
            <w:vAlign w:val="center"/>
          </w:tcPr>
          <w:p w14:paraId="78CE51C3">
            <w:pPr>
              <w:pStyle w:val="44"/>
              <w:bidi w:val="0"/>
            </w:pPr>
            <w:r>
              <w:t>13534133</w:t>
            </w:r>
          </w:p>
        </w:tc>
        <w:tc>
          <w:tcPr>
            <w:tcW w:w="522" w:type="pct"/>
            <w:tcBorders>
              <w:top w:val="single" w:color="000000" w:sz="4" w:space="0"/>
              <w:left w:val="nil"/>
              <w:bottom w:val="nil"/>
              <w:right w:val="nil"/>
            </w:tcBorders>
            <w:shd w:val="clear" w:color="auto" w:fill="FFFFFF"/>
            <w:noWrap/>
            <w:vAlign w:val="center"/>
          </w:tcPr>
          <w:p w14:paraId="1E239BDB">
            <w:pPr>
              <w:pStyle w:val="44"/>
              <w:bidi w:val="0"/>
            </w:pPr>
            <w:r>
              <w:t>618352</w:t>
            </w:r>
          </w:p>
        </w:tc>
        <w:tc>
          <w:tcPr>
            <w:tcW w:w="707" w:type="pct"/>
            <w:tcBorders>
              <w:top w:val="single" w:color="000000" w:sz="4" w:space="0"/>
              <w:left w:val="nil"/>
              <w:bottom w:val="nil"/>
              <w:right w:val="nil"/>
            </w:tcBorders>
            <w:shd w:val="clear" w:color="auto" w:fill="FFFFFF"/>
            <w:noWrap/>
            <w:vAlign w:val="center"/>
          </w:tcPr>
          <w:p w14:paraId="571ED755">
            <w:pPr>
              <w:pStyle w:val="44"/>
              <w:bidi w:val="0"/>
            </w:pPr>
            <w:r>
              <w:t>472190000</w:t>
            </w:r>
          </w:p>
        </w:tc>
      </w:tr>
      <w:tr w14:paraId="396E40A7">
        <w:tblPrEx>
          <w:tblCellMar>
            <w:top w:w="0" w:type="dxa"/>
            <w:left w:w="108" w:type="dxa"/>
            <w:bottom w:w="0" w:type="dxa"/>
            <w:right w:w="108" w:type="dxa"/>
          </w:tblCellMar>
        </w:tblPrEx>
        <w:trPr>
          <w:trHeight w:val="454" w:hRule="atLeast"/>
          <w:jc w:val="center"/>
        </w:trPr>
        <w:tc>
          <w:tcPr>
            <w:tcW w:w="1332" w:type="pct"/>
            <w:tcBorders>
              <w:top w:val="nil"/>
              <w:left w:val="nil"/>
              <w:bottom w:val="nil"/>
              <w:right w:val="nil"/>
            </w:tcBorders>
            <w:shd w:val="clear" w:color="auto" w:fill="FFFFFF"/>
            <w:noWrap/>
            <w:vAlign w:val="center"/>
          </w:tcPr>
          <w:p w14:paraId="5364E021">
            <w:pPr>
              <w:pStyle w:val="44"/>
              <w:bidi w:val="0"/>
            </w:pPr>
            <w:r>
              <w:t>要素集聚水平</w:t>
            </w:r>
          </w:p>
        </w:tc>
        <w:tc>
          <w:tcPr>
            <w:tcW w:w="910" w:type="pct"/>
            <w:tcBorders>
              <w:top w:val="nil"/>
              <w:left w:val="nil"/>
              <w:bottom w:val="nil"/>
              <w:right w:val="nil"/>
            </w:tcBorders>
            <w:shd w:val="clear" w:color="auto" w:fill="FFFFFF"/>
            <w:noWrap/>
            <w:vAlign w:val="center"/>
          </w:tcPr>
          <w:p w14:paraId="5FF730B2">
            <w:pPr>
              <w:pStyle w:val="44"/>
              <w:bidi w:val="0"/>
            </w:pPr>
            <w:r>
              <w:t>432.8533</w:t>
            </w:r>
          </w:p>
        </w:tc>
        <w:tc>
          <w:tcPr>
            <w:tcW w:w="883" w:type="pct"/>
            <w:tcBorders>
              <w:top w:val="nil"/>
              <w:left w:val="nil"/>
              <w:bottom w:val="nil"/>
              <w:right w:val="nil"/>
            </w:tcBorders>
            <w:shd w:val="clear" w:color="auto" w:fill="FFFFFF"/>
            <w:noWrap/>
            <w:vAlign w:val="center"/>
          </w:tcPr>
          <w:p w14:paraId="29140D48">
            <w:pPr>
              <w:pStyle w:val="44"/>
              <w:bidi w:val="0"/>
            </w:pPr>
            <w:r>
              <w:t>333.4546</w:t>
            </w:r>
          </w:p>
        </w:tc>
        <w:tc>
          <w:tcPr>
            <w:tcW w:w="643" w:type="pct"/>
            <w:tcBorders>
              <w:top w:val="nil"/>
              <w:left w:val="nil"/>
              <w:bottom w:val="nil"/>
              <w:right w:val="nil"/>
            </w:tcBorders>
            <w:shd w:val="clear" w:color="auto" w:fill="FFFFFF"/>
            <w:noWrap/>
            <w:vAlign w:val="center"/>
          </w:tcPr>
          <w:p w14:paraId="014E5D39">
            <w:pPr>
              <w:pStyle w:val="44"/>
              <w:bidi w:val="0"/>
            </w:pPr>
            <w:r>
              <w:t>358</w:t>
            </w:r>
          </w:p>
        </w:tc>
        <w:tc>
          <w:tcPr>
            <w:tcW w:w="522" w:type="pct"/>
            <w:tcBorders>
              <w:top w:val="nil"/>
              <w:left w:val="nil"/>
              <w:bottom w:val="nil"/>
              <w:right w:val="nil"/>
            </w:tcBorders>
            <w:shd w:val="clear" w:color="auto" w:fill="FFFFFF"/>
            <w:noWrap/>
            <w:vAlign w:val="center"/>
          </w:tcPr>
          <w:p w14:paraId="365B13EC">
            <w:pPr>
              <w:pStyle w:val="44"/>
              <w:bidi w:val="0"/>
            </w:pPr>
            <w:r>
              <w:t>5</w:t>
            </w:r>
          </w:p>
        </w:tc>
        <w:tc>
          <w:tcPr>
            <w:tcW w:w="707" w:type="pct"/>
            <w:tcBorders>
              <w:top w:val="nil"/>
              <w:left w:val="nil"/>
              <w:bottom w:val="nil"/>
              <w:right w:val="nil"/>
            </w:tcBorders>
            <w:shd w:val="clear" w:color="auto" w:fill="FFFFFF"/>
            <w:noWrap/>
            <w:vAlign w:val="center"/>
          </w:tcPr>
          <w:p w14:paraId="5F1811C3">
            <w:pPr>
              <w:pStyle w:val="44"/>
              <w:bidi w:val="0"/>
            </w:pPr>
            <w:r>
              <w:t>2648</w:t>
            </w:r>
          </w:p>
        </w:tc>
      </w:tr>
      <w:tr w14:paraId="1A6DE0AF">
        <w:tblPrEx>
          <w:tblCellMar>
            <w:top w:w="0" w:type="dxa"/>
            <w:left w:w="108" w:type="dxa"/>
            <w:bottom w:w="0" w:type="dxa"/>
            <w:right w:w="108" w:type="dxa"/>
          </w:tblCellMar>
        </w:tblPrEx>
        <w:trPr>
          <w:trHeight w:val="454" w:hRule="atLeast"/>
          <w:jc w:val="center"/>
        </w:trPr>
        <w:tc>
          <w:tcPr>
            <w:tcW w:w="1332" w:type="pct"/>
            <w:tcBorders>
              <w:top w:val="nil"/>
              <w:left w:val="nil"/>
              <w:bottom w:val="nil"/>
              <w:right w:val="nil"/>
            </w:tcBorders>
            <w:shd w:val="clear" w:color="auto" w:fill="FFFFFF"/>
            <w:noWrap/>
            <w:vAlign w:val="center"/>
          </w:tcPr>
          <w:p w14:paraId="55B32633">
            <w:pPr>
              <w:pStyle w:val="44"/>
              <w:bidi w:val="0"/>
            </w:pPr>
            <w:r>
              <w:t>产业结构</w:t>
            </w:r>
          </w:p>
        </w:tc>
        <w:tc>
          <w:tcPr>
            <w:tcW w:w="910" w:type="pct"/>
            <w:tcBorders>
              <w:top w:val="nil"/>
              <w:left w:val="nil"/>
              <w:bottom w:val="nil"/>
              <w:right w:val="nil"/>
            </w:tcBorders>
            <w:shd w:val="clear" w:color="auto" w:fill="FFFFFF"/>
            <w:noWrap/>
            <w:vAlign w:val="center"/>
          </w:tcPr>
          <w:p w14:paraId="54CD6312">
            <w:pPr>
              <w:pStyle w:val="44"/>
              <w:bidi w:val="0"/>
            </w:pPr>
            <w:r>
              <w:t>41.6472</w:t>
            </w:r>
          </w:p>
        </w:tc>
        <w:tc>
          <w:tcPr>
            <w:tcW w:w="883" w:type="pct"/>
            <w:tcBorders>
              <w:top w:val="nil"/>
              <w:left w:val="nil"/>
              <w:bottom w:val="nil"/>
              <w:right w:val="nil"/>
            </w:tcBorders>
            <w:shd w:val="clear" w:color="auto" w:fill="FFFFFF"/>
            <w:noWrap/>
            <w:vAlign w:val="center"/>
          </w:tcPr>
          <w:p w14:paraId="665E7CA2">
            <w:pPr>
              <w:pStyle w:val="44"/>
              <w:bidi w:val="0"/>
            </w:pPr>
            <w:r>
              <w:t>10.2888</w:t>
            </w:r>
          </w:p>
        </w:tc>
        <w:tc>
          <w:tcPr>
            <w:tcW w:w="643" w:type="pct"/>
            <w:tcBorders>
              <w:top w:val="nil"/>
              <w:left w:val="nil"/>
              <w:bottom w:val="nil"/>
              <w:right w:val="nil"/>
            </w:tcBorders>
            <w:shd w:val="clear" w:color="auto" w:fill="FFFFFF"/>
            <w:noWrap/>
            <w:vAlign w:val="center"/>
          </w:tcPr>
          <w:p w14:paraId="51E03D8C">
            <w:pPr>
              <w:pStyle w:val="44"/>
              <w:bidi w:val="0"/>
            </w:pPr>
            <w:r>
              <w:t>41.03</w:t>
            </w:r>
          </w:p>
        </w:tc>
        <w:tc>
          <w:tcPr>
            <w:tcW w:w="522" w:type="pct"/>
            <w:tcBorders>
              <w:top w:val="nil"/>
              <w:left w:val="nil"/>
              <w:bottom w:val="nil"/>
              <w:right w:val="nil"/>
            </w:tcBorders>
            <w:shd w:val="clear" w:color="auto" w:fill="FFFFFF"/>
            <w:noWrap/>
            <w:vAlign w:val="center"/>
          </w:tcPr>
          <w:p w14:paraId="22A616E0">
            <w:pPr>
              <w:pStyle w:val="44"/>
              <w:bidi w:val="0"/>
            </w:pPr>
            <w:r>
              <w:t>8.58</w:t>
            </w:r>
          </w:p>
        </w:tc>
        <w:tc>
          <w:tcPr>
            <w:tcW w:w="707" w:type="pct"/>
            <w:tcBorders>
              <w:top w:val="nil"/>
              <w:left w:val="nil"/>
              <w:bottom w:val="nil"/>
              <w:right w:val="nil"/>
            </w:tcBorders>
            <w:shd w:val="clear" w:color="auto" w:fill="FFFFFF"/>
            <w:noWrap/>
            <w:vAlign w:val="center"/>
          </w:tcPr>
          <w:p w14:paraId="58C8623F">
            <w:pPr>
              <w:pStyle w:val="44"/>
              <w:bidi w:val="0"/>
            </w:pPr>
            <w:r>
              <w:t>84.85</w:t>
            </w:r>
          </w:p>
        </w:tc>
      </w:tr>
      <w:tr w14:paraId="403ADCE4">
        <w:tblPrEx>
          <w:tblCellMar>
            <w:top w:w="0" w:type="dxa"/>
            <w:left w:w="108" w:type="dxa"/>
            <w:bottom w:w="0" w:type="dxa"/>
            <w:right w:w="108" w:type="dxa"/>
          </w:tblCellMar>
        </w:tblPrEx>
        <w:trPr>
          <w:trHeight w:val="454" w:hRule="atLeast"/>
          <w:jc w:val="center"/>
        </w:trPr>
        <w:tc>
          <w:tcPr>
            <w:tcW w:w="1332" w:type="pct"/>
            <w:tcBorders>
              <w:top w:val="nil"/>
              <w:left w:val="nil"/>
              <w:bottom w:val="nil"/>
              <w:right w:val="nil"/>
            </w:tcBorders>
            <w:shd w:val="clear" w:color="auto" w:fill="FFFFFF"/>
            <w:noWrap/>
            <w:vAlign w:val="center"/>
          </w:tcPr>
          <w:p w14:paraId="04514C3B">
            <w:pPr>
              <w:pStyle w:val="44"/>
              <w:bidi w:val="0"/>
            </w:pPr>
            <w:r>
              <w:t>人力资本水平</w:t>
            </w:r>
          </w:p>
        </w:tc>
        <w:tc>
          <w:tcPr>
            <w:tcW w:w="910" w:type="pct"/>
            <w:tcBorders>
              <w:top w:val="nil"/>
              <w:left w:val="nil"/>
              <w:bottom w:val="nil"/>
              <w:right w:val="nil"/>
            </w:tcBorders>
            <w:shd w:val="clear" w:color="auto" w:fill="FFFFFF"/>
            <w:noWrap/>
            <w:vAlign w:val="center"/>
          </w:tcPr>
          <w:p w14:paraId="3DE61ED1">
            <w:pPr>
              <w:pStyle w:val="44"/>
              <w:bidi w:val="0"/>
            </w:pPr>
            <w:r>
              <w:t>193.4676</w:t>
            </w:r>
          </w:p>
        </w:tc>
        <w:tc>
          <w:tcPr>
            <w:tcW w:w="883" w:type="pct"/>
            <w:tcBorders>
              <w:top w:val="nil"/>
              <w:left w:val="nil"/>
              <w:bottom w:val="nil"/>
              <w:right w:val="nil"/>
            </w:tcBorders>
            <w:shd w:val="clear" w:color="auto" w:fill="FFFFFF"/>
            <w:noWrap/>
            <w:vAlign w:val="center"/>
          </w:tcPr>
          <w:p w14:paraId="40391849">
            <w:pPr>
              <w:pStyle w:val="44"/>
              <w:bidi w:val="0"/>
            </w:pPr>
            <w:r>
              <w:t>246.2288</w:t>
            </w:r>
          </w:p>
        </w:tc>
        <w:tc>
          <w:tcPr>
            <w:tcW w:w="643" w:type="pct"/>
            <w:tcBorders>
              <w:top w:val="nil"/>
              <w:left w:val="nil"/>
              <w:bottom w:val="nil"/>
              <w:right w:val="nil"/>
            </w:tcBorders>
            <w:shd w:val="clear" w:color="auto" w:fill="FFFFFF"/>
            <w:noWrap/>
            <w:vAlign w:val="center"/>
          </w:tcPr>
          <w:p w14:paraId="6965729F">
            <w:pPr>
              <w:pStyle w:val="44"/>
              <w:bidi w:val="0"/>
            </w:pPr>
            <w:r>
              <w:t>102.8996</w:t>
            </w:r>
          </w:p>
        </w:tc>
        <w:tc>
          <w:tcPr>
            <w:tcW w:w="522" w:type="pct"/>
            <w:tcBorders>
              <w:top w:val="nil"/>
              <w:left w:val="nil"/>
              <w:bottom w:val="nil"/>
              <w:right w:val="nil"/>
            </w:tcBorders>
            <w:shd w:val="clear" w:color="auto" w:fill="FFFFFF"/>
            <w:noWrap/>
            <w:vAlign w:val="center"/>
          </w:tcPr>
          <w:p w14:paraId="73EB3040">
            <w:pPr>
              <w:pStyle w:val="44"/>
              <w:bidi w:val="0"/>
            </w:pPr>
            <w:r>
              <w:t>0.5758</w:t>
            </w:r>
          </w:p>
        </w:tc>
        <w:tc>
          <w:tcPr>
            <w:tcW w:w="707" w:type="pct"/>
            <w:tcBorders>
              <w:top w:val="nil"/>
              <w:left w:val="nil"/>
              <w:bottom w:val="nil"/>
              <w:right w:val="nil"/>
            </w:tcBorders>
            <w:shd w:val="clear" w:color="auto" w:fill="FFFFFF"/>
            <w:noWrap/>
            <w:vAlign w:val="center"/>
          </w:tcPr>
          <w:p w14:paraId="20A6F612">
            <w:pPr>
              <w:pStyle w:val="44"/>
              <w:bidi w:val="0"/>
            </w:pPr>
            <w:r>
              <w:t>1870.7475</w:t>
            </w:r>
          </w:p>
        </w:tc>
      </w:tr>
      <w:tr w14:paraId="3F93C034">
        <w:tblPrEx>
          <w:tblCellMar>
            <w:top w:w="0" w:type="dxa"/>
            <w:left w:w="108" w:type="dxa"/>
            <w:bottom w:w="0" w:type="dxa"/>
            <w:right w:w="108" w:type="dxa"/>
          </w:tblCellMar>
        </w:tblPrEx>
        <w:trPr>
          <w:trHeight w:val="454" w:hRule="atLeast"/>
          <w:jc w:val="center"/>
        </w:trPr>
        <w:tc>
          <w:tcPr>
            <w:tcW w:w="1332" w:type="pct"/>
            <w:tcBorders>
              <w:top w:val="nil"/>
              <w:left w:val="nil"/>
              <w:bottom w:val="nil"/>
              <w:right w:val="nil"/>
            </w:tcBorders>
            <w:shd w:val="clear" w:color="auto" w:fill="FFFFFF"/>
            <w:noWrap/>
            <w:vAlign w:val="center"/>
          </w:tcPr>
          <w:p w14:paraId="2D38F431">
            <w:pPr>
              <w:pStyle w:val="44"/>
              <w:bidi w:val="0"/>
            </w:pPr>
            <w:r>
              <w:t>公共服务水平</w:t>
            </w:r>
          </w:p>
        </w:tc>
        <w:tc>
          <w:tcPr>
            <w:tcW w:w="910" w:type="pct"/>
            <w:tcBorders>
              <w:top w:val="nil"/>
              <w:left w:val="nil"/>
              <w:bottom w:val="nil"/>
              <w:right w:val="nil"/>
            </w:tcBorders>
            <w:shd w:val="clear" w:color="auto" w:fill="FFFFFF"/>
            <w:noWrap/>
            <w:vAlign w:val="center"/>
          </w:tcPr>
          <w:p w14:paraId="7CFCBBB6">
            <w:pPr>
              <w:pStyle w:val="44"/>
              <w:bidi w:val="0"/>
            </w:pPr>
            <w:r>
              <w:t>60.3381</w:t>
            </w:r>
          </w:p>
        </w:tc>
        <w:tc>
          <w:tcPr>
            <w:tcW w:w="883" w:type="pct"/>
            <w:tcBorders>
              <w:top w:val="nil"/>
              <w:left w:val="nil"/>
              <w:bottom w:val="nil"/>
              <w:right w:val="nil"/>
            </w:tcBorders>
            <w:shd w:val="clear" w:color="auto" w:fill="FFFFFF"/>
            <w:noWrap/>
            <w:vAlign w:val="center"/>
          </w:tcPr>
          <w:p w14:paraId="06BA3300">
            <w:pPr>
              <w:pStyle w:val="44"/>
              <w:bidi w:val="0"/>
            </w:pPr>
            <w:r>
              <w:t>106.9306</w:t>
            </w:r>
          </w:p>
        </w:tc>
        <w:tc>
          <w:tcPr>
            <w:tcW w:w="643" w:type="pct"/>
            <w:tcBorders>
              <w:top w:val="nil"/>
              <w:left w:val="nil"/>
              <w:bottom w:val="nil"/>
              <w:right w:val="nil"/>
            </w:tcBorders>
            <w:shd w:val="clear" w:color="auto" w:fill="FFFFFF"/>
            <w:noWrap/>
            <w:vAlign w:val="center"/>
          </w:tcPr>
          <w:p w14:paraId="30434079">
            <w:pPr>
              <w:pStyle w:val="44"/>
              <w:bidi w:val="0"/>
            </w:pPr>
            <w:r>
              <w:t>33</w:t>
            </w:r>
          </w:p>
        </w:tc>
        <w:tc>
          <w:tcPr>
            <w:tcW w:w="522" w:type="pct"/>
            <w:tcBorders>
              <w:top w:val="nil"/>
              <w:left w:val="nil"/>
              <w:bottom w:val="nil"/>
              <w:right w:val="nil"/>
            </w:tcBorders>
            <w:shd w:val="clear" w:color="auto" w:fill="FFFFFF"/>
            <w:noWrap/>
            <w:vAlign w:val="center"/>
          </w:tcPr>
          <w:p w14:paraId="1F0D21A6">
            <w:pPr>
              <w:pStyle w:val="44"/>
              <w:bidi w:val="0"/>
            </w:pPr>
            <w:r>
              <w:t>2</w:t>
            </w:r>
          </w:p>
        </w:tc>
        <w:tc>
          <w:tcPr>
            <w:tcW w:w="707" w:type="pct"/>
            <w:tcBorders>
              <w:top w:val="nil"/>
              <w:left w:val="nil"/>
              <w:bottom w:val="nil"/>
              <w:right w:val="nil"/>
            </w:tcBorders>
            <w:shd w:val="clear" w:color="auto" w:fill="FFFFFF"/>
            <w:noWrap/>
            <w:vAlign w:val="center"/>
          </w:tcPr>
          <w:p w14:paraId="55D09FEA">
            <w:pPr>
              <w:pStyle w:val="44"/>
              <w:bidi w:val="0"/>
            </w:pPr>
            <w:r>
              <w:t>4325</w:t>
            </w:r>
          </w:p>
        </w:tc>
      </w:tr>
      <w:tr w14:paraId="2733E55E">
        <w:tblPrEx>
          <w:tblCellMar>
            <w:top w:w="0" w:type="dxa"/>
            <w:left w:w="108" w:type="dxa"/>
            <w:bottom w:w="0" w:type="dxa"/>
            <w:right w:w="108" w:type="dxa"/>
          </w:tblCellMar>
        </w:tblPrEx>
        <w:trPr>
          <w:trHeight w:val="454" w:hRule="atLeast"/>
          <w:jc w:val="center"/>
        </w:trPr>
        <w:tc>
          <w:tcPr>
            <w:tcW w:w="1332" w:type="pct"/>
            <w:tcBorders>
              <w:top w:val="nil"/>
              <w:left w:val="nil"/>
              <w:bottom w:val="nil"/>
              <w:right w:val="nil"/>
            </w:tcBorders>
            <w:shd w:val="clear" w:color="auto" w:fill="FFFFFF"/>
            <w:noWrap/>
            <w:vAlign w:val="center"/>
          </w:tcPr>
          <w:p w14:paraId="22416FD2">
            <w:pPr>
              <w:pStyle w:val="44"/>
              <w:bidi w:val="0"/>
            </w:pPr>
            <w:r>
              <w:t>传统基础设施</w:t>
            </w:r>
          </w:p>
        </w:tc>
        <w:tc>
          <w:tcPr>
            <w:tcW w:w="910" w:type="pct"/>
            <w:tcBorders>
              <w:top w:val="nil"/>
              <w:left w:val="nil"/>
              <w:bottom w:val="nil"/>
              <w:right w:val="nil"/>
            </w:tcBorders>
            <w:shd w:val="clear" w:color="auto" w:fill="FFFFFF"/>
            <w:noWrap/>
            <w:vAlign w:val="center"/>
          </w:tcPr>
          <w:p w14:paraId="436B9877">
            <w:pPr>
              <w:pStyle w:val="44"/>
              <w:bidi w:val="0"/>
            </w:pPr>
            <w:r>
              <w:t>8.913</w:t>
            </w:r>
          </w:p>
        </w:tc>
        <w:tc>
          <w:tcPr>
            <w:tcW w:w="883" w:type="pct"/>
            <w:tcBorders>
              <w:top w:val="nil"/>
              <w:left w:val="nil"/>
              <w:bottom w:val="nil"/>
              <w:right w:val="nil"/>
            </w:tcBorders>
            <w:shd w:val="clear" w:color="auto" w:fill="FFFFFF"/>
            <w:noWrap/>
            <w:vAlign w:val="center"/>
          </w:tcPr>
          <w:p w14:paraId="11C4EA85">
            <w:pPr>
              <w:pStyle w:val="44"/>
              <w:bidi w:val="0"/>
            </w:pPr>
            <w:r>
              <w:t>0.9178</w:t>
            </w:r>
          </w:p>
        </w:tc>
        <w:tc>
          <w:tcPr>
            <w:tcW w:w="643" w:type="pct"/>
            <w:tcBorders>
              <w:top w:val="nil"/>
              <w:left w:val="nil"/>
              <w:bottom w:val="nil"/>
              <w:right w:val="nil"/>
            </w:tcBorders>
            <w:shd w:val="clear" w:color="auto" w:fill="FFFFFF"/>
            <w:noWrap/>
            <w:vAlign w:val="center"/>
          </w:tcPr>
          <w:p w14:paraId="4A65A943">
            <w:pPr>
              <w:pStyle w:val="44"/>
              <w:bidi w:val="0"/>
            </w:pPr>
            <w:r>
              <w:t>8.9468</w:t>
            </w:r>
          </w:p>
        </w:tc>
        <w:tc>
          <w:tcPr>
            <w:tcW w:w="522" w:type="pct"/>
            <w:tcBorders>
              <w:top w:val="nil"/>
              <w:left w:val="nil"/>
              <w:bottom w:val="nil"/>
              <w:right w:val="nil"/>
            </w:tcBorders>
            <w:shd w:val="clear" w:color="auto" w:fill="FFFFFF"/>
            <w:noWrap/>
            <w:vAlign w:val="center"/>
          </w:tcPr>
          <w:p w14:paraId="391B4AFA">
            <w:pPr>
              <w:pStyle w:val="44"/>
              <w:bidi w:val="0"/>
            </w:pPr>
            <w:r>
              <w:t>3.0445</w:t>
            </w:r>
          </w:p>
        </w:tc>
        <w:tc>
          <w:tcPr>
            <w:tcW w:w="707" w:type="pct"/>
            <w:tcBorders>
              <w:top w:val="nil"/>
              <w:left w:val="nil"/>
              <w:bottom w:val="nil"/>
              <w:right w:val="nil"/>
            </w:tcBorders>
            <w:shd w:val="clear" w:color="auto" w:fill="FFFFFF"/>
            <w:noWrap/>
            <w:vAlign w:val="center"/>
          </w:tcPr>
          <w:p w14:paraId="67183847">
            <w:pPr>
              <w:pStyle w:val="44"/>
              <w:bidi w:val="0"/>
            </w:pPr>
            <w:r>
              <w:t>12.586</w:t>
            </w:r>
          </w:p>
        </w:tc>
      </w:tr>
      <w:tr w14:paraId="543FF570">
        <w:tblPrEx>
          <w:tblCellMar>
            <w:top w:w="0" w:type="dxa"/>
            <w:left w:w="108" w:type="dxa"/>
            <w:bottom w:w="0" w:type="dxa"/>
            <w:right w:w="108" w:type="dxa"/>
          </w:tblCellMar>
        </w:tblPrEx>
        <w:trPr>
          <w:trHeight w:val="454" w:hRule="atLeast"/>
          <w:jc w:val="center"/>
        </w:trPr>
        <w:tc>
          <w:tcPr>
            <w:tcW w:w="1332" w:type="pct"/>
            <w:tcBorders>
              <w:top w:val="nil"/>
              <w:left w:val="nil"/>
              <w:bottom w:val="nil"/>
              <w:right w:val="nil"/>
            </w:tcBorders>
            <w:shd w:val="clear" w:color="auto" w:fill="FFFFFF"/>
            <w:noWrap/>
            <w:vAlign w:val="center"/>
          </w:tcPr>
          <w:p w14:paraId="0CF31E5E">
            <w:pPr>
              <w:pStyle w:val="44"/>
              <w:bidi w:val="0"/>
            </w:pPr>
            <w:r>
              <w:t>互联网发展水平</w:t>
            </w:r>
          </w:p>
        </w:tc>
        <w:tc>
          <w:tcPr>
            <w:tcW w:w="910" w:type="pct"/>
            <w:tcBorders>
              <w:top w:val="nil"/>
              <w:left w:val="nil"/>
              <w:bottom w:val="nil"/>
              <w:right w:val="nil"/>
            </w:tcBorders>
            <w:shd w:val="clear" w:color="auto" w:fill="FFFFFF"/>
            <w:noWrap/>
            <w:vAlign w:val="center"/>
          </w:tcPr>
          <w:p w14:paraId="65E0C01B">
            <w:pPr>
              <w:pStyle w:val="44"/>
              <w:bidi w:val="0"/>
            </w:pPr>
            <w:r>
              <w:t>12.4453</w:t>
            </w:r>
          </w:p>
        </w:tc>
        <w:tc>
          <w:tcPr>
            <w:tcW w:w="883" w:type="pct"/>
            <w:tcBorders>
              <w:top w:val="nil"/>
              <w:left w:val="nil"/>
              <w:bottom w:val="nil"/>
              <w:right w:val="nil"/>
            </w:tcBorders>
            <w:shd w:val="clear" w:color="auto" w:fill="FFFFFF"/>
            <w:noWrap/>
            <w:vAlign w:val="center"/>
          </w:tcPr>
          <w:p w14:paraId="7A36C258">
            <w:pPr>
              <w:pStyle w:val="44"/>
              <w:bidi w:val="0"/>
            </w:pPr>
            <w:r>
              <w:t>1.0142</w:t>
            </w:r>
          </w:p>
        </w:tc>
        <w:tc>
          <w:tcPr>
            <w:tcW w:w="643" w:type="pct"/>
            <w:tcBorders>
              <w:top w:val="nil"/>
              <w:left w:val="nil"/>
              <w:bottom w:val="nil"/>
              <w:right w:val="nil"/>
            </w:tcBorders>
            <w:shd w:val="clear" w:color="auto" w:fill="FFFFFF"/>
            <w:noWrap/>
            <w:vAlign w:val="center"/>
          </w:tcPr>
          <w:p w14:paraId="21CA9172">
            <w:pPr>
              <w:pStyle w:val="44"/>
              <w:bidi w:val="0"/>
            </w:pPr>
            <w:r>
              <w:t>12.3816</w:t>
            </w:r>
          </w:p>
        </w:tc>
        <w:tc>
          <w:tcPr>
            <w:tcW w:w="522" w:type="pct"/>
            <w:tcBorders>
              <w:top w:val="nil"/>
              <w:left w:val="nil"/>
              <w:bottom w:val="nil"/>
              <w:right w:val="nil"/>
            </w:tcBorders>
            <w:shd w:val="clear" w:color="auto" w:fill="FFFFFF"/>
            <w:noWrap/>
            <w:vAlign w:val="center"/>
          </w:tcPr>
          <w:p w14:paraId="733A9668">
            <w:pPr>
              <w:pStyle w:val="44"/>
              <w:bidi w:val="0"/>
            </w:pPr>
            <w:r>
              <w:t>3.1781</w:t>
            </w:r>
          </w:p>
        </w:tc>
        <w:tc>
          <w:tcPr>
            <w:tcW w:w="707" w:type="pct"/>
            <w:tcBorders>
              <w:top w:val="nil"/>
              <w:left w:val="nil"/>
              <w:bottom w:val="nil"/>
              <w:right w:val="nil"/>
            </w:tcBorders>
            <w:shd w:val="clear" w:color="auto" w:fill="FFFFFF"/>
            <w:noWrap/>
            <w:vAlign w:val="center"/>
          </w:tcPr>
          <w:p w14:paraId="29A90560">
            <w:pPr>
              <w:pStyle w:val="44"/>
              <w:bidi w:val="0"/>
            </w:pPr>
            <w:r>
              <w:t>16.452</w:t>
            </w:r>
          </w:p>
        </w:tc>
      </w:tr>
      <w:tr w14:paraId="3215EB55">
        <w:tblPrEx>
          <w:tblCellMar>
            <w:top w:w="0" w:type="dxa"/>
            <w:left w:w="108" w:type="dxa"/>
            <w:bottom w:w="0" w:type="dxa"/>
            <w:right w:w="108" w:type="dxa"/>
          </w:tblCellMar>
        </w:tblPrEx>
        <w:trPr>
          <w:trHeight w:val="454" w:hRule="atLeast"/>
          <w:jc w:val="center"/>
        </w:trPr>
        <w:tc>
          <w:tcPr>
            <w:tcW w:w="1332" w:type="pct"/>
            <w:tcBorders>
              <w:top w:val="nil"/>
              <w:left w:val="nil"/>
              <w:bottom w:val="nil"/>
              <w:right w:val="nil"/>
            </w:tcBorders>
            <w:shd w:val="clear" w:color="auto" w:fill="FFFFFF"/>
            <w:noWrap/>
            <w:vAlign w:val="center"/>
          </w:tcPr>
          <w:p w14:paraId="34B7A10E">
            <w:pPr>
              <w:pStyle w:val="44"/>
              <w:bidi w:val="0"/>
            </w:pPr>
            <w:r>
              <w:t>金融发展水平</w:t>
            </w:r>
          </w:p>
        </w:tc>
        <w:tc>
          <w:tcPr>
            <w:tcW w:w="910" w:type="pct"/>
            <w:tcBorders>
              <w:top w:val="nil"/>
              <w:left w:val="nil"/>
              <w:bottom w:val="nil"/>
              <w:right w:val="nil"/>
            </w:tcBorders>
            <w:shd w:val="clear" w:color="auto" w:fill="FFFFFF"/>
            <w:noWrap/>
            <w:vAlign w:val="center"/>
          </w:tcPr>
          <w:p w14:paraId="03AA67FD">
            <w:pPr>
              <w:pStyle w:val="44"/>
              <w:bidi w:val="0"/>
            </w:pPr>
            <w:r>
              <w:t>1.0218</w:t>
            </w:r>
          </w:p>
        </w:tc>
        <w:tc>
          <w:tcPr>
            <w:tcW w:w="883" w:type="pct"/>
            <w:tcBorders>
              <w:top w:val="nil"/>
              <w:left w:val="nil"/>
              <w:bottom w:val="nil"/>
              <w:right w:val="nil"/>
            </w:tcBorders>
            <w:shd w:val="clear" w:color="auto" w:fill="FFFFFF"/>
            <w:noWrap/>
            <w:vAlign w:val="center"/>
          </w:tcPr>
          <w:p w14:paraId="3B63F67B">
            <w:pPr>
              <w:pStyle w:val="44"/>
              <w:bidi w:val="0"/>
            </w:pPr>
            <w:r>
              <w:t>0.6648</w:t>
            </w:r>
          </w:p>
        </w:tc>
        <w:tc>
          <w:tcPr>
            <w:tcW w:w="643" w:type="pct"/>
            <w:tcBorders>
              <w:top w:val="nil"/>
              <w:left w:val="nil"/>
              <w:bottom w:val="nil"/>
              <w:right w:val="nil"/>
            </w:tcBorders>
            <w:shd w:val="clear" w:color="auto" w:fill="FFFFFF"/>
            <w:noWrap/>
            <w:vAlign w:val="center"/>
          </w:tcPr>
          <w:p w14:paraId="04F38E8D">
            <w:pPr>
              <w:pStyle w:val="44"/>
              <w:bidi w:val="0"/>
            </w:pPr>
            <w:r>
              <w:t>0.8337</w:t>
            </w:r>
          </w:p>
        </w:tc>
        <w:tc>
          <w:tcPr>
            <w:tcW w:w="522" w:type="pct"/>
            <w:tcBorders>
              <w:top w:val="nil"/>
              <w:left w:val="nil"/>
              <w:bottom w:val="nil"/>
              <w:right w:val="nil"/>
            </w:tcBorders>
            <w:shd w:val="clear" w:color="auto" w:fill="FFFFFF"/>
            <w:noWrap/>
            <w:vAlign w:val="center"/>
          </w:tcPr>
          <w:p w14:paraId="0EB05DBD">
            <w:pPr>
              <w:pStyle w:val="44"/>
              <w:bidi w:val="0"/>
            </w:pPr>
            <w:r>
              <w:t>0.0753</w:t>
            </w:r>
          </w:p>
        </w:tc>
        <w:tc>
          <w:tcPr>
            <w:tcW w:w="707" w:type="pct"/>
            <w:tcBorders>
              <w:top w:val="nil"/>
              <w:left w:val="nil"/>
              <w:bottom w:val="nil"/>
              <w:right w:val="nil"/>
            </w:tcBorders>
            <w:shd w:val="clear" w:color="auto" w:fill="FFFFFF"/>
            <w:noWrap/>
            <w:vAlign w:val="center"/>
          </w:tcPr>
          <w:p w14:paraId="1F08DD13">
            <w:pPr>
              <w:pStyle w:val="44"/>
              <w:bidi w:val="0"/>
            </w:pPr>
            <w:r>
              <w:t>12.8171</w:t>
            </w:r>
          </w:p>
        </w:tc>
      </w:tr>
      <w:tr w14:paraId="550487D5">
        <w:tblPrEx>
          <w:tblCellMar>
            <w:top w:w="0" w:type="dxa"/>
            <w:left w:w="108" w:type="dxa"/>
            <w:bottom w:w="0" w:type="dxa"/>
            <w:right w:w="108" w:type="dxa"/>
          </w:tblCellMar>
        </w:tblPrEx>
        <w:trPr>
          <w:trHeight w:val="454" w:hRule="atLeast"/>
          <w:jc w:val="center"/>
        </w:trPr>
        <w:tc>
          <w:tcPr>
            <w:tcW w:w="1332" w:type="pct"/>
            <w:tcBorders>
              <w:top w:val="nil"/>
              <w:left w:val="nil"/>
              <w:bottom w:val="nil"/>
              <w:right w:val="nil"/>
            </w:tcBorders>
            <w:shd w:val="clear" w:color="auto" w:fill="FFFFFF"/>
            <w:noWrap/>
            <w:vAlign w:val="center"/>
          </w:tcPr>
          <w:p w14:paraId="0DF1F605">
            <w:pPr>
              <w:pStyle w:val="44"/>
              <w:bidi w:val="0"/>
            </w:pPr>
            <w:r>
              <w:t>财政压力水平</w:t>
            </w:r>
          </w:p>
        </w:tc>
        <w:tc>
          <w:tcPr>
            <w:tcW w:w="910" w:type="pct"/>
            <w:tcBorders>
              <w:top w:val="nil"/>
              <w:left w:val="nil"/>
              <w:bottom w:val="nil"/>
              <w:right w:val="nil"/>
            </w:tcBorders>
            <w:shd w:val="clear" w:color="auto" w:fill="FFFFFF"/>
            <w:noWrap/>
            <w:vAlign w:val="center"/>
          </w:tcPr>
          <w:p w14:paraId="1677E500">
            <w:pPr>
              <w:pStyle w:val="44"/>
              <w:bidi w:val="0"/>
            </w:pPr>
            <w:r>
              <w:t>2.9535</w:t>
            </w:r>
          </w:p>
        </w:tc>
        <w:tc>
          <w:tcPr>
            <w:tcW w:w="883" w:type="pct"/>
            <w:tcBorders>
              <w:top w:val="nil"/>
              <w:left w:val="nil"/>
              <w:bottom w:val="nil"/>
              <w:right w:val="nil"/>
            </w:tcBorders>
            <w:shd w:val="clear" w:color="auto" w:fill="FFFFFF"/>
            <w:noWrap/>
            <w:vAlign w:val="center"/>
          </w:tcPr>
          <w:p w14:paraId="1098F9E9">
            <w:pPr>
              <w:pStyle w:val="44"/>
              <w:bidi w:val="0"/>
            </w:pPr>
            <w:r>
              <w:t>1.9514</w:t>
            </w:r>
          </w:p>
        </w:tc>
        <w:tc>
          <w:tcPr>
            <w:tcW w:w="643" w:type="pct"/>
            <w:tcBorders>
              <w:top w:val="nil"/>
              <w:left w:val="nil"/>
              <w:bottom w:val="nil"/>
              <w:right w:val="nil"/>
            </w:tcBorders>
            <w:shd w:val="clear" w:color="auto" w:fill="FFFFFF"/>
            <w:noWrap/>
            <w:vAlign w:val="center"/>
          </w:tcPr>
          <w:p w14:paraId="57B80901">
            <w:pPr>
              <w:pStyle w:val="44"/>
              <w:bidi w:val="0"/>
            </w:pPr>
            <w:r>
              <w:t>2.3832</w:t>
            </w:r>
          </w:p>
        </w:tc>
        <w:tc>
          <w:tcPr>
            <w:tcW w:w="522" w:type="pct"/>
            <w:tcBorders>
              <w:top w:val="nil"/>
              <w:left w:val="nil"/>
              <w:bottom w:val="nil"/>
              <w:right w:val="nil"/>
            </w:tcBorders>
            <w:shd w:val="clear" w:color="auto" w:fill="FFFFFF"/>
            <w:noWrap/>
            <w:vAlign w:val="center"/>
          </w:tcPr>
          <w:p w14:paraId="4A3E4F64">
            <w:pPr>
              <w:pStyle w:val="44"/>
              <w:bidi w:val="0"/>
            </w:pPr>
            <w:r>
              <w:t>0.6488</w:t>
            </w:r>
          </w:p>
        </w:tc>
        <w:tc>
          <w:tcPr>
            <w:tcW w:w="707" w:type="pct"/>
            <w:tcBorders>
              <w:top w:val="nil"/>
              <w:left w:val="nil"/>
              <w:bottom w:val="nil"/>
              <w:right w:val="nil"/>
            </w:tcBorders>
            <w:shd w:val="clear" w:color="auto" w:fill="FFFFFF"/>
            <w:noWrap/>
            <w:vAlign w:val="center"/>
          </w:tcPr>
          <w:p w14:paraId="53789BF9">
            <w:pPr>
              <w:pStyle w:val="44"/>
              <w:bidi w:val="0"/>
            </w:pPr>
            <w:r>
              <w:t>18.025</w:t>
            </w:r>
          </w:p>
        </w:tc>
      </w:tr>
      <w:tr w14:paraId="6F364033">
        <w:tblPrEx>
          <w:tblCellMar>
            <w:top w:w="0" w:type="dxa"/>
            <w:left w:w="108" w:type="dxa"/>
            <w:bottom w:w="0" w:type="dxa"/>
            <w:right w:w="108" w:type="dxa"/>
          </w:tblCellMar>
        </w:tblPrEx>
        <w:trPr>
          <w:trHeight w:val="454" w:hRule="atLeast"/>
          <w:jc w:val="center"/>
        </w:trPr>
        <w:tc>
          <w:tcPr>
            <w:tcW w:w="1332" w:type="pct"/>
            <w:tcBorders>
              <w:top w:val="nil"/>
              <w:left w:val="nil"/>
              <w:bottom w:val="nil"/>
              <w:right w:val="nil"/>
            </w:tcBorders>
            <w:shd w:val="clear" w:color="auto" w:fill="FFFFFF"/>
            <w:noWrap/>
            <w:vAlign w:val="center"/>
          </w:tcPr>
          <w:p w14:paraId="29DBD132">
            <w:pPr>
              <w:pStyle w:val="44"/>
              <w:bidi w:val="0"/>
            </w:pPr>
            <w:r>
              <w:t>科学支出水平</w:t>
            </w:r>
          </w:p>
        </w:tc>
        <w:tc>
          <w:tcPr>
            <w:tcW w:w="910" w:type="pct"/>
            <w:tcBorders>
              <w:top w:val="nil"/>
              <w:left w:val="nil"/>
              <w:bottom w:val="nil"/>
              <w:right w:val="nil"/>
            </w:tcBorders>
            <w:shd w:val="clear" w:color="auto" w:fill="FFFFFF"/>
            <w:noWrap/>
            <w:vAlign w:val="center"/>
          </w:tcPr>
          <w:p w14:paraId="70F52455">
            <w:pPr>
              <w:pStyle w:val="44"/>
              <w:bidi w:val="0"/>
            </w:pPr>
            <w:r>
              <w:t>10.2394</w:t>
            </w:r>
          </w:p>
        </w:tc>
        <w:tc>
          <w:tcPr>
            <w:tcW w:w="883" w:type="pct"/>
            <w:tcBorders>
              <w:top w:val="nil"/>
              <w:left w:val="nil"/>
              <w:bottom w:val="nil"/>
              <w:right w:val="nil"/>
            </w:tcBorders>
            <w:shd w:val="clear" w:color="auto" w:fill="FFFFFF"/>
            <w:noWrap/>
            <w:vAlign w:val="center"/>
          </w:tcPr>
          <w:p w14:paraId="077FC16D">
            <w:pPr>
              <w:pStyle w:val="44"/>
              <w:bidi w:val="0"/>
            </w:pPr>
            <w:r>
              <w:t>1.5129</w:t>
            </w:r>
          </w:p>
        </w:tc>
        <w:tc>
          <w:tcPr>
            <w:tcW w:w="643" w:type="pct"/>
            <w:tcBorders>
              <w:top w:val="nil"/>
              <w:left w:val="nil"/>
              <w:bottom w:val="nil"/>
              <w:right w:val="nil"/>
            </w:tcBorders>
            <w:shd w:val="clear" w:color="auto" w:fill="FFFFFF"/>
            <w:noWrap/>
            <w:vAlign w:val="center"/>
          </w:tcPr>
          <w:p w14:paraId="4B2C1F7B">
            <w:pPr>
              <w:pStyle w:val="44"/>
              <w:bidi w:val="0"/>
            </w:pPr>
            <w:r>
              <w:t>10.0838</w:t>
            </w:r>
          </w:p>
        </w:tc>
        <w:tc>
          <w:tcPr>
            <w:tcW w:w="522" w:type="pct"/>
            <w:tcBorders>
              <w:top w:val="nil"/>
              <w:left w:val="nil"/>
              <w:bottom w:val="nil"/>
              <w:right w:val="nil"/>
            </w:tcBorders>
            <w:shd w:val="clear" w:color="auto" w:fill="FFFFFF"/>
            <w:noWrap/>
            <w:vAlign w:val="center"/>
          </w:tcPr>
          <w:p w14:paraId="76C083F4">
            <w:pPr>
              <w:pStyle w:val="44"/>
              <w:bidi w:val="0"/>
            </w:pPr>
            <w:r>
              <w:t>6.1527</w:t>
            </w:r>
          </w:p>
        </w:tc>
        <w:tc>
          <w:tcPr>
            <w:tcW w:w="707" w:type="pct"/>
            <w:tcBorders>
              <w:top w:val="nil"/>
              <w:left w:val="nil"/>
              <w:bottom w:val="nil"/>
              <w:right w:val="nil"/>
            </w:tcBorders>
            <w:shd w:val="clear" w:color="auto" w:fill="FFFFFF"/>
            <w:noWrap/>
            <w:vAlign w:val="center"/>
          </w:tcPr>
          <w:p w14:paraId="5293126A">
            <w:pPr>
              <w:pStyle w:val="44"/>
              <w:bidi w:val="0"/>
            </w:pPr>
            <w:r>
              <w:t>15.5293</w:t>
            </w:r>
          </w:p>
        </w:tc>
      </w:tr>
      <w:tr w14:paraId="1F095E2F">
        <w:tblPrEx>
          <w:tblCellMar>
            <w:top w:w="0" w:type="dxa"/>
            <w:left w:w="108" w:type="dxa"/>
            <w:bottom w:w="0" w:type="dxa"/>
            <w:right w:w="108" w:type="dxa"/>
          </w:tblCellMar>
        </w:tblPrEx>
        <w:trPr>
          <w:trHeight w:val="454" w:hRule="atLeast"/>
          <w:jc w:val="center"/>
        </w:trPr>
        <w:tc>
          <w:tcPr>
            <w:tcW w:w="1332" w:type="pct"/>
            <w:tcBorders>
              <w:top w:val="nil"/>
              <w:left w:val="nil"/>
              <w:bottom w:val="nil"/>
              <w:right w:val="nil"/>
            </w:tcBorders>
            <w:shd w:val="clear" w:color="auto" w:fill="FFFFFF"/>
            <w:noWrap/>
            <w:vAlign w:val="center"/>
          </w:tcPr>
          <w:p w14:paraId="0F49E09D">
            <w:pPr>
              <w:pStyle w:val="44"/>
              <w:bidi w:val="0"/>
            </w:pPr>
            <w:r>
              <w:t>城市发展水平</w:t>
            </w:r>
          </w:p>
        </w:tc>
        <w:tc>
          <w:tcPr>
            <w:tcW w:w="910" w:type="pct"/>
            <w:tcBorders>
              <w:top w:val="nil"/>
              <w:left w:val="nil"/>
              <w:bottom w:val="nil"/>
              <w:right w:val="nil"/>
            </w:tcBorders>
            <w:shd w:val="clear" w:color="auto" w:fill="FFFFFF"/>
            <w:noWrap/>
            <w:vAlign w:val="center"/>
          </w:tcPr>
          <w:p w14:paraId="203A92B8">
            <w:pPr>
              <w:pStyle w:val="44"/>
              <w:bidi w:val="0"/>
            </w:pPr>
            <w:r>
              <w:t>10.6214</w:t>
            </w:r>
          </w:p>
        </w:tc>
        <w:tc>
          <w:tcPr>
            <w:tcW w:w="883" w:type="pct"/>
            <w:tcBorders>
              <w:top w:val="nil"/>
              <w:left w:val="nil"/>
              <w:bottom w:val="nil"/>
              <w:right w:val="nil"/>
            </w:tcBorders>
            <w:shd w:val="clear" w:color="auto" w:fill="FFFFFF"/>
            <w:noWrap/>
            <w:vAlign w:val="center"/>
          </w:tcPr>
          <w:p w14:paraId="021B72B7">
            <w:pPr>
              <w:pStyle w:val="44"/>
              <w:bidi w:val="0"/>
            </w:pPr>
            <w:r>
              <w:t>0.6846</w:t>
            </w:r>
          </w:p>
        </w:tc>
        <w:tc>
          <w:tcPr>
            <w:tcW w:w="643" w:type="pct"/>
            <w:tcBorders>
              <w:top w:val="nil"/>
              <w:left w:val="nil"/>
              <w:bottom w:val="nil"/>
              <w:right w:val="nil"/>
            </w:tcBorders>
            <w:shd w:val="clear" w:color="auto" w:fill="FFFFFF"/>
            <w:noWrap/>
            <w:vAlign w:val="center"/>
          </w:tcPr>
          <w:p w14:paraId="720C9019">
            <w:pPr>
              <w:pStyle w:val="44"/>
              <w:bidi w:val="0"/>
            </w:pPr>
            <w:r>
              <w:t>10.6497</w:t>
            </w:r>
          </w:p>
        </w:tc>
        <w:tc>
          <w:tcPr>
            <w:tcW w:w="522" w:type="pct"/>
            <w:tcBorders>
              <w:top w:val="nil"/>
              <w:left w:val="nil"/>
              <w:bottom w:val="nil"/>
              <w:right w:val="nil"/>
            </w:tcBorders>
            <w:shd w:val="clear" w:color="auto" w:fill="FFFFFF"/>
            <w:noWrap/>
            <w:vAlign w:val="center"/>
          </w:tcPr>
          <w:p w14:paraId="67010312">
            <w:pPr>
              <w:pStyle w:val="44"/>
              <w:bidi w:val="0"/>
            </w:pPr>
            <w:r>
              <w:t>8.1309</w:t>
            </w:r>
          </w:p>
        </w:tc>
        <w:tc>
          <w:tcPr>
            <w:tcW w:w="707" w:type="pct"/>
            <w:tcBorders>
              <w:top w:val="nil"/>
              <w:left w:val="nil"/>
              <w:bottom w:val="nil"/>
              <w:right w:val="nil"/>
            </w:tcBorders>
            <w:shd w:val="clear" w:color="auto" w:fill="FFFFFF"/>
            <w:noWrap/>
            <w:vAlign w:val="center"/>
          </w:tcPr>
          <w:p w14:paraId="2CDFC15A">
            <w:pPr>
              <w:pStyle w:val="44"/>
              <w:bidi w:val="0"/>
            </w:pPr>
            <w:r>
              <w:t>12.4863</w:t>
            </w:r>
          </w:p>
        </w:tc>
      </w:tr>
      <w:tr w14:paraId="756D4B6D">
        <w:tblPrEx>
          <w:tblCellMar>
            <w:top w:w="0" w:type="dxa"/>
            <w:left w:w="108" w:type="dxa"/>
            <w:bottom w:w="0" w:type="dxa"/>
            <w:right w:w="108" w:type="dxa"/>
          </w:tblCellMar>
        </w:tblPrEx>
        <w:trPr>
          <w:trHeight w:val="454" w:hRule="atLeast"/>
          <w:jc w:val="center"/>
        </w:trPr>
        <w:tc>
          <w:tcPr>
            <w:tcW w:w="1332" w:type="pct"/>
            <w:tcBorders>
              <w:top w:val="nil"/>
              <w:left w:val="nil"/>
              <w:bottom w:val="nil"/>
              <w:right w:val="nil"/>
            </w:tcBorders>
            <w:shd w:val="clear" w:color="auto" w:fill="FFFFFF"/>
            <w:noWrap/>
            <w:vAlign w:val="center"/>
          </w:tcPr>
          <w:p w14:paraId="456EE54D">
            <w:pPr>
              <w:pStyle w:val="44"/>
              <w:bidi w:val="0"/>
            </w:pPr>
            <w:r>
              <w:t>对外开放水平</w:t>
            </w:r>
          </w:p>
        </w:tc>
        <w:tc>
          <w:tcPr>
            <w:tcW w:w="910" w:type="pct"/>
            <w:tcBorders>
              <w:top w:val="nil"/>
              <w:left w:val="nil"/>
              <w:bottom w:val="nil"/>
              <w:right w:val="nil"/>
            </w:tcBorders>
            <w:shd w:val="clear" w:color="auto" w:fill="FFFFFF"/>
            <w:noWrap/>
            <w:vAlign w:val="center"/>
          </w:tcPr>
          <w:p w14:paraId="4A5F859A">
            <w:pPr>
              <w:pStyle w:val="44"/>
              <w:bidi w:val="0"/>
            </w:pPr>
            <w:r>
              <w:t>2.9819</w:t>
            </w:r>
          </w:p>
        </w:tc>
        <w:tc>
          <w:tcPr>
            <w:tcW w:w="883" w:type="pct"/>
            <w:tcBorders>
              <w:top w:val="nil"/>
              <w:left w:val="nil"/>
              <w:bottom w:val="nil"/>
              <w:right w:val="nil"/>
            </w:tcBorders>
            <w:shd w:val="clear" w:color="auto" w:fill="FFFFFF"/>
            <w:noWrap/>
            <w:vAlign w:val="center"/>
          </w:tcPr>
          <w:p w14:paraId="4D953B7D">
            <w:pPr>
              <w:pStyle w:val="44"/>
              <w:bidi w:val="0"/>
            </w:pPr>
            <w:r>
              <w:t>1.6867</w:t>
            </w:r>
          </w:p>
        </w:tc>
        <w:tc>
          <w:tcPr>
            <w:tcW w:w="643" w:type="pct"/>
            <w:tcBorders>
              <w:top w:val="nil"/>
              <w:left w:val="nil"/>
              <w:bottom w:val="nil"/>
              <w:right w:val="nil"/>
            </w:tcBorders>
            <w:shd w:val="clear" w:color="auto" w:fill="FFFFFF"/>
            <w:noWrap/>
            <w:vAlign w:val="center"/>
          </w:tcPr>
          <w:p w14:paraId="7117FC61">
            <w:pPr>
              <w:pStyle w:val="44"/>
              <w:bidi w:val="0"/>
            </w:pPr>
            <w:r>
              <w:t>2.7081</w:t>
            </w:r>
          </w:p>
        </w:tc>
        <w:tc>
          <w:tcPr>
            <w:tcW w:w="522" w:type="pct"/>
            <w:tcBorders>
              <w:top w:val="nil"/>
              <w:left w:val="nil"/>
              <w:bottom w:val="nil"/>
              <w:right w:val="nil"/>
            </w:tcBorders>
            <w:shd w:val="clear" w:color="auto" w:fill="FFFFFF"/>
            <w:noWrap/>
            <w:vAlign w:val="center"/>
          </w:tcPr>
          <w:p w14:paraId="403A0A80">
            <w:pPr>
              <w:pStyle w:val="44"/>
              <w:bidi w:val="0"/>
            </w:pPr>
            <w:r>
              <w:t>0</w:t>
            </w:r>
          </w:p>
        </w:tc>
        <w:tc>
          <w:tcPr>
            <w:tcW w:w="707" w:type="pct"/>
            <w:tcBorders>
              <w:top w:val="nil"/>
              <w:left w:val="nil"/>
              <w:bottom w:val="nil"/>
              <w:right w:val="nil"/>
            </w:tcBorders>
            <w:shd w:val="clear" w:color="auto" w:fill="FFFFFF"/>
            <w:noWrap/>
            <w:vAlign w:val="center"/>
          </w:tcPr>
          <w:p w14:paraId="0DB1B4AF">
            <w:pPr>
              <w:pStyle w:val="44"/>
              <w:bidi w:val="0"/>
            </w:pPr>
            <w:r>
              <w:t>8.4707</w:t>
            </w:r>
          </w:p>
        </w:tc>
      </w:tr>
      <w:tr w14:paraId="01671B73">
        <w:tblPrEx>
          <w:tblCellMar>
            <w:top w:w="0" w:type="dxa"/>
            <w:left w:w="108" w:type="dxa"/>
            <w:bottom w:w="0" w:type="dxa"/>
            <w:right w:w="108" w:type="dxa"/>
          </w:tblCellMar>
        </w:tblPrEx>
        <w:trPr>
          <w:trHeight w:val="454" w:hRule="atLeast"/>
          <w:jc w:val="center"/>
        </w:trPr>
        <w:tc>
          <w:tcPr>
            <w:tcW w:w="1332" w:type="pct"/>
            <w:tcBorders>
              <w:top w:val="nil"/>
              <w:left w:val="nil"/>
              <w:bottom w:val="nil"/>
              <w:right w:val="nil"/>
            </w:tcBorders>
            <w:shd w:val="clear" w:color="auto" w:fill="FFFFFF"/>
            <w:noWrap/>
            <w:vAlign w:val="center"/>
          </w:tcPr>
          <w:p w14:paraId="7CF39B17">
            <w:pPr>
              <w:pStyle w:val="44"/>
              <w:bidi w:val="0"/>
            </w:pPr>
            <w:r>
              <w:t>城市治理水平</w:t>
            </w:r>
          </w:p>
        </w:tc>
        <w:tc>
          <w:tcPr>
            <w:tcW w:w="910" w:type="pct"/>
            <w:tcBorders>
              <w:top w:val="nil"/>
              <w:left w:val="nil"/>
              <w:bottom w:val="nil"/>
              <w:right w:val="nil"/>
            </w:tcBorders>
            <w:shd w:val="clear" w:color="auto" w:fill="FFFFFF"/>
            <w:noWrap/>
            <w:vAlign w:val="center"/>
          </w:tcPr>
          <w:p w14:paraId="2891C35C">
            <w:pPr>
              <w:pStyle w:val="44"/>
              <w:bidi w:val="0"/>
            </w:pPr>
            <w:r>
              <w:t>90.5868</w:t>
            </w:r>
          </w:p>
        </w:tc>
        <w:tc>
          <w:tcPr>
            <w:tcW w:w="883" w:type="pct"/>
            <w:tcBorders>
              <w:top w:val="nil"/>
              <w:left w:val="nil"/>
              <w:bottom w:val="nil"/>
              <w:right w:val="nil"/>
            </w:tcBorders>
            <w:shd w:val="clear" w:color="auto" w:fill="FFFFFF"/>
            <w:noWrap/>
            <w:vAlign w:val="center"/>
          </w:tcPr>
          <w:p w14:paraId="7B005997">
            <w:pPr>
              <w:pStyle w:val="44"/>
              <w:bidi w:val="0"/>
            </w:pPr>
            <w:r>
              <w:t>18.1291</w:t>
            </w:r>
          </w:p>
        </w:tc>
        <w:tc>
          <w:tcPr>
            <w:tcW w:w="643" w:type="pct"/>
            <w:tcBorders>
              <w:top w:val="nil"/>
              <w:left w:val="nil"/>
              <w:bottom w:val="nil"/>
              <w:right w:val="nil"/>
            </w:tcBorders>
            <w:shd w:val="clear" w:color="auto" w:fill="FFFFFF"/>
            <w:noWrap/>
            <w:vAlign w:val="center"/>
          </w:tcPr>
          <w:p w14:paraId="5779E666">
            <w:pPr>
              <w:pStyle w:val="44"/>
              <w:bidi w:val="0"/>
            </w:pPr>
            <w:r>
              <w:t>99.99</w:t>
            </w:r>
          </w:p>
        </w:tc>
        <w:tc>
          <w:tcPr>
            <w:tcW w:w="522" w:type="pct"/>
            <w:tcBorders>
              <w:top w:val="nil"/>
              <w:left w:val="nil"/>
              <w:bottom w:val="nil"/>
              <w:right w:val="nil"/>
            </w:tcBorders>
            <w:shd w:val="clear" w:color="auto" w:fill="FFFFFF"/>
            <w:noWrap/>
            <w:vAlign w:val="center"/>
          </w:tcPr>
          <w:p w14:paraId="7A88AA4C">
            <w:pPr>
              <w:pStyle w:val="44"/>
              <w:bidi w:val="0"/>
            </w:pPr>
            <w:r>
              <w:t>0.44</w:t>
            </w:r>
          </w:p>
        </w:tc>
        <w:tc>
          <w:tcPr>
            <w:tcW w:w="707" w:type="pct"/>
            <w:tcBorders>
              <w:top w:val="nil"/>
              <w:left w:val="nil"/>
              <w:bottom w:val="nil"/>
              <w:right w:val="nil"/>
            </w:tcBorders>
            <w:shd w:val="clear" w:color="auto" w:fill="FFFFFF"/>
            <w:noWrap/>
            <w:vAlign w:val="center"/>
          </w:tcPr>
          <w:p w14:paraId="67FA1E3E">
            <w:pPr>
              <w:pStyle w:val="44"/>
              <w:bidi w:val="0"/>
            </w:pPr>
            <w:r>
              <w:t>100.6</w:t>
            </w:r>
          </w:p>
        </w:tc>
      </w:tr>
      <w:tr w14:paraId="346F22B3">
        <w:tblPrEx>
          <w:tblCellMar>
            <w:top w:w="0" w:type="dxa"/>
            <w:left w:w="108" w:type="dxa"/>
            <w:bottom w:w="0" w:type="dxa"/>
            <w:right w:w="108" w:type="dxa"/>
          </w:tblCellMar>
        </w:tblPrEx>
        <w:trPr>
          <w:trHeight w:val="454" w:hRule="atLeast"/>
          <w:jc w:val="center"/>
        </w:trPr>
        <w:tc>
          <w:tcPr>
            <w:tcW w:w="1332" w:type="pct"/>
            <w:tcBorders>
              <w:top w:val="nil"/>
              <w:left w:val="nil"/>
              <w:bottom w:val="single" w:color="000000" w:sz="12" w:space="0"/>
              <w:right w:val="nil"/>
            </w:tcBorders>
            <w:shd w:val="clear" w:color="auto" w:fill="FFFFFF"/>
            <w:noWrap/>
            <w:vAlign w:val="center"/>
          </w:tcPr>
          <w:p w14:paraId="6B94C5F8">
            <w:pPr>
              <w:pStyle w:val="44"/>
              <w:bidi w:val="0"/>
            </w:pPr>
            <w:r>
              <w:t>交通便捷程度</w:t>
            </w:r>
          </w:p>
        </w:tc>
        <w:tc>
          <w:tcPr>
            <w:tcW w:w="910" w:type="pct"/>
            <w:tcBorders>
              <w:top w:val="nil"/>
              <w:left w:val="nil"/>
              <w:bottom w:val="single" w:color="000000" w:sz="12" w:space="0"/>
              <w:right w:val="nil"/>
            </w:tcBorders>
            <w:shd w:val="clear" w:color="auto" w:fill="FFFFFF"/>
            <w:noWrap/>
            <w:vAlign w:val="center"/>
          </w:tcPr>
          <w:p w14:paraId="457BA7F7">
            <w:pPr>
              <w:pStyle w:val="44"/>
              <w:bidi w:val="0"/>
            </w:pPr>
            <w:r>
              <w:t>1.3899</w:t>
            </w:r>
          </w:p>
        </w:tc>
        <w:tc>
          <w:tcPr>
            <w:tcW w:w="883" w:type="pct"/>
            <w:tcBorders>
              <w:top w:val="nil"/>
              <w:left w:val="nil"/>
              <w:bottom w:val="single" w:color="000000" w:sz="12" w:space="0"/>
              <w:right w:val="nil"/>
            </w:tcBorders>
            <w:shd w:val="clear" w:color="auto" w:fill="FFFFFF"/>
            <w:noWrap/>
            <w:vAlign w:val="center"/>
          </w:tcPr>
          <w:p w14:paraId="33E79143">
            <w:pPr>
              <w:pStyle w:val="44"/>
              <w:bidi w:val="0"/>
            </w:pPr>
            <w:r>
              <w:t>1.3058</w:t>
            </w:r>
          </w:p>
        </w:tc>
        <w:tc>
          <w:tcPr>
            <w:tcW w:w="643" w:type="pct"/>
            <w:tcBorders>
              <w:top w:val="nil"/>
              <w:left w:val="nil"/>
              <w:bottom w:val="single" w:color="000000" w:sz="12" w:space="0"/>
              <w:right w:val="nil"/>
            </w:tcBorders>
            <w:shd w:val="clear" w:color="auto" w:fill="FFFFFF"/>
            <w:noWrap/>
            <w:vAlign w:val="center"/>
          </w:tcPr>
          <w:p w14:paraId="55BC8BB5">
            <w:pPr>
              <w:pStyle w:val="44"/>
              <w:bidi w:val="0"/>
            </w:pPr>
            <w:r>
              <w:t>1.1017</w:t>
            </w:r>
          </w:p>
        </w:tc>
        <w:tc>
          <w:tcPr>
            <w:tcW w:w="522" w:type="pct"/>
            <w:tcBorders>
              <w:top w:val="nil"/>
              <w:left w:val="nil"/>
              <w:bottom w:val="single" w:color="000000" w:sz="12" w:space="0"/>
              <w:right w:val="nil"/>
            </w:tcBorders>
            <w:shd w:val="clear" w:color="auto" w:fill="FFFFFF"/>
            <w:noWrap/>
            <w:vAlign w:val="center"/>
          </w:tcPr>
          <w:p w14:paraId="3D488CD3">
            <w:pPr>
              <w:pStyle w:val="44"/>
              <w:bidi w:val="0"/>
            </w:pPr>
            <w:r>
              <w:t>0.0914</w:t>
            </w:r>
          </w:p>
        </w:tc>
        <w:tc>
          <w:tcPr>
            <w:tcW w:w="707" w:type="pct"/>
            <w:tcBorders>
              <w:top w:val="nil"/>
              <w:left w:val="nil"/>
              <w:bottom w:val="single" w:color="000000" w:sz="12" w:space="0"/>
              <w:right w:val="nil"/>
            </w:tcBorders>
            <w:shd w:val="clear" w:color="auto" w:fill="FFFFFF"/>
            <w:noWrap/>
            <w:vAlign w:val="center"/>
          </w:tcPr>
          <w:p w14:paraId="234F4DFA">
            <w:pPr>
              <w:pStyle w:val="44"/>
              <w:bidi w:val="0"/>
            </w:pPr>
            <w:r>
              <w:t>36.5575</w:t>
            </w:r>
          </w:p>
        </w:tc>
      </w:tr>
    </w:tbl>
    <w:p w14:paraId="2692ED51">
      <w:pPr>
        <w:pStyle w:val="3"/>
        <w:numPr>
          <w:ilvl w:val="1"/>
          <w:numId w:val="0"/>
        </w:numPr>
      </w:pPr>
      <w:bookmarkStart w:id="24" w:name="_Toc228914691"/>
      <w:r>
        <w:rPr>
          <w:rFonts w:hint="eastAsia"/>
        </w:rPr>
        <w:t>（</w:t>
      </w:r>
      <w:r>
        <w:rPr>
          <w:rFonts w:hint="eastAsia"/>
          <w:lang w:eastAsia="zh"/>
        </w:rPr>
        <w:t>五</w:t>
      </w:r>
      <w:r>
        <w:rPr>
          <w:rFonts w:hint="eastAsia"/>
        </w:rPr>
        <w:t>）模型构建</w:t>
      </w:r>
      <w:bookmarkEnd w:id="24"/>
    </w:p>
    <w:p w14:paraId="6DA7106B">
      <w:pPr>
        <w:pStyle w:val="4"/>
        <w:ind w:firstLine="482"/>
      </w:pPr>
      <w:bookmarkStart w:id="25" w:name="_Toc228914692"/>
      <w:r>
        <w:t>模型理论基础：</w:t>
      </w:r>
      <w:r>
        <w:rPr>
          <w:rFonts w:ascii="Times New Roman" w:hAnsi="Times New Roman" w:cs="Times New Roman"/>
        </w:rPr>
        <w:t>Frisch-Waugh-Lovell</w:t>
      </w:r>
      <w:r>
        <w:t>定理</w:t>
      </w:r>
      <w:bookmarkEnd w:id="25"/>
    </w:p>
    <w:p w14:paraId="3D2DCA76">
      <w:pPr>
        <w:ind w:firstLine="480"/>
        <w:rPr>
          <w:rFonts w:hint="eastAsia" w:ascii="宋体" w:hAnsi="宋体" w:cs="宋体"/>
          <w:color w:val="000000"/>
          <w:kern w:val="0"/>
          <w:szCs w:val="24"/>
          <w:lang w:bidi="ar"/>
        </w:rPr>
      </w:pPr>
      <w:r>
        <w:rPr>
          <w:rFonts w:hint="eastAsia"/>
        </w:rPr>
        <w:t>Frisch-Waugh-Lovell（FWL）定理是线性回归模型中的一个经典理论结果，揭示了如何从多元回归中隔离出特定解释变量的边际贡献。该定理的核心思想在于：要估计变量</w:t>
      </w: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1</m:t>
            </m:r>
            <m:ctrlPr>
              <w:rPr>
                <w:rFonts w:ascii="Cambria Math" w:hAnsi="Cambria Math"/>
              </w:rPr>
            </m:ctrlPr>
          </m:sub>
        </m:sSub>
      </m:oMath>
      <w:r>
        <w:rPr>
          <w:rFonts w:hint="eastAsia"/>
        </w:rPr>
        <w:t>对因变量</w:t>
      </w:r>
      <m:oMath>
        <m:r>
          <m:rPr/>
          <w:rPr>
            <w:rFonts w:ascii="Cambria Math" w:hAnsi="Cambria Math"/>
          </w:rPr>
          <m:t>Y</m:t>
        </m:r>
      </m:oMath>
      <w:r>
        <w:rPr>
          <w:rFonts w:hint="eastAsia"/>
        </w:rPr>
        <w:t>的纯净影响，无需同时对全部变量进行回归，而可通过一个等价的三步过程实现。</w:t>
      </w:r>
      <w:r>
        <w:rPr>
          <w:vertAlign w:val="superscript"/>
        </w:rPr>
        <w:fldChar w:fldCharType="begin"/>
      </w:r>
      <w:r>
        <w:rPr>
          <w:vertAlign w:val="superscript"/>
        </w:rPr>
        <w:instrText xml:space="preserve"> </w:instrText>
      </w:r>
      <w:r>
        <w:rPr>
          <w:rFonts w:hint="eastAsia"/>
          <w:vertAlign w:val="superscript"/>
        </w:rPr>
        <w:instrText xml:space="preserve">REF _Ref228914452 \r \h</w:instrText>
      </w:r>
      <w:r>
        <w:rPr>
          <w:vertAlign w:val="superscript"/>
        </w:rPr>
        <w:instrText xml:space="preserve">  \* MERGEFORMAT </w:instrText>
      </w:r>
      <w:r>
        <w:rPr>
          <w:vertAlign w:val="superscript"/>
        </w:rPr>
        <w:fldChar w:fldCharType="separate"/>
      </w:r>
      <w:r>
        <w:rPr>
          <w:vertAlign w:val="superscript"/>
        </w:rPr>
        <w:t>[22]</w:t>
      </w:r>
      <w:r>
        <w:rPr>
          <w:vertAlign w:val="superscript"/>
        </w:rPr>
        <w:fldChar w:fldCharType="end"/>
      </w:r>
      <w:r>
        <w:rPr>
          <w:vertAlign w:val="superscript"/>
        </w:rPr>
        <w:fldChar w:fldCharType="begin"/>
      </w:r>
      <w:r>
        <w:rPr>
          <w:vertAlign w:val="superscript"/>
        </w:rPr>
        <w:instrText xml:space="preserve"> REF _Ref228914454 \r \h  \* MERGEFORMAT </w:instrText>
      </w:r>
      <w:r>
        <w:rPr>
          <w:vertAlign w:val="superscript"/>
        </w:rPr>
        <w:fldChar w:fldCharType="separate"/>
      </w:r>
      <w:r>
        <w:rPr>
          <w:vertAlign w:val="superscript"/>
        </w:rPr>
        <w:t>[23]</w:t>
      </w:r>
      <w:r>
        <w:rPr>
          <w:vertAlign w:val="superscript"/>
        </w:rPr>
        <w:fldChar w:fldCharType="end"/>
      </w:r>
    </w:p>
    <w:p w14:paraId="20BCF8CC">
      <w:pPr>
        <w:ind w:firstLine="480"/>
      </w:pPr>
      <w:r>
        <w:rPr>
          <w:rFonts w:hint="eastAsia"/>
        </w:rPr>
        <w:t>具体而言，考虑如下线性回归模型：</w:t>
      </w:r>
    </w:p>
    <w:tbl>
      <w:tblPr>
        <w:tblStyle w:val="2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226"/>
        <w:gridCol w:w="1296"/>
      </w:tblGrid>
      <w:tr w14:paraId="6C751F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atLeast"/>
        </w:trPr>
        <w:tc>
          <w:tcPr>
            <w:tcW w:w="7626" w:type="dxa"/>
            <w:vAlign w:val="center"/>
          </w:tcPr>
          <w:p w14:paraId="0CA15B1E">
            <w:pPr>
              <w:ind w:firstLine="480"/>
              <w:jc w:val="center"/>
            </w:pPr>
            <m:oMathPara>
              <m:oMath>
                <m:r>
                  <m:rPr/>
                  <w:rPr>
                    <w:rFonts w:ascii="Cambria Math" w:hAnsi="Cambria Math"/>
                  </w:rPr>
                  <m:t>Y=</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1</m:t>
                    </m:r>
                    <m:ctrlPr>
                      <w:rPr>
                        <w:rFonts w:ascii="Cambria Math" w:hAnsi="Cambria Math"/>
                      </w:rPr>
                    </m:ctrlPr>
                  </m:sub>
                </m:sSub>
                <m:sSub>
                  <m:sSubPr>
                    <m:ctrlPr>
                      <w:rPr>
                        <w:rFonts w:ascii="Cambria Math" w:hAnsi="Cambria Math"/>
                      </w:rPr>
                    </m:ctrlPr>
                  </m:sSubPr>
                  <m:e>
                    <m:r>
                      <m:rPr/>
                      <w:rPr>
                        <w:rFonts w:ascii="Cambria Math" w:hAnsi="Cambria Math"/>
                      </w:rPr>
                      <m:t>β</m:t>
                    </m:r>
                    <m:ctrlPr>
                      <w:rPr>
                        <w:rFonts w:ascii="Cambria Math" w:hAnsi="Cambria Math"/>
                      </w:rPr>
                    </m:ctrlPr>
                  </m:e>
                  <m:sub>
                    <m:r>
                      <m:rPr/>
                      <w:rPr>
                        <w:rFonts w:ascii="Cambria Math" w:hAnsi="Cambria Math"/>
                      </w:rPr>
                      <m:t>1</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2</m:t>
                    </m:r>
                    <m:ctrlPr>
                      <w:rPr>
                        <w:rFonts w:ascii="Cambria Math" w:hAnsi="Cambria Math"/>
                      </w:rPr>
                    </m:ctrlPr>
                  </m:sub>
                </m:sSub>
                <m:sSub>
                  <m:sSubPr>
                    <m:ctrlPr>
                      <w:rPr>
                        <w:rFonts w:ascii="Cambria Math" w:hAnsi="Cambria Math"/>
                      </w:rPr>
                    </m:ctrlPr>
                  </m:sSubPr>
                  <m:e>
                    <m:r>
                      <m:rPr/>
                      <w:rPr>
                        <w:rFonts w:ascii="Cambria Math" w:hAnsi="Cambria Math"/>
                      </w:rPr>
                      <m:t>β</m:t>
                    </m:r>
                    <m:ctrlPr>
                      <w:rPr>
                        <w:rFonts w:ascii="Cambria Math" w:hAnsi="Cambria Math"/>
                      </w:rPr>
                    </m:ctrlPr>
                  </m:e>
                  <m:sub>
                    <m:r>
                      <m:rPr/>
                      <w:rPr>
                        <w:rFonts w:ascii="Cambria Math" w:hAnsi="Cambria Math"/>
                      </w:rPr>
                      <m:t>2</m:t>
                    </m:r>
                    <m:ctrlPr>
                      <w:rPr>
                        <w:rFonts w:ascii="Cambria Math" w:hAnsi="Cambria Math"/>
                      </w:rPr>
                    </m:ctrlPr>
                  </m:sub>
                </m:sSub>
                <m:r>
                  <m:rPr/>
                  <w:rPr>
                    <w:rFonts w:ascii="Cambria Math" w:hAnsi="Cambria Math"/>
                  </w:rPr>
                  <m:t>+ε</m:t>
                </m:r>
              </m:oMath>
            </m:oMathPara>
          </w:p>
        </w:tc>
        <w:tc>
          <w:tcPr>
            <w:tcW w:w="896" w:type="dxa"/>
            <w:vAlign w:val="center"/>
          </w:tcPr>
          <w:p w14:paraId="2531396F">
            <w:pPr>
              <w:ind w:firstLine="480"/>
              <w:jc w:val="right"/>
            </w:pPr>
            <w:r>
              <w:rPr>
                <w:rFonts w:hint="eastAsia"/>
              </w:rPr>
              <w:t>（2）</w:t>
            </w:r>
          </w:p>
        </w:tc>
      </w:tr>
    </w:tbl>
    <w:p w14:paraId="643CE8D6">
      <w:pPr>
        <w:ind w:firstLine="480"/>
      </w:pPr>
      <w:r>
        <w:rPr>
          <w:rFonts w:hint="eastAsia"/>
        </w:rPr>
        <w:t>其中，</w:t>
      </w:r>
      <m:oMath>
        <m:r>
          <m:rPr/>
          <w:rPr>
            <w:rFonts w:ascii="Cambria Math" w:hAnsi="Cambria Math"/>
          </w:rPr>
          <m:t>Y</m:t>
        </m:r>
      </m:oMath>
      <w:r>
        <w:rPr>
          <w:rFonts w:hint="eastAsia"/>
        </w:rPr>
        <w:t>为</w:t>
      </w:r>
      <m:oMath>
        <m:r>
          <m:rPr/>
          <w:rPr>
            <w:rFonts w:ascii="Cambria Math" w:hAnsi="Cambria Math"/>
          </w:rPr>
          <m:t>n</m:t>
        </m:r>
      </m:oMath>
      <w:r>
        <w:rPr>
          <w:rFonts w:hint="eastAsia"/>
        </w:rPr>
        <w:t>维被解释变量向量，</w:t>
      </w: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1</m:t>
            </m:r>
            <m:ctrlPr>
              <w:rPr>
                <w:rFonts w:ascii="Cambria Math" w:hAnsi="Cambria Math"/>
              </w:rPr>
            </m:ctrlPr>
          </m:sub>
        </m:sSub>
      </m:oMath>
      <w:r>
        <w:rPr>
          <w:rFonts w:hint="eastAsia"/>
        </w:rPr>
        <w:t>为</w:t>
      </w:r>
      <m:oMath>
        <m:r>
          <m:rPr/>
          <w:rPr>
            <w:rFonts w:ascii="Cambria Math" w:hAnsi="Cambria Math"/>
          </w:rPr>
          <m:t>n×</m:t>
        </m:r>
        <m:sSub>
          <m:sSubPr>
            <m:ctrlPr>
              <w:rPr>
                <w:rFonts w:ascii="Cambria Math" w:hAnsi="Cambria Math"/>
              </w:rPr>
            </m:ctrlPr>
          </m:sSubPr>
          <m:e>
            <m:r>
              <m:rPr/>
              <w:rPr>
                <w:rFonts w:ascii="Cambria Math" w:hAnsi="Cambria Math"/>
              </w:rPr>
              <m:t>k</m:t>
            </m:r>
            <m:ctrlPr>
              <w:rPr>
                <w:rFonts w:ascii="Cambria Math" w:hAnsi="Cambria Math"/>
              </w:rPr>
            </m:ctrlPr>
          </m:e>
          <m:sub>
            <m:r>
              <m:rPr/>
              <w:rPr>
                <w:rFonts w:ascii="Cambria Math" w:hAnsi="Cambria Math"/>
              </w:rPr>
              <m:t>1</m:t>
            </m:r>
            <m:ctrlPr>
              <w:rPr>
                <w:rFonts w:ascii="Cambria Math" w:hAnsi="Cambria Math"/>
              </w:rPr>
            </m:ctrlPr>
          </m:sub>
        </m:sSub>
      </m:oMath>
      <w:r>
        <w:rPr>
          <w:rFonts w:hint="eastAsia"/>
        </w:rPr>
        <w:t>维解释变量矩阵（关注的核心变量），</w:t>
      </w: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2</m:t>
            </m:r>
            <m:ctrlPr>
              <w:rPr>
                <w:rFonts w:ascii="Cambria Math" w:hAnsi="Cambria Math"/>
              </w:rPr>
            </m:ctrlPr>
          </m:sub>
        </m:sSub>
      </m:oMath>
      <w:r>
        <w:rPr>
          <w:rFonts w:hint="eastAsia"/>
        </w:rPr>
        <w:t>为</w:t>
      </w:r>
      <m:oMath>
        <m:r>
          <m:rPr/>
          <w:rPr>
            <w:rFonts w:ascii="Cambria Math" w:hAnsi="Cambria Math"/>
          </w:rPr>
          <m:t>n×</m:t>
        </m:r>
        <m:sSub>
          <m:sSubPr>
            <m:ctrlPr>
              <w:rPr>
                <w:rFonts w:ascii="Cambria Math" w:hAnsi="Cambria Math"/>
              </w:rPr>
            </m:ctrlPr>
          </m:sSubPr>
          <m:e>
            <m:r>
              <m:rPr/>
              <w:rPr>
                <w:rFonts w:ascii="Cambria Math" w:hAnsi="Cambria Math"/>
              </w:rPr>
              <m:t>k</m:t>
            </m:r>
            <m:ctrlPr>
              <w:rPr>
                <w:rFonts w:ascii="Cambria Math" w:hAnsi="Cambria Math"/>
              </w:rPr>
            </m:ctrlPr>
          </m:e>
          <m:sub>
            <m:r>
              <m:rPr/>
              <w:rPr>
                <w:rFonts w:ascii="Cambria Math" w:hAnsi="Cambria Math"/>
              </w:rPr>
              <m:t>2</m:t>
            </m:r>
            <m:ctrlPr>
              <w:rPr>
                <w:rFonts w:ascii="Cambria Math" w:hAnsi="Cambria Math"/>
              </w:rPr>
            </m:ctrlPr>
          </m:sub>
        </m:sSub>
      </m:oMath>
      <w:r>
        <w:rPr>
          <w:rFonts w:hint="eastAsia"/>
        </w:rPr>
        <w:t>维解释变量矩阵（控制变量），</w:t>
      </w:r>
      <m:oMath>
        <m:r>
          <m:rPr/>
          <w:rPr>
            <w:rFonts w:ascii="Cambria Math" w:hAnsi="Cambria Math"/>
          </w:rPr>
          <m:t>ε</m:t>
        </m:r>
      </m:oMath>
      <w:r>
        <w:rPr>
          <w:rFonts w:hint="eastAsia"/>
        </w:rPr>
        <w:t>为随机误差项。</w:t>
      </w:r>
    </w:p>
    <w:p w14:paraId="0FBD4D0F">
      <w:pPr>
        <w:ind w:firstLine="480"/>
      </w:pPr>
      <w:r>
        <w:rPr>
          <w:rFonts w:hint="eastAsia"/>
        </w:rPr>
        <w:t>Frisch-Waugh-Lovell定理指出，参数向量</w:t>
      </w:r>
      <m:oMath>
        <m:sSub>
          <m:sSubPr>
            <m:ctrlPr>
              <w:rPr>
                <w:rFonts w:ascii="Cambria Math" w:hAnsi="Cambria Math"/>
              </w:rPr>
            </m:ctrlPr>
          </m:sSubPr>
          <m:e>
            <m:r>
              <m:rPr/>
              <w:rPr>
                <w:rFonts w:ascii="Cambria Math" w:hAnsi="Cambria Math"/>
              </w:rPr>
              <m:t>β</m:t>
            </m:r>
            <m:ctrlPr>
              <w:rPr>
                <w:rFonts w:ascii="Cambria Math" w:hAnsi="Cambria Math"/>
              </w:rPr>
            </m:ctrlPr>
          </m:e>
          <m:sub>
            <m:r>
              <m:rPr/>
              <w:rPr>
                <w:rFonts w:ascii="Cambria Math" w:hAnsi="Cambria Math"/>
              </w:rPr>
              <m:t>1</m:t>
            </m:r>
            <m:ctrlPr>
              <w:rPr>
                <w:rFonts w:ascii="Cambria Math" w:hAnsi="Cambria Math"/>
              </w:rPr>
            </m:ctrlPr>
          </m:sub>
        </m:sSub>
      </m:oMath>
      <w:r>
        <w:rPr>
          <w:rFonts w:hint="eastAsia"/>
        </w:rPr>
        <w:t>的最小二乘估计量</w:t>
      </w:r>
      <m:oMath>
        <m:sSub>
          <m:sSubPr>
            <m:ctrlPr>
              <w:rPr>
                <w:rFonts w:ascii="Cambria Math" w:hAnsi="Cambria Math"/>
              </w:rPr>
            </m:ctrlPr>
          </m:sSubPr>
          <m:e>
            <m:acc>
              <m:accPr>
                <m:ctrlPr>
                  <w:rPr>
                    <w:rFonts w:ascii="Cambria Math" w:hAnsi="Cambria Math"/>
                  </w:rPr>
                </m:ctrlPr>
              </m:accPr>
              <m:e>
                <m:r>
                  <m:rPr/>
                  <w:rPr>
                    <w:rFonts w:ascii="Cambria Math" w:hAnsi="Cambria Math"/>
                  </w:rPr>
                  <m:t>β</m:t>
                </m:r>
                <m:ctrlPr>
                  <w:rPr>
                    <w:rFonts w:ascii="Cambria Math" w:hAnsi="Cambria Math"/>
                  </w:rPr>
                </m:ctrlPr>
              </m:e>
            </m:acc>
            <m:ctrlPr>
              <w:rPr>
                <w:rFonts w:ascii="Cambria Math" w:hAnsi="Cambria Math"/>
              </w:rPr>
            </m:ctrlPr>
          </m:e>
          <m:sub>
            <m:r>
              <m:rPr/>
              <w:rPr>
                <w:rFonts w:ascii="Cambria Math" w:hAnsi="Cambria Math"/>
              </w:rPr>
              <m:t>1</m:t>
            </m:r>
            <m:ctrlPr>
              <w:rPr>
                <w:rFonts w:ascii="Cambria Math" w:hAnsi="Cambria Math"/>
              </w:rPr>
            </m:ctrlPr>
          </m:sub>
        </m:sSub>
      </m:oMath>
      <w:r>
        <w:rPr>
          <w:rFonts w:hint="eastAsia"/>
        </w:rPr>
        <w:t>可通过如下分步回归过程等价获得：</w:t>
      </w:r>
    </w:p>
    <w:p w14:paraId="6C4200D4">
      <w:pPr>
        <w:ind w:firstLine="480"/>
      </w:pPr>
      <w:r>
        <w:rPr>
          <w:rFonts w:hint="eastAsia"/>
        </w:rPr>
        <w:t>第一步：将</w:t>
      </w:r>
      <m:oMath>
        <m:r>
          <m:rPr/>
          <w:rPr>
            <w:rFonts w:ascii="Cambria Math" w:hAnsi="Cambria Math"/>
          </w:rPr>
          <m:t>Y</m:t>
        </m:r>
      </m:oMath>
      <w:r>
        <w:rPr>
          <w:rFonts w:hint="eastAsia"/>
        </w:rPr>
        <w:t>对</w:t>
      </w: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2</m:t>
            </m:r>
            <m:ctrlPr>
              <w:rPr>
                <w:rFonts w:ascii="Cambria Math" w:hAnsi="Cambria Math"/>
              </w:rPr>
            </m:ctrlPr>
          </m:sub>
        </m:sSub>
      </m:oMath>
      <w:r>
        <w:rPr>
          <w:rFonts w:hint="eastAsia"/>
        </w:rPr>
        <w:t>进行回归，得到残差向量</w:t>
      </w:r>
      <m:oMath>
        <m:sSub>
          <m:sSubPr>
            <m:ctrlPr>
              <w:rPr>
                <w:rFonts w:ascii="Cambria Math" w:hAnsi="Cambria Math"/>
              </w:rPr>
            </m:ctrlPr>
          </m:sSubPr>
          <m:e>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Y</m:t>
                </m:r>
                <m:ctrlPr>
                  <w:rPr>
                    <w:rFonts w:ascii="Cambria Math" w:hAnsi="Cambria Math"/>
                    <w:i/>
                  </w:rPr>
                </m:ctrlPr>
              </m:sub>
            </m:sSub>
            <m:r>
              <m:rPr/>
              <w:rPr>
                <w:rFonts w:ascii="Cambria Math" w:hAnsi="Cambria Math"/>
              </w:rPr>
              <m:t>=M</m:t>
            </m:r>
            <m:ctrlPr>
              <w:rPr>
                <w:rFonts w:ascii="Cambria Math" w:hAnsi="Cambria Math"/>
              </w:rPr>
            </m:ctrlPr>
          </m:e>
          <m:sub>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2</m:t>
                </m:r>
                <m:ctrlPr>
                  <w:rPr>
                    <w:rFonts w:ascii="Cambria Math" w:hAnsi="Cambria Math"/>
                  </w:rPr>
                </m:ctrlPr>
              </m:sub>
            </m:sSub>
            <m:ctrlPr>
              <w:rPr>
                <w:rFonts w:ascii="Cambria Math" w:hAnsi="Cambria Math"/>
              </w:rPr>
            </m:ctrlPr>
          </m:sub>
        </m:sSub>
        <m:r>
          <m:rPr/>
          <w:rPr>
            <w:rFonts w:ascii="Cambria Math" w:hAnsi="Cambria Math"/>
          </w:rPr>
          <m:t>Y</m:t>
        </m:r>
      </m:oMath>
      <w:r>
        <w:rPr>
          <w:rFonts w:hint="eastAsia"/>
        </w:rPr>
        <w:t>，其中</w:t>
      </w:r>
      <m:oMath>
        <m:sSub>
          <m:sSubPr>
            <m:ctrlPr>
              <w:rPr>
                <w:rFonts w:ascii="Cambria Math" w:hAnsi="Cambria Math"/>
              </w:rPr>
            </m:ctrlPr>
          </m:sSubPr>
          <m:e>
            <m:r>
              <m:rPr/>
              <w:rPr>
                <w:rFonts w:ascii="Cambria Math" w:hAnsi="Cambria Math"/>
              </w:rPr>
              <m:t>M</m:t>
            </m:r>
            <m:ctrlPr>
              <w:rPr>
                <w:rFonts w:ascii="Cambria Math" w:hAnsi="Cambria Math"/>
              </w:rPr>
            </m:ctrlPr>
          </m:e>
          <m:sub>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2</m:t>
                </m:r>
                <m:ctrlPr>
                  <w:rPr>
                    <w:rFonts w:ascii="Cambria Math" w:hAnsi="Cambria Math"/>
                  </w:rPr>
                </m:ctrlPr>
              </m:sub>
            </m:sSub>
            <m:ctrlPr>
              <w:rPr>
                <w:rFonts w:ascii="Cambria Math" w:hAnsi="Cambria Math"/>
              </w:rPr>
            </m:ctrlPr>
          </m:sub>
        </m:sSub>
        <m:r>
          <m:rPr/>
          <w:rPr>
            <w:rFonts w:ascii="Cambria Math" w:hAnsi="Cambria Math"/>
          </w:rPr>
          <m:t>=I−</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2</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2</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2</m:t>
            </m:r>
            <m:ctrlPr>
              <w:rPr>
                <w:rFonts w:ascii="Cambria Math" w:hAnsi="Cambria Math"/>
              </w:rPr>
            </m:ctrlPr>
          </m:sub>
        </m:sSub>
        <m:sSup>
          <m:sSupPr>
            <m:ctrlPr>
              <w:rPr>
                <w:rFonts w:ascii="Cambria Math" w:hAnsi="Cambria Math"/>
              </w:rPr>
            </m:ctrlPr>
          </m:sSupPr>
          <m:e>
            <m:r>
              <m:rPr/>
              <w:rPr>
                <w:rFonts w:ascii="Cambria Math" w:hAnsi="Cambria Math"/>
              </w:rPr>
              <m:t>)</m:t>
            </m:r>
            <m:ctrlPr>
              <w:rPr>
                <w:rFonts w:ascii="Cambria Math" w:hAnsi="Cambria Math"/>
              </w:rPr>
            </m:ctrlPr>
          </m:e>
          <m:sup>
            <m:r>
              <m:rPr/>
              <w:rPr>
                <w:rFonts w:ascii="Cambria Math" w:hAnsi="Cambria Math"/>
              </w:rPr>
              <m:t>−1</m:t>
            </m:r>
            <m:ctrlPr>
              <w:rPr>
                <w:rFonts w:ascii="Cambria Math" w:hAnsi="Cambria Math"/>
              </w:rPr>
            </m:ctrlPr>
          </m:sup>
        </m:sSup>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2</m:t>
            </m:r>
            <m:ctrlPr>
              <w:rPr>
                <w:rFonts w:ascii="Cambria Math" w:hAnsi="Cambria Math"/>
              </w:rPr>
            </m:ctrlPr>
          </m:sub>
        </m:sSub>
        <m:r>
          <m:rPr/>
          <w:rPr>
            <w:rFonts w:ascii="Cambria Math" w:hAnsi="Cambria Math"/>
          </w:rPr>
          <m:t>’</m:t>
        </m:r>
      </m:oMath>
      <w:r>
        <w:rPr>
          <w:rFonts w:hint="eastAsia"/>
        </w:rPr>
        <w:t>为对</w:t>
      </w: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2</m:t>
            </m:r>
            <m:ctrlPr>
              <w:rPr>
                <w:rFonts w:ascii="Cambria Math" w:hAnsi="Cambria Math"/>
              </w:rPr>
            </m:ctrlPr>
          </m:sub>
        </m:sSub>
      </m:oMath>
      <w:r>
        <w:rPr>
          <w:rFonts w:hint="eastAsia"/>
        </w:rPr>
        <w:t>的投影残差生成矩阵；</w:t>
      </w:r>
    </w:p>
    <w:p w14:paraId="3B26B0B0">
      <w:pPr>
        <w:ind w:firstLine="480"/>
      </w:pPr>
      <w:r>
        <w:rPr>
          <w:rFonts w:hint="eastAsia"/>
        </w:rPr>
        <w:t>第二步：将</w:t>
      </w: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1</m:t>
            </m:r>
            <m:ctrlPr>
              <w:rPr>
                <w:rFonts w:ascii="Cambria Math" w:hAnsi="Cambria Math"/>
              </w:rPr>
            </m:ctrlPr>
          </m:sub>
        </m:sSub>
      </m:oMath>
      <w:r>
        <w:rPr>
          <w:rFonts w:hint="eastAsia"/>
        </w:rPr>
        <w:t>对</w:t>
      </w:r>
      <m:oMath>
        <m:sSub>
          <m:sSubPr>
            <m:ctrlPr>
              <w:rPr>
                <w:rFonts w:ascii="Cambria Math" w:hAnsi="Cambria Math"/>
              </w:rPr>
            </m:ctrlPr>
          </m:sSubPr>
          <m:e>
            <m:r>
              <m:rPr/>
              <w:rPr>
                <w:rFonts w:ascii="Cambria Math" w:hAnsi="Cambria Math"/>
              </w:rPr>
              <m:t>X</m:t>
            </m:r>
            <m:ctrlPr>
              <w:rPr>
                <w:rFonts w:ascii="Cambria Math" w:hAnsi="Cambria Math"/>
              </w:rPr>
            </m:ctrlPr>
          </m:e>
          <m:sub>
            <m:r>
              <m:rPr>
                <m:sty m:val="p"/>
              </m:rPr>
              <w:rPr>
                <w:rFonts w:ascii="Cambria Math" w:hAnsi="Cambria Math"/>
              </w:rPr>
              <m:t>2</m:t>
            </m:r>
            <m:ctrlPr>
              <w:rPr>
                <w:rFonts w:ascii="Cambria Math" w:hAnsi="Cambria Math"/>
              </w:rPr>
            </m:ctrlPr>
          </m:sub>
        </m:sSub>
      </m:oMath>
      <w:r>
        <w:rPr>
          <w:rFonts w:hint="eastAsia"/>
        </w:rPr>
        <w:t>进行回归，得到残差矩阵</w:t>
      </w:r>
      <m:oMath>
        <m:sSub>
          <m:sSubPr>
            <m:ctrlPr>
              <w:rPr>
                <w:rFonts w:hint="eastAsia" w:ascii="Cambria Math" w:hAnsi="Cambria Math"/>
                <w:i/>
              </w:rPr>
            </m:ctrlPr>
          </m:sSubPr>
          <m:e>
            <m:r>
              <m:rPr/>
              <w:rPr>
                <w:rFonts w:ascii="Cambria Math"/>
              </w:rPr>
              <m:t>R</m:t>
            </m:r>
            <m:ctrlPr>
              <w:rPr>
                <w:rFonts w:hint="eastAsia" w:ascii="Cambria Math" w:hAnsi="Cambria Math"/>
                <w:i/>
              </w:rPr>
            </m:ctrlPr>
          </m:e>
          <m:sub>
            <m:sSub>
              <m:sSubPr>
                <m:ctrlPr>
                  <w:rPr>
                    <w:rFonts w:hint="eastAsia" w:ascii="Cambria Math" w:hAnsi="Cambria Math"/>
                    <w:i/>
                  </w:rPr>
                </m:ctrlPr>
              </m:sSubPr>
              <m:e>
                <m:r>
                  <m:rPr/>
                  <w:rPr>
                    <w:rFonts w:ascii="Cambria Math"/>
                  </w:rPr>
                  <m:t>X</m:t>
                </m:r>
                <m:ctrlPr>
                  <w:rPr>
                    <w:rFonts w:hint="eastAsia" w:ascii="Cambria Math" w:hAnsi="Cambria Math"/>
                    <w:i/>
                  </w:rPr>
                </m:ctrlPr>
              </m:e>
              <m:sub>
                <m:r>
                  <m:rPr/>
                  <w:rPr>
                    <w:rFonts w:ascii="Cambria Math"/>
                  </w:rPr>
                  <m:t>1</m:t>
                </m:r>
                <m:ctrlPr>
                  <w:rPr>
                    <w:rFonts w:hint="eastAsia" w:ascii="Cambria Math" w:hAnsi="Cambria Math"/>
                    <w:i/>
                  </w:rPr>
                </m:ctrlPr>
              </m:sub>
            </m:sSub>
            <m:ctrlPr>
              <w:rPr>
                <w:rFonts w:hint="eastAsia" w:ascii="Cambria Math" w:hAnsi="Cambria Math"/>
                <w:i/>
              </w:rPr>
            </m:ctrlPr>
          </m:sub>
        </m:sSub>
        <m:r>
          <m:rPr/>
          <w:rPr>
            <w:rFonts w:ascii="Cambria Math"/>
          </w:rPr>
          <m:t>=</m:t>
        </m:r>
        <m:r>
          <m:rPr/>
          <w:rPr>
            <w:rFonts w:ascii="Cambria Math" w:hAnsi="Cambria Math"/>
          </w:rPr>
          <m:t>M</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2</m:t>
            </m:r>
            <m:ctrlPr>
              <w:rPr>
                <w:rFonts w:ascii="Cambria Math" w:hAnsi="Cambria Math"/>
              </w:rPr>
            </m:ctrlPr>
          </m:sub>
        </m:sSub>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1</m:t>
            </m:r>
            <m:ctrlPr>
              <w:rPr>
                <w:rFonts w:ascii="Cambria Math" w:hAnsi="Cambria Math"/>
              </w:rPr>
            </m:ctrlPr>
          </m:sub>
        </m:sSub>
      </m:oMath>
      <w:r>
        <w:rPr>
          <w:rFonts w:hint="eastAsia"/>
        </w:rPr>
        <w:t>；</w:t>
      </w:r>
    </w:p>
    <w:p w14:paraId="56552A86">
      <w:pPr>
        <w:ind w:firstLine="480"/>
      </w:pPr>
      <w:r>
        <w:rPr>
          <w:rFonts w:hint="eastAsia"/>
        </w:rPr>
        <w:t>第三步：将</w:t>
      </w:r>
      <m:oMath>
        <m:sSub>
          <m:sSubPr>
            <m:ctrlPr>
              <w:rPr>
                <w:rFonts w:ascii="Cambria Math" w:hAnsi="Cambria Math"/>
              </w:rPr>
            </m:ctrlPr>
          </m:sSubPr>
          <m:e>
            <m:r>
              <m:rPr>
                <m:sty m:val="p"/>
              </m:rPr>
              <w:rPr>
                <w:rFonts w:ascii="Cambria Math" w:hAnsi="Cambria Math"/>
              </w:rPr>
              <m:t>R</m:t>
            </m:r>
            <m:ctrlPr>
              <w:rPr>
                <w:rFonts w:ascii="Cambria Math" w:hAnsi="Cambria Math"/>
              </w:rPr>
            </m:ctrlPr>
          </m:e>
          <m:sub>
            <m:r>
              <m:rPr>
                <m:sty m:val="p"/>
              </m:rPr>
              <w:rPr>
                <w:rFonts w:ascii="Cambria Math" w:hAnsi="Cambria Math"/>
              </w:rPr>
              <m:t>Y</m:t>
            </m:r>
            <m:ctrlPr>
              <w:rPr>
                <w:rFonts w:ascii="Cambria Math" w:hAnsi="Cambria Math"/>
              </w:rPr>
            </m:ctrlPr>
          </m:sub>
        </m:sSub>
      </m:oMath>
      <w:r>
        <w:rPr>
          <w:rFonts w:hint="eastAsia"/>
        </w:rPr>
        <w:t>对</w:t>
      </w:r>
      <m:oMath>
        <m:sSub>
          <m:sSubPr>
            <m:ctrlPr>
              <w:rPr>
                <w:rFonts w:hint="eastAsia" w:ascii="Cambria Math" w:hAnsi="Cambria Math"/>
              </w:rPr>
            </m:ctrlPr>
          </m:sSubPr>
          <m:e>
            <m:r>
              <m:rPr>
                <m:sty m:val="p"/>
              </m:rPr>
              <w:rPr>
                <w:rFonts w:ascii="Cambria Math" w:hAnsi="Cambria Math"/>
              </w:rPr>
              <m:t>R</m:t>
            </m:r>
            <m:ctrlPr>
              <w:rPr>
                <w:rFonts w:hint="eastAsia" w:ascii="Cambria Math" w:hAnsi="Cambria Math"/>
              </w:rPr>
            </m:ctrlPr>
          </m:e>
          <m:sub>
            <m:sSub>
              <m:sSubPr>
                <m:ctrlPr>
                  <w:rPr>
                    <w:rFonts w:hint="eastAsia" w:ascii="Cambria Math" w:hAnsi="Cambria Math"/>
                  </w:rPr>
                </m:ctrlPr>
              </m:sSubPr>
              <m:e>
                <m:r>
                  <m:rPr>
                    <m:sty m:val="p"/>
                  </m:rPr>
                  <w:rPr>
                    <w:rFonts w:ascii="Cambria Math" w:hAnsi="Cambria Math"/>
                  </w:rPr>
                  <m:t>X</m:t>
                </m:r>
                <m:ctrlPr>
                  <w:rPr>
                    <w:rFonts w:hint="eastAsia" w:ascii="Cambria Math" w:hAnsi="Cambria Math"/>
                  </w:rPr>
                </m:ctrlPr>
              </m:e>
              <m:sub>
                <m:r>
                  <m:rPr>
                    <m:sty m:val="p"/>
                  </m:rPr>
                  <w:rPr>
                    <w:rFonts w:ascii="Cambria Math" w:hAnsi="Cambria Math"/>
                  </w:rPr>
                  <m:t>1</m:t>
                </m:r>
                <m:ctrlPr>
                  <w:rPr>
                    <w:rFonts w:hint="eastAsia" w:ascii="Cambria Math" w:hAnsi="Cambria Math"/>
                  </w:rPr>
                </m:ctrlPr>
              </m:sub>
            </m:sSub>
            <m:ctrlPr>
              <w:rPr>
                <w:rFonts w:hint="eastAsia" w:ascii="Cambria Math" w:hAnsi="Cambria Math"/>
              </w:rPr>
            </m:ctrlPr>
          </m:sub>
        </m:sSub>
      </m:oMath>
      <w:r>
        <w:rPr>
          <w:rFonts w:hint="eastAsia"/>
        </w:rPr>
        <w:t>进行回归，</w:t>
      </w:r>
      <w:r>
        <w:t>所得系数即为</w:t>
      </w:r>
      <m:oMath>
        <m:sSub>
          <m:sSubPr>
            <m:ctrlPr>
              <w:rPr>
                <w:rFonts w:ascii="Cambria Math" w:hAnsi="Cambria Math"/>
              </w:rPr>
            </m:ctrlPr>
          </m:sSubPr>
          <m:e>
            <m:acc>
              <m:accPr>
                <m:ctrlPr>
                  <w:rPr>
                    <w:rFonts w:ascii="Cambria Math" w:hAnsi="Cambria Math"/>
                  </w:rPr>
                </m:ctrlPr>
              </m:accPr>
              <m:e>
                <m:r>
                  <m:rPr/>
                  <w:rPr>
                    <w:rFonts w:ascii="Cambria Math" w:hAnsi="Cambria Math"/>
                  </w:rPr>
                  <m:t>β</m:t>
                </m:r>
                <m:ctrlPr>
                  <w:rPr>
                    <w:rFonts w:ascii="Cambria Math" w:hAnsi="Cambria Math"/>
                  </w:rPr>
                </m:ctrlPr>
              </m:e>
            </m:acc>
            <m:ctrlPr>
              <w:rPr>
                <w:rFonts w:ascii="Cambria Math" w:hAnsi="Cambria Math"/>
              </w:rPr>
            </m:ctrlPr>
          </m:e>
          <m:sub>
            <m:r>
              <m:rPr/>
              <w:rPr>
                <w:rFonts w:ascii="Cambria Math" w:hAnsi="Cambria Math"/>
              </w:rPr>
              <m:t>1</m:t>
            </m:r>
            <m:ctrlPr>
              <w:rPr>
                <w:rFonts w:ascii="Cambria Math" w:hAnsi="Cambria Math"/>
              </w:rPr>
            </m:ctrlPr>
          </m:sub>
        </m:sSub>
      </m:oMath>
      <w:r>
        <w:rPr>
          <w:rFonts w:hint="eastAsia" w:hAnsi="Cambria Math"/>
        </w:rPr>
        <w:t>，</w:t>
      </w:r>
      <w:r>
        <w:rPr>
          <w:rFonts w:hint="eastAsia"/>
        </w:rPr>
        <w:t>即：</w:t>
      </w:r>
    </w:p>
    <w:tbl>
      <w:tblPr>
        <w:tblStyle w:val="2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010"/>
        <w:gridCol w:w="1296"/>
      </w:tblGrid>
      <w:tr w14:paraId="63E9B3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atLeast"/>
        </w:trPr>
        <w:tc>
          <w:tcPr>
            <w:tcW w:w="7010" w:type="dxa"/>
            <w:vAlign w:val="center"/>
          </w:tcPr>
          <w:p w14:paraId="01B5CD9F">
            <w:pPr>
              <w:ind w:firstLine="480"/>
              <w:jc w:val="center"/>
            </w:pPr>
            <m:oMath>
              <m:sSub>
                <m:sSubPr>
                  <m:ctrlPr>
                    <w:rPr>
                      <w:rFonts w:hint="default" w:ascii="DejaVu Math TeX Gyre" w:hAnsi="DejaVu Math TeX Gyre"/>
                    </w:rPr>
                  </m:ctrlPr>
                </m:sSubPr>
                <m:e>
                  <m:acc>
                    <m:accPr>
                      <m:ctrlPr>
                        <w:rPr>
                          <w:rFonts w:hint="default" w:ascii="DejaVu Math TeX Gyre" w:hAnsi="DejaVu Math TeX Gyre"/>
                        </w:rPr>
                      </m:ctrlPr>
                    </m:accPr>
                    <m:e>
                      <m:r>
                        <m:rPr>
                          <m:sty m:val="p"/>
                        </m:rPr>
                        <w:rPr>
                          <w:rFonts w:hint="default" w:ascii="DejaVu Math TeX Gyre" w:hAnsi="DejaVu Math TeX Gyre"/>
                        </w:rPr>
                        <m:t>β</m:t>
                      </m:r>
                      <m:ctrlPr>
                        <w:rPr>
                          <w:rFonts w:ascii="DejaVu Math TeX Gyre" w:hAnsi="DejaVu Math TeX Gyre"/>
                        </w:rPr>
                      </m:ctrlPr>
                    </m:e>
                  </m:acc>
                  <m:ctrlPr>
                    <w:rPr>
                      <w:rFonts w:hint="default" w:ascii="DejaVu Math TeX Gyre" w:hAnsi="DejaVu Math TeX Gyre"/>
                    </w:rPr>
                  </m:ctrlPr>
                </m:e>
                <m:sub>
                  <m:r>
                    <m:rPr>
                      <m:sty m:val="p"/>
                    </m:rPr>
                    <w:rPr>
                      <w:rFonts w:hint="default" w:ascii="DejaVu Math TeX Gyre" w:hAnsi="DejaVu Math TeX Gyre"/>
                    </w:rPr>
                    <m:t>1</m:t>
                  </m:r>
                  <m:ctrlPr>
                    <w:rPr>
                      <w:rFonts w:hint="default" w:ascii="DejaVu Math TeX Gyre" w:hAnsi="DejaVu Math TeX Gyre"/>
                    </w:rPr>
                  </m:ctrlPr>
                </m:sub>
              </m:sSub>
              <m:r>
                <m:rPr>
                  <m:sty m:val="p"/>
                </m:rPr>
                <w:rPr>
                  <w:rFonts w:hint="default" w:ascii="DejaVu Math TeX Gyre" w:hAnsi="DejaVu Math TeX Gyre"/>
                </w:rPr>
                <m:t>=(</m:t>
              </m:r>
              <m:sSub>
                <m:sSubPr>
                  <m:ctrlPr>
                    <w:rPr>
                      <w:rFonts w:hint="default" w:ascii="DejaVu Math TeX Gyre" w:hAnsi="DejaVu Math TeX Gyre"/>
                    </w:rPr>
                  </m:ctrlPr>
                </m:sSubPr>
                <m:e>
                  <m:acc>
                    <m:accPr>
                      <m:chr m:val="̃"/>
                      <m:ctrlPr>
                        <w:rPr>
                          <w:rFonts w:hint="default" w:ascii="DejaVu Math TeX Gyre" w:hAnsi="DejaVu Math TeX Gyre"/>
                        </w:rPr>
                      </m:ctrlPr>
                    </m:accPr>
                    <m:e>
                      <m:r>
                        <m:rPr>
                          <m:sty m:val="p"/>
                        </m:rPr>
                        <w:rPr>
                          <w:rFonts w:hint="default" w:ascii="DejaVu Math TeX Gyre" w:hAnsi="DejaVu Math TeX Gyre"/>
                        </w:rPr>
                        <m:t>X</m:t>
                      </m:r>
                      <m:ctrlPr>
                        <w:rPr>
                          <w:rFonts w:ascii="DejaVu Math TeX Gyre" w:hAnsi="DejaVu Math TeX Gyre"/>
                        </w:rPr>
                      </m:ctrlPr>
                    </m:e>
                  </m:acc>
                  <m:ctrlPr>
                    <w:rPr>
                      <w:rFonts w:hint="default" w:ascii="DejaVu Math TeX Gyre" w:hAnsi="DejaVu Math TeX Gyre"/>
                    </w:rPr>
                  </m:ctrlPr>
                </m:e>
                <m:sub>
                  <m:r>
                    <m:rPr>
                      <m:sty m:val="p"/>
                    </m:rPr>
                    <w:rPr>
                      <w:rFonts w:hint="default" w:ascii="DejaVu Math TeX Gyre" w:hAnsi="DejaVu Math TeX Gyre"/>
                    </w:rPr>
                    <m:t>1</m:t>
                  </m:r>
                  <m:ctrlPr>
                    <w:rPr>
                      <w:rFonts w:hint="default" w:ascii="DejaVu Math TeX Gyre" w:hAnsi="DejaVu Math TeX Gyre"/>
                    </w:rPr>
                  </m:ctrlPr>
                </m:sub>
              </m:sSub>
              <m:r>
                <m:rPr>
                  <m:sty m:val="p"/>
                </m:rPr>
                <w:rPr>
                  <w:rFonts w:hint="default" w:ascii="DejaVu Math TeX Gyre" w:hAnsi="DejaVu Math TeX Gyre"/>
                </w:rPr>
                <m:t>'</m:t>
              </m:r>
              <m:sSub>
                <m:sSubPr>
                  <m:ctrlPr>
                    <w:rPr>
                      <w:rFonts w:hint="default" w:ascii="DejaVu Math TeX Gyre" w:hAnsi="DejaVu Math TeX Gyre"/>
                    </w:rPr>
                  </m:ctrlPr>
                </m:sSubPr>
                <m:e>
                  <m:acc>
                    <m:accPr>
                      <m:chr m:val="̃"/>
                      <m:ctrlPr>
                        <w:rPr>
                          <w:rFonts w:hint="default" w:ascii="DejaVu Math TeX Gyre" w:hAnsi="DejaVu Math TeX Gyre"/>
                        </w:rPr>
                      </m:ctrlPr>
                    </m:accPr>
                    <m:e>
                      <m:r>
                        <m:rPr>
                          <m:sty m:val="p"/>
                        </m:rPr>
                        <w:rPr>
                          <w:rFonts w:hint="default" w:ascii="DejaVu Math TeX Gyre" w:hAnsi="DejaVu Math TeX Gyre"/>
                        </w:rPr>
                        <m:t>X</m:t>
                      </m:r>
                      <m:ctrlPr>
                        <w:rPr>
                          <w:rFonts w:ascii="DejaVu Math TeX Gyre" w:hAnsi="DejaVu Math TeX Gyre"/>
                        </w:rPr>
                      </m:ctrlPr>
                    </m:e>
                  </m:acc>
                  <m:ctrlPr>
                    <w:rPr>
                      <w:rFonts w:hint="default" w:ascii="DejaVu Math TeX Gyre" w:hAnsi="DejaVu Math TeX Gyre"/>
                    </w:rPr>
                  </m:ctrlPr>
                </m:e>
                <m:sub>
                  <m:r>
                    <m:rPr>
                      <m:sty m:val="p"/>
                    </m:rPr>
                    <w:rPr>
                      <w:rFonts w:hint="default" w:ascii="DejaVu Math TeX Gyre" w:hAnsi="DejaVu Math TeX Gyre"/>
                    </w:rPr>
                    <m:t>1</m:t>
                  </m:r>
                  <m:ctrlPr>
                    <w:rPr>
                      <w:rFonts w:hint="default" w:ascii="DejaVu Math TeX Gyre" w:hAnsi="DejaVu Math TeX Gyre"/>
                    </w:rPr>
                  </m:ctrlPr>
                </m:sub>
              </m:sSub>
              <m:sSup>
                <m:sSupPr>
                  <m:ctrlPr>
                    <w:rPr>
                      <w:rFonts w:hint="default" w:ascii="DejaVu Math TeX Gyre" w:hAnsi="DejaVu Math TeX Gyre"/>
                    </w:rPr>
                  </m:ctrlPr>
                </m:sSupPr>
                <m:e>
                  <m:r>
                    <m:rPr>
                      <m:sty m:val="p"/>
                    </m:rPr>
                    <w:rPr>
                      <w:rFonts w:hint="default" w:ascii="DejaVu Math TeX Gyre" w:hAnsi="DejaVu Math TeX Gyre"/>
                    </w:rPr>
                    <m:t>)</m:t>
                  </m:r>
                  <m:ctrlPr>
                    <w:rPr>
                      <w:rFonts w:hint="default" w:ascii="DejaVu Math TeX Gyre" w:hAnsi="DejaVu Math TeX Gyre"/>
                    </w:rPr>
                  </m:ctrlPr>
                </m:e>
                <m:sup>
                  <m:r>
                    <m:rPr>
                      <m:sty m:val="p"/>
                    </m:rPr>
                    <w:rPr>
                      <w:rFonts w:hint="default" w:ascii="DejaVu Math TeX Gyre" w:hAnsi="DejaVu Math TeX Gyre"/>
                    </w:rPr>
                    <m:t>−1</m:t>
                  </m:r>
                  <m:ctrlPr>
                    <w:rPr>
                      <w:rFonts w:hint="default" w:ascii="DejaVu Math TeX Gyre" w:hAnsi="DejaVu Math TeX Gyre"/>
                    </w:rPr>
                  </m:ctrlPr>
                </m:sup>
              </m:sSup>
              <m:sSub>
                <m:sSubPr>
                  <m:ctrlPr>
                    <w:rPr>
                      <w:rFonts w:hint="default" w:ascii="DejaVu Math TeX Gyre" w:hAnsi="DejaVu Math TeX Gyre"/>
                    </w:rPr>
                  </m:ctrlPr>
                </m:sSubPr>
                <m:e>
                  <m:acc>
                    <m:accPr>
                      <m:chr m:val="̃"/>
                      <m:ctrlPr>
                        <w:rPr>
                          <w:rFonts w:hint="default" w:ascii="DejaVu Math TeX Gyre" w:hAnsi="DejaVu Math TeX Gyre"/>
                        </w:rPr>
                      </m:ctrlPr>
                    </m:accPr>
                    <m:e>
                      <m:r>
                        <m:rPr>
                          <m:sty m:val="p"/>
                        </m:rPr>
                        <w:rPr>
                          <w:rFonts w:hint="default" w:ascii="DejaVu Math TeX Gyre" w:hAnsi="DejaVu Math TeX Gyre"/>
                        </w:rPr>
                        <m:t>X</m:t>
                      </m:r>
                      <m:ctrlPr>
                        <w:rPr>
                          <w:rFonts w:ascii="DejaVu Math TeX Gyre" w:hAnsi="DejaVu Math TeX Gyre"/>
                        </w:rPr>
                      </m:ctrlPr>
                    </m:e>
                  </m:acc>
                  <m:ctrlPr>
                    <w:rPr>
                      <w:rFonts w:hint="default" w:ascii="DejaVu Math TeX Gyre" w:hAnsi="DejaVu Math TeX Gyre"/>
                    </w:rPr>
                  </m:ctrlPr>
                </m:e>
                <m:sub>
                  <m:r>
                    <m:rPr>
                      <m:sty m:val="p"/>
                    </m:rPr>
                    <w:rPr>
                      <w:rFonts w:hint="default" w:ascii="DejaVu Math TeX Gyre" w:hAnsi="DejaVu Math TeX Gyre"/>
                    </w:rPr>
                    <m:t>1</m:t>
                  </m:r>
                  <m:ctrlPr>
                    <w:rPr>
                      <w:rFonts w:hint="default" w:ascii="DejaVu Math TeX Gyre" w:hAnsi="DejaVu Math TeX Gyre"/>
                    </w:rPr>
                  </m:ctrlPr>
                </m:sub>
              </m:sSub>
              <m:r>
                <m:rPr>
                  <m:sty m:val="p"/>
                </m:rPr>
                <w:rPr>
                  <w:rFonts w:hint="default" w:ascii="DejaVu Math TeX Gyre" w:hAnsi="DejaVu Math TeX Gyre"/>
                </w:rPr>
                <m:t>'</m:t>
              </m:r>
              <m:sSub>
                <m:sSubPr>
                  <m:ctrlPr>
                    <w:rPr>
                      <w:rFonts w:hint="default" w:ascii="DejaVu Math TeX Gyre" w:hAnsi="DejaVu Math TeX Gyre"/>
                    </w:rPr>
                  </m:ctrlPr>
                </m:sSubPr>
                <m:e>
                  <m:r>
                    <m:rPr>
                      <m:sty m:val="p"/>
                    </m:rPr>
                    <w:rPr>
                      <w:rFonts w:hint="default" w:ascii="DejaVu Math TeX Gyre" w:hAnsi="DejaVu Math TeX Gyre"/>
                    </w:rPr>
                    <m:t>R</m:t>
                  </m:r>
                  <m:ctrlPr>
                    <w:rPr>
                      <w:rFonts w:hint="default" w:ascii="DejaVu Math TeX Gyre" w:hAnsi="DejaVu Math TeX Gyre"/>
                    </w:rPr>
                  </m:ctrlPr>
                </m:e>
                <m:sub>
                  <m:r>
                    <m:rPr>
                      <m:sty m:val="p"/>
                    </m:rPr>
                    <w:rPr>
                      <w:rFonts w:hint="default" w:ascii="DejaVu Math TeX Gyre" w:hAnsi="DejaVu Math TeX Gyre"/>
                    </w:rPr>
                    <m:t>Y</m:t>
                  </m:r>
                  <m:ctrlPr>
                    <w:rPr>
                      <w:rFonts w:hint="default" w:ascii="DejaVu Math TeX Gyre" w:hAnsi="DejaVu Math TeX Gyre"/>
                    </w:rPr>
                  </m:ctrlPr>
                </m:sub>
              </m:sSub>
            </m:oMath>
            <w:r>
              <w:rPr>
                <w:rFonts w:hint="default" w:ascii="DejaVu Math TeX Gyre" w:hAnsi="DejaVu Math TeX Gyre"/>
              </w:rPr>
              <w:t xml:space="preserve"> </w:t>
            </w:r>
          </w:p>
        </w:tc>
        <w:tc>
          <w:tcPr>
            <w:tcW w:w="1296" w:type="dxa"/>
            <w:vAlign w:val="center"/>
          </w:tcPr>
          <w:p w14:paraId="369DEF14">
            <w:pPr>
              <w:ind w:firstLine="480"/>
              <w:jc w:val="right"/>
            </w:pPr>
            <w:r>
              <w:rPr>
                <w:rFonts w:hint="eastAsia"/>
              </w:rPr>
              <w:t>（3）</w:t>
            </w:r>
          </w:p>
        </w:tc>
      </w:tr>
    </w:tbl>
    <w:p w14:paraId="5BC36806">
      <w:pPr>
        <w:ind w:firstLine="480"/>
      </w:pPr>
      <w:r>
        <w:rPr>
          <w:rFonts w:hint="eastAsia"/>
        </w:rPr>
        <w:t>FWL定理揭示了线性回归模型中对特定参数估计的“净化”机制。具体而言，</w:t>
      </w:r>
      <m:oMath>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Y</m:t>
            </m:r>
            <m:ctrlPr>
              <w:rPr>
                <w:rFonts w:ascii="Cambria Math" w:hAnsi="Cambria Math"/>
                <w:i/>
              </w:rPr>
            </m:ctrlPr>
          </m:sub>
        </m:sSub>
      </m:oMath>
      <w:r>
        <w:rPr>
          <w:rFonts w:hint="eastAsia"/>
        </w:rPr>
        <w:t>代表了被解释变量中剔除控制变量线性影响后的剩余变异，</w:t>
      </w:r>
      <m:oMath>
        <m:sSub>
          <m:sSubPr>
            <m:ctrlPr>
              <w:rPr>
                <w:rFonts w:hint="eastAsia" w:ascii="Cambria Math" w:hAnsi="Cambria Math"/>
                <w:i/>
              </w:rPr>
            </m:ctrlPr>
          </m:sSubPr>
          <m:e>
            <m:r>
              <m:rPr/>
              <w:rPr>
                <w:rFonts w:ascii="Cambria Math"/>
              </w:rPr>
              <m:t>R</m:t>
            </m:r>
            <m:ctrlPr>
              <w:rPr>
                <w:rFonts w:hint="eastAsia" w:ascii="Cambria Math" w:hAnsi="Cambria Math"/>
                <w:i/>
              </w:rPr>
            </m:ctrlPr>
          </m:e>
          <m:sub>
            <m:sSub>
              <m:sSubPr>
                <m:ctrlPr>
                  <w:rPr>
                    <w:rFonts w:hint="eastAsia" w:ascii="Cambria Math" w:hAnsi="Cambria Math"/>
                    <w:i/>
                  </w:rPr>
                </m:ctrlPr>
              </m:sSubPr>
              <m:e>
                <m:r>
                  <m:rPr/>
                  <w:rPr>
                    <w:rFonts w:ascii="Cambria Math"/>
                  </w:rPr>
                  <m:t>X</m:t>
                </m:r>
                <m:ctrlPr>
                  <w:rPr>
                    <w:rFonts w:hint="eastAsia" w:ascii="Cambria Math" w:hAnsi="Cambria Math"/>
                    <w:i/>
                  </w:rPr>
                </m:ctrlPr>
              </m:e>
              <m:sub>
                <m:r>
                  <m:rPr/>
                  <w:rPr>
                    <w:rFonts w:ascii="Cambria Math"/>
                  </w:rPr>
                  <m:t>1</m:t>
                </m:r>
                <m:ctrlPr>
                  <w:rPr>
                    <w:rFonts w:hint="eastAsia" w:ascii="Cambria Math" w:hAnsi="Cambria Math"/>
                    <w:i/>
                  </w:rPr>
                </m:ctrlPr>
              </m:sub>
            </m:sSub>
            <m:ctrlPr>
              <w:rPr>
                <w:rFonts w:hint="eastAsia" w:ascii="Cambria Math" w:hAnsi="Cambria Math"/>
                <w:i/>
              </w:rPr>
            </m:ctrlPr>
          </m:sub>
        </m:sSub>
      </m:oMath>
      <w:r>
        <w:rPr>
          <w:rFonts w:hint="eastAsia"/>
        </w:rPr>
        <w:t>代表了核心解释变量中剔除控制变量线性影响后的剩余变异。将两者进行回归，所得系数即为核心解释变量对被解释变量的净效应，该效应已剥离了控制变量的干扰。</w:t>
      </w:r>
    </w:p>
    <w:p w14:paraId="727AA683">
      <w:pPr>
        <w:pStyle w:val="4"/>
        <w:ind w:firstLine="482"/>
      </w:pPr>
      <w:bookmarkStart w:id="26" w:name="_Toc228914693"/>
      <w:r>
        <w:rPr>
          <w:rFonts w:hint="eastAsia"/>
        </w:rPr>
        <w:t>双重机器学习模型设定</w:t>
      </w:r>
      <w:bookmarkEnd w:id="26"/>
    </w:p>
    <w:p w14:paraId="6652E4DA">
      <w:pPr>
        <w:ind w:firstLine="480"/>
      </w:pPr>
      <w:r>
        <w:rPr>
          <w:rFonts w:hint="eastAsia"/>
        </w:rPr>
        <w:t>本文将各城市公共数据开放平台的上线时间与个体差异视为一项准自然实验，构建双重机器学习（Double Machine Learning , DML）模型，系统评估公共数据开放对城市创业活力的因果影响。具体模型设定如下：</w:t>
      </w:r>
      <w:r>
        <w:rPr>
          <w:vertAlign w:val="superscript"/>
        </w:rPr>
        <w:fldChar w:fldCharType="begin"/>
      </w:r>
      <w:r>
        <w:rPr>
          <w:vertAlign w:val="superscript"/>
        </w:rPr>
        <w:instrText xml:space="preserve"> </w:instrText>
      </w:r>
      <w:r>
        <w:rPr>
          <w:rFonts w:hint="eastAsia"/>
          <w:vertAlign w:val="superscript"/>
        </w:rPr>
        <w:instrText xml:space="preserve">REF _Ref228914280 \r \h</w:instrText>
      </w:r>
      <w:r>
        <w:rPr>
          <w:vertAlign w:val="superscript"/>
        </w:rPr>
        <w:instrText xml:space="preserve">  \* MERGEFORMAT </w:instrText>
      </w:r>
      <w:r>
        <w:rPr>
          <w:vertAlign w:val="superscript"/>
        </w:rPr>
        <w:fldChar w:fldCharType="separate"/>
      </w:r>
      <w:r>
        <w:rPr>
          <w:vertAlign w:val="superscript"/>
        </w:rPr>
        <w:t>[24]</w:t>
      </w:r>
      <w:r>
        <w:rPr>
          <w:vertAlign w:val="superscript"/>
        </w:rPr>
        <w:fldChar w:fldCharType="end"/>
      </w:r>
      <w:r>
        <w:rPr>
          <w:vertAlign w:val="superscript"/>
        </w:rPr>
        <w:fldChar w:fldCharType="begin"/>
      </w:r>
      <w:r>
        <w:rPr>
          <w:vertAlign w:val="superscript"/>
        </w:rPr>
        <w:instrText xml:space="preserve"> REF _Ref228914487 \r \h  \* MERGEFORMAT </w:instrText>
      </w:r>
      <w:r>
        <w:rPr>
          <w:vertAlign w:val="superscript"/>
        </w:rPr>
        <w:fldChar w:fldCharType="separate"/>
      </w:r>
      <w:r>
        <w:rPr>
          <w:vertAlign w:val="superscript"/>
        </w:rPr>
        <w:t>[25]</w:t>
      </w:r>
      <w:r>
        <w:rPr>
          <w:vertAlign w:val="superscript"/>
        </w:rPr>
        <w:fldChar w:fldCharType="end"/>
      </w:r>
    </w:p>
    <w:p w14:paraId="15226361">
      <w:pPr>
        <w:ind w:firstLine="480"/>
      </w:pPr>
      <w:r>
        <w:rPr>
          <w:rFonts w:hint="eastAsia"/>
        </w:rPr>
        <w:t>结果方程：</w:t>
      </w:r>
    </w:p>
    <w:tbl>
      <w:tblPr>
        <w:tblStyle w:val="2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010"/>
        <w:gridCol w:w="1296"/>
      </w:tblGrid>
      <w:tr w14:paraId="03A90C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atLeast"/>
        </w:trPr>
        <w:tc>
          <w:tcPr>
            <w:tcW w:w="7010" w:type="dxa"/>
            <w:vAlign w:val="center"/>
          </w:tcPr>
          <w:p w14:paraId="55FC1606">
            <w:pPr>
              <w:ind w:firstLine="480"/>
              <w:jc w:val="center"/>
            </w:pPr>
            <m:oMathPara>
              <m:oMath>
                <m:r>
                  <m:rPr/>
                  <w:rPr>
                    <w:rFonts w:ascii="Cambria Math" w:hAnsi="Cambria Math"/>
                  </w:rPr>
                  <m:t>Y=θD+g(X)+ε, E(ε∣D,X)=0</m:t>
                </m:r>
              </m:oMath>
            </m:oMathPara>
          </w:p>
        </w:tc>
        <w:tc>
          <w:tcPr>
            <w:tcW w:w="1296" w:type="dxa"/>
            <w:vAlign w:val="center"/>
          </w:tcPr>
          <w:p w14:paraId="42E5C450">
            <w:pPr>
              <w:ind w:firstLine="480"/>
              <w:jc w:val="right"/>
            </w:pPr>
            <w:r>
              <w:rPr>
                <w:rFonts w:hint="eastAsia"/>
              </w:rPr>
              <w:t>（4）</w:t>
            </w:r>
          </w:p>
        </w:tc>
      </w:tr>
    </w:tbl>
    <w:p w14:paraId="56342EDA">
      <w:pPr>
        <w:ind w:firstLine="480"/>
      </w:pPr>
      <w:r>
        <w:rPr>
          <w:rFonts w:hint="eastAsia"/>
        </w:rPr>
        <w:t>处理方程：</w:t>
      </w:r>
    </w:p>
    <w:tbl>
      <w:tblPr>
        <w:tblStyle w:val="2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010"/>
        <w:gridCol w:w="1296"/>
      </w:tblGrid>
      <w:tr w14:paraId="554EBE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atLeast"/>
        </w:trPr>
        <w:tc>
          <w:tcPr>
            <w:tcW w:w="7010" w:type="dxa"/>
            <w:vAlign w:val="center"/>
          </w:tcPr>
          <w:p w14:paraId="5959BC0E">
            <w:pPr>
              <w:ind w:firstLine="480"/>
              <w:jc w:val="center"/>
            </w:pPr>
            <m:oMathPara>
              <m:oMath>
                <m:r>
                  <m:rPr/>
                  <w:rPr>
                    <w:rFonts w:ascii="Cambria Math"/>
                  </w:rPr>
                  <m:t>D=m(X)+η, E(η∣X)=0</m:t>
                </m:r>
              </m:oMath>
            </m:oMathPara>
          </w:p>
        </w:tc>
        <w:tc>
          <w:tcPr>
            <w:tcW w:w="1296" w:type="dxa"/>
            <w:vAlign w:val="center"/>
          </w:tcPr>
          <w:p w14:paraId="62904FB5">
            <w:pPr>
              <w:ind w:firstLine="480"/>
              <w:jc w:val="right"/>
            </w:pPr>
            <w:r>
              <w:rPr>
                <w:rFonts w:hint="eastAsia"/>
              </w:rPr>
              <w:t>（5）</w:t>
            </w:r>
          </w:p>
        </w:tc>
      </w:tr>
    </w:tbl>
    <w:p w14:paraId="01D60F79">
      <w:pPr>
        <w:ind w:firstLine="480"/>
      </w:pPr>
      <w:r>
        <w:rPr>
          <w:rFonts w:hint="eastAsia"/>
        </w:rPr>
        <w:t>其中</w:t>
      </w:r>
      <w:r>
        <w:rPr>
          <w:rFonts w:hint="eastAsia"/>
          <w:lang w:eastAsia="zh-CN"/>
        </w:rPr>
        <w:t>，</w:t>
      </w:r>
      <m:oMath>
        <m:r>
          <m:rPr/>
          <w:rPr>
            <w:rFonts w:ascii="Cambria Math" w:hAnsi="Cambria Math"/>
          </w:rPr>
          <m:t>Y</m:t>
        </m:r>
      </m:oMath>
      <w:r>
        <w:rPr>
          <w:rFonts w:hint="eastAsia"/>
        </w:rPr>
        <w:t>为结果变量</w:t>
      </w:r>
      <w:r>
        <w:rPr>
          <w:rFonts w:hint="eastAsia"/>
          <w:lang w:eastAsia="zh-CN"/>
        </w:rPr>
        <w:t>；</w:t>
      </w:r>
      <m:oMath>
        <m:r>
          <m:rPr/>
          <w:rPr>
            <w:rFonts w:ascii="Cambria Math" w:hAnsi="Cambria Math"/>
          </w:rPr>
          <m:t>D</m:t>
        </m:r>
      </m:oMath>
      <w:r>
        <w:rPr>
          <w:rFonts w:hint="eastAsia"/>
        </w:rPr>
        <w:t>为处理变量，表示城市是否开通公共数据开放平台（开通记为1，未开通记为0）；</w:t>
      </w:r>
      <m:oMath>
        <m:r>
          <m:rPr/>
          <w:rPr>
            <w:rFonts w:ascii="Cambria Math" w:hAnsi="Cambria Math"/>
          </w:rPr>
          <m:t>X</m:t>
        </m:r>
      </m:oMath>
      <w:r>
        <w:rPr>
          <w:rFonts w:hint="eastAsia"/>
        </w:rPr>
        <w:t>为高维控制变量集，涵盖城市经济特征、社会特征、政策环境等多维因素；</w:t>
      </w:r>
      <m:oMath>
        <m:r>
          <m:rPr/>
          <w:rPr>
            <w:rFonts w:ascii="Cambria Math" w:hAnsi="Cambria Math"/>
          </w:rPr>
          <m:t>θ</m:t>
        </m:r>
      </m:oMath>
      <w:r>
        <w:rPr>
          <w:rFonts w:hint="eastAsia"/>
        </w:rPr>
        <w:t>为待估计参数，即公共数据开放对城市创业活力的平均因果处理效应（Average</w:t>
      </w:r>
      <w:r>
        <w:rPr>
          <w:rFonts w:hint="eastAsia"/>
          <w:lang w:val="en-US" w:eastAsia="zh-CN"/>
        </w:rPr>
        <w:t xml:space="preserve"> </w:t>
      </w:r>
      <w:r>
        <w:rPr>
          <w:rFonts w:hint="eastAsia"/>
        </w:rPr>
        <w:t>Treatment</w:t>
      </w:r>
      <w:r>
        <w:rPr>
          <w:rFonts w:hint="eastAsia"/>
          <w:lang w:val="en-US" w:eastAsia="zh-CN"/>
        </w:rPr>
        <w:t xml:space="preserve"> </w:t>
      </w:r>
      <w:r>
        <w:rPr>
          <w:rFonts w:hint="eastAsia"/>
        </w:rPr>
        <w:t>Effect,ATE）；</w:t>
      </w:r>
      <m:oMath>
        <m:r>
          <m:rPr/>
          <w:rPr>
            <w:rFonts w:ascii="Cambria Math" w:hAnsi="Cambria Math"/>
          </w:rPr>
          <m:t>g(X)</m:t>
        </m:r>
      </m:oMath>
      <w:r>
        <w:rPr>
          <w:rFonts w:hint="eastAsia"/>
        </w:rPr>
        <w:t>与</w:t>
      </w:r>
      <m:oMath>
        <m:r>
          <m:rPr/>
          <w:rPr>
            <w:rFonts w:ascii="Cambria Math" w:hAnsi="Cambria Math"/>
          </w:rPr>
          <m:t>m(X)</m:t>
        </m:r>
      </m:oMath>
      <w:r>
        <w:rPr>
          <w:rFonts w:hint="eastAsia"/>
        </w:rPr>
        <w:t>为未知函数，分别刻画控制变量对结果变量与处理变量的影响，允许非线性、非参数形式，需借助机器学习方法进行估计；</w:t>
      </w:r>
      <m:oMath>
        <m:r>
          <m:rPr/>
          <w:rPr>
            <w:rFonts w:ascii="Cambria Math" w:hAnsi="Cambria Math"/>
          </w:rPr>
          <m:t>ε</m:t>
        </m:r>
      </m:oMath>
      <w:r>
        <w:rPr>
          <w:rFonts w:hint="eastAsia"/>
        </w:rPr>
        <w:t>与</w:t>
      </w:r>
      <m:oMath>
        <m:r>
          <m:rPr/>
          <w:rPr>
            <w:rFonts w:ascii="Cambria Math" w:hAnsi="Cambria Math"/>
          </w:rPr>
          <m:t>η</m:t>
        </m:r>
      </m:oMath>
      <w:r>
        <w:rPr>
          <w:rFonts w:hint="eastAsia"/>
        </w:rPr>
        <w:t>为误差项，满足条件均值独立假设。</w:t>
      </w:r>
    </w:p>
    <w:p w14:paraId="0C1C4A02">
      <w:pPr>
        <w:ind w:firstLine="480"/>
      </w:pPr>
      <w:r>
        <w:rPr>
          <w:rFonts w:hint="eastAsia"/>
        </w:rPr>
        <w:t>3.估计量与偏误分析</w:t>
      </w:r>
    </w:p>
    <w:p w14:paraId="5E4AC174">
      <w:pPr>
        <w:ind w:firstLine="480"/>
      </w:pPr>
      <w:r>
        <w:rPr>
          <w:rFonts w:hint="eastAsia"/>
        </w:rPr>
        <w:t>对模型（1）与（2）进行直接估计，可得处置系数估计量为：</w:t>
      </w:r>
    </w:p>
    <w:tbl>
      <w:tblPr>
        <w:tblStyle w:val="2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010"/>
        <w:gridCol w:w="1296"/>
      </w:tblGrid>
      <w:tr w14:paraId="7D9607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atLeast"/>
        </w:trPr>
        <w:tc>
          <w:tcPr>
            <w:tcW w:w="7010" w:type="dxa"/>
            <w:vAlign w:val="center"/>
          </w:tcPr>
          <w:p w14:paraId="58D53278">
            <w:pPr>
              <w:spacing w:line="240" w:lineRule="auto"/>
              <w:ind w:firstLine="480"/>
              <w:jc w:val="center"/>
            </w:pPr>
            <m:oMathPara>
              <m:oMathParaPr>
                <m:jc m:val="center"/>
              </m:oMathParaPr>
              <m:oMath>
                <m:sSub>
                  <m:sSubPr>
                    <m:ctrlPr>
                      <w:rPr>
                        <w:rFonts w:ascii="Cambria Math" w:hAnsi="Cambria Math"/>
                      </w:rPr>
                    </m:ctrlPr>
                  </m:sSubPr>
                  <m:e>
                    <m:acc>
                      <m:accPr>
                        <m:ctrlPr>
                          <w:rPr>
                            <w:rFonts w:ascii="Cambria Math" w:hAnsi="Cambria Math"/>
                          </w:rPr>
                        </m:ctrlPr>
                      </m:accPr>
                      <m:e>
                        <m:r>
                          <m:rPr/>
                          <w:rPr>
                            <w:rFonts w:ascii="Cambria Math" w:hAnsi="Cambria Math"/>
                          </w:rPr>
                          <m:t>θ</m:t>
                        </m:r>
                        <m:ctrlPr>
                          <w:rPr>
                            <w:rFonts w:ascii="Cambria Math" w:hAnsi="Cambria Math"/>
                          </w:rPr>
                        </m:ctrlPr>
                      </m:e>
                    </m:acc>
                    <m:ctrlPr>
                      <w:rPr>
                        <w:rFonts w:ascii="Cambria Math" w:hAnsi="Cambria Math"/>
                      </w:rPr>
                    </m:ctrlPr>
                  </m:e>
                  <m:sub>
                    <m:r>
                      <m:rPr/>
                      <w:rPr>
                        <w:rFonts w:ascii="Cambria Math" w:hAnsi="Cambria Math"/>
                      </w:rPr>
                      <m:t>0</m:t>
                    </m:r>
                    <m:ctrlPr>
                      <w:rPr>
                        <w:rFonts w:ascii="Cambria Math" w:hAnsi="Cambria Math"/>
                      </w:rPr>
                    </m:ctrlPr>
                  </m:sub>
                </m:sSub>
                <m:r>
                  <m:rPr>
                    <m:sty m:val="p"/>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n</m:t>
                    </m:r>
                    <m:ctrlPr>
                      <w:rPr>
                        <w:rFonts w:ascii="Cambria Math" w:hAnsi="Cambria Math"/>
                      </w:rPr>
                    </m:ctrlPr>
                  </m:den>
                </m:f>
                <m:nary>
                  <m:naryPr>
                    <m:chr m:val="∑"/>
                    <m:limLoc m:val="undOvr"/>
                    <m:ctrlPr>
                      <w:rPr>
                        <w:rFonts w:ascii="Cambria Math" w:hAnsi="Cambria Math"/>
                      </w:rPr>
                    </m:ctrlPr>
                  </m:naryPr>
                  <m:sub>
                    <m:r>
                      <m:rPr/>
                      <w:rPr>
                        <w:rFonts w:ascii="Cambria Math" w:hAnsi="Cambria Math"/>
                      </w:rPr>
                      <m:t>i</m:t>
                    </m:r>
                    <m:r>
                      <m:rPr>
                        <m:sty m:val="p"/>
                      </m:rPr>
                      <w:rPr>
                        <w:rFonts w:ascii="Cambria Math" w:hAnsi="Cambria Math"/>
                      </w:rPr>
                      <m:t>=</m:t>
                    </m:r>
                    <m:r>
                      <m:rPr/>
                      <w:rPr>
                        <w:rFonts w:ascii="Cambria Math" w:hAnsi="Cambria Math"/>
                      </w:rPr>
                      <m:t>1</m:t>
                    </m:r>
                    <m:ctrlPr>
                      <w:rPr>
                        <w:rFonts w:ascii="Cambria Math" w:hAnsi="Cambria Math"/>
                      </w:rPr>
                    </m:ctrlPr>
                  </m:sub>
                  <m:sup>
                    <m:r>
                      <m:rPr/>
                      <w:rPr>
                        <w:rFonts w:ascii="Cambria Math" w:hAnsi="Cambria Math"/>
                      </w:rPr>
                      <m:t>n</m:t>
                    </m:r>
                    <m:ctrlPr>
                      <w:rPr>
                        <w:rFonts w:ascii="Cambria Math" w:hAnsi="Cambria Math"/>
                      </w:rPr>
                    </m:ctrlPr>
                  </m:sup>
                  <m:e>
                    <m:d>
                      <m:dPr>
                        <m:ctrlPr>
                          <w:rPr>
                            <w:rFonts w:ascii="Cambria Math" w:hAnsi="Cambria Math"/>
                          </w:rPr>
                        </m:ctrlPr>
                      </m:dPr>
                      <m:e>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acc>
                          <m:accPr>
                            <m:ctrlPr>
                              <w:rPr>
                                <w:rFonts w:ascii="Cambria Math" w:hAnsi="Cambria Math"/>
                              </w:rPr>
                            </m:ctrlPr>
                          </m:accPr>
                          <m:e>
                            <m:r>
                              <m:rPr/>
                              <w:rPr>
                                <w:rFonts w:ascii="Cambria Math" w:hAnsi="Cambria Math"/>
                              </w:rPr>
                              <m:t>m</m:t>
                            </m:r>
                            <m:ctrlPr>
                              <w:rPr>
                                <w:rFonts w:ascii="Cambria Math" w:hAnsi="Cambria Math"/>
                              </w:rPr>
                            </m:ctrlPr>
                          </m:e>
                        </m:acc>
                        <m:r>
                          <m:rPr>
                            <m:sty m:val="p"/>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ctrlPr>
                          <w:rPr>
                            <w:rFonts w:ascii="Cambria Math" w:hAnsi="Cambria Math"/>
                          </w:rPr>
                        </m:ctrlPr>
                      </m:e>
                    </m:d>
                    <m:ctrlPr>
                      <w:rPr>
                        <w:rFonts w:ascii="Cambria Math" w:hAnsi="Cambria Math"/>
                      </w:rPr>
                    </m:ctrlPr>
                  </m:e>
                </m:nary>
                <m:d>
                  <m:dPr>
                    <m:ctrlPr>
                      <w:rPr>
                        <w:rFonts w:ascii="Cambria Math" w:hAnsi="Cambria Math"/>
                      </w:rPr>
                    </m:ctrlPr>
                  </m:dPr>
                  <m:e>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acc>
                      <m:accPr>
                        <m:ctrlPr>
                          <w:rPr>
                            <w:rFonts w:ascii="Cambria Math" w:hAnsi="Cambria Math"/>
                          </w:rPr>
                        </m:ctrlPr>
                      </m:accPr>
                      <m:e>
                        <m:r>
                          <m:rPr/>
                          <w:rPr>
                            <w:rFonts w:ascii="Cambria Math" w:hAnsi="Cambria Math"/>
                          </w:rPr>
                          <m:t>g</m:t>
                        </m:r>
                        <m:ctrlPr>
                          <w:rPr>
                            <w:rFonts w:ascii="Cambria Math" w:hAnsi="Cambria Math"/>
                          </w:rPr>
                        </m:ctrlPr>
                      </m:e>
                    </m:acc>
                    <m:r>
                      <m:rPr>
                        <m:sty m:val="p"/>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ctrlPr>
                      <w:rPr>
                        <w:rFonts w:ascii="Cambria Math" w:hAnsi="Cambria Math"/>
                      </w:rPr>
                    </m:ctrlPr>
                  </m:e>
                </m:d>
                <m:r>
                  <m:rPr>
                    <m:sty m:val="p"/>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n</m:t>
                    </m:r>
                    <m:ctrlPr>
                      <w:rPr>
                        <w:rFonts w:ascii="Cambria Math" w:hAnsi="Cambria Math"/>
                      </w:rPr>
                    </m:ctrlPr>
                  </m:den>
                </m:f>
                <m:nary>
                  <m:naryPr>
                    <m:chr m:val="∑"/>
                    <m:limLoc m:val="undOvr"/>
                    <m:ctrlPr>
                      <w:rPr>
                        <w:rFonts w:ascii="Cambria Math" w:hAnsi="Cambria Math"/>
                      </w:rPr>
                    </m:ctrlPr>
                  </m:naryPr>
                  <m:sub>
                    <m:r>
                      <m:rPr/>
                      <w:rPr>
                        <w:rFonts w:ascii="Cambria Math" w:hAnsi="Cambria Math"/>
                      </w:rPr>
                      <m:t>i</m:t>
                    </m:r>
                    <m:r>
                      <m:rPr>
                        <m:sty m:val="p"/>
                      </m:rPr>
                      <w:rPr>
                        <w:rFonts w:ascii="Cambria Math" w:hAnsi="Cambria Math"/>
                      </w:rPr>
                      <m:t>=</m:t>
                    </m:r>
                    <m:r>
                      <m:rPr/>
                      <w:rPr>
                        <w:rFonts w:ascii="Cambria Math" w:hAnsi="Cambria Math"/>
                      </w:rPr>
                      <m:t>1</m:t>
                    </m:r>
                    <m:ctrlPr>
                      <w:rPr>
                        <w:rFonts w:ascii="Cambria Math" w:hAnsi="Cambria Math"/>
                      </w:rPr>
                    </m:ctrlPr>
                  </m:sub>
                  <m:sup>
                    <m:r>
                      <m:rPr/>
                      <w:rPr>
                        <w:rFonts w:ascii="Cambria Math" w:hAnsi="Cambria Math"/>
                      </w:rPr>
                      <m:t>n</m:t>
                    </m:r>
                    <m:ctrlPr>
                      <w:rPr>
                        <w:rFonts w:ascii="Cambria Math" w:hAnsi="Cambria Math"/>
                      </w:rPr>
                    </m:ctrlPr>
                  </m:sup>
                  <m:e>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nary>
                <m:d>
                  <m:dPr>
                    <m:ctrlPr>
                      <w:rPr>
                        <w:rFonts w:ascii="Cambria Math" w:hAnsi="Cambria Math"/>
                      </w:rPr>
                    </m:ctrlPr>
                  </m:dPr>
                  <m:e>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acc>
                      <m:accPr>
                        <m:ctrlPr>
                          <w:rPr>
                            <w:rFonts w:ascii="Cambria Math" w:hAnsi="Cambria Math"/>
                          </w:rPr>
                        </m:ctrlPr>
                      </m:accPr>
                      <m:e>
                        <m:r>
                          <m:rPr/>
                          <w:rPr>
                            <w:rFonts w:ascii="Cambria Math" w:hAnsi="Cambria Math"/>
                          </w:rPr>
                          <m:t>m</m:t>
                        </m:r>
                        <m:ctrlPr>
                          <w:rPr>
                            <w:rFonts w:ascii="Cambria Math" w:hAnsi="Cambria Math"/>
                          </w:rPr>
                        </m:ctrlPr>
                      </m:e>
                    </m:acc>
                    <m:r>
                      <m:rPr>
                        <m:sty m:val="p"/>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ctrlPr>
                      <w:rPr>
                        <w:rFonts w:ascii="Cambria Math" w:hAnsi="Cambria Math"/>
                      </w:rPr>
                    </m:ctrlPr>
                  </m:e>
                </m:d>
              </m:oMath>
            </m:oMathPara>
          </w:p>
        </w:tc>
        <w:tc>
          <w:tcPr>
            <w:tcW w:w="1296" w:type="dxa"/>
            <w:vAlign w:val="center"/>
          </w:tcPr>
          <w:p w14:paraId="05FE086E">
            <w:pPr>
              <w:ind w:firstLine="480"/>
              <w:jc w:val="right"/>
            </w:pPr>
            <w:r>
              <w:rPr>
                <w:rFonts w:hint="eastAsia"/>
              </w:rPr>
              <w:t>（6）</w:t>
            </w:r>
          </w:p>
        </w:tc>
      </w:tr>
    </w:tbl>
    <w:p w14:paraId="5B830E59">
      <w:pPr>
        <w:ind w:firstLine="480"/>
      </w:pPr>
      <w:r>
        <w:rPr>
          <w:rFonts w:hint="eastAsia"/>
        </w:rPr>
        <w:t>其中，</w:t>
      </w:r>
      <m:oMath>
        <m:r>
          <m:rPr/>
          <w:rPr>
            <w:rFonts w:ascii="Cambria Math" w:hAnsi="Cambria Math"/>
          </w:rPr>
          <m:t>n</m:t>
        </m:r>
      </m:oMath>
      <w:r>
        <w:rPr>
          <w:rFonts w:hint="eastAsia"/>
        </w:rPr>
        <w:t>为样本容量。</w:t>
      </w:r>
    </w:p>
    <w:p w14:paraId="4DCA505C">
      <w:pPr>
        <w:ind w:firstLine="480"/>
      </w:pPr>
      <w:r>
        <w:rPr>
          <w:rFonts w:hint="eastAsia"/>
        </w:rPr>
        <w:t>进一步考察该估计量的偏误结构：</w:t>
      </w:r>
    </w:p>
    <w:tbl>
      <w:tblPr>
        <w:tblStyle w:val="2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010"/>
        <w:gridCol w:w="1296"/>
      </w:tblGrid>
      <w:tr w14:paraId="047FE3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atLeast"/>
        </w:trPr>
        <w:tc>
          <w:tcPr>
            <w:tcW w:w="7010" w:type="dxa"/>
            <w:vAlign w:val="center"/>
          </w:tcPr>
          <w:p w14:paraId="631BF929">
            <w:pPr>
              <w:ind w:firstLine="480"/>
              <w:jc w:val="center"/>
            </w:pPr>
            <m:oMathPara>
              <m:oMath>
                <m:rad>
                  <m:radPr>
                    <m:degHide m:val="1"/>
                    <m:ctrlPr>
                      <w:rPr>
                        <w:rFonts w:ascii="Cambria Math" w:hAnsi="Cambria Math"/>
                      </w:rPr>
                    </m:ctrlPr>
                  </m:radPr>
                  <m:deg>
                    <m:ctrlPr>
                      <w:rPr>
                        <w:rFonts w:ascii="Cambria Math" w:hAnsi="Cambria Math"/>
                      </w:rPr>
                    </m:ctrlPr>
                  </m:deg>
                  <m:e>
                    <m:r>
                      <m:rPr/>
                      <w:rPr>
                        <w:rFonts w:ascii="Cambria Math" w:hAnsi="Cambria Math"/>
                      </w:rPr>
                      <m:t>n</m:t>
                    </m:r>
                    <m:ctrlPr>
                      <w:rPr>
                        <w:rFonts w:ascii="Cambria Math" w:hAnsi="Cambria Math"/>
                      </w:rPr>
                    </m:ctrlPr>
                  </m:e>
                </m:rad>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m:rPr/>
                              <w:rPr>
                                <w:rFonts w:ascii="Cambria Math" w:hAnsi="Cambria Math"/>
                              </w:rPr>
                              <m:t>θ</m:t>
                            </m:r>
                            <m:ctrlPr>
                              <w:rPr>
                                <w:rFonts w:ascii="Cambria Math" w:hAnsi="Cambria Math"/>
                              </w:rPr>
                            </m:ctrlPr>
                          </m:e>
                        </m:acc>
                        <m:ctrlPr>
                          <w:rPr>
                            <w:rFonts w:ascii="Cambria Math" w:hAnsi="Cambria Math"/>
                          </w:rPr>
                        </m:ctrlPr>
                      </m:e>
                      <m:sub>
                        <m:r>
                          <m:rPr/>
                          <w:rPr>
                            <w:rFonts w:ascii="Cambria Math" w:hAnsi="Cambria Math"/>
                          </w:rPr>
                          <m:t>0</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θ</m:t>
                        </m:r>
                        <m:ctrlPr>
                          <w:rPr>
                            <w:rFonts w:ascii="Cambria Math" w:hAnsi="Cambria Math"/>
                          </w:rPr>
                        </m:ctrlPr>
                      </m:e>
                      <m:sub>
                        <m:r>
                          <m:rPr/>
                          <w:rPr>
                            <w:rFonts w:ascii="Cambria Math" w:hAnsi="Cambria Math"/>
                          </w:rPr>
                          <m:t>0</m:t>
                        </m:r>
                        <m:ctrlPr>
                          <w:rPr>
                            <w:rFonts w:ascii="Cambria Math" w:hAnsi="Cambria Math"/>
                          </w:rPr>
                        </m:ctrlPr>
                      </m:sub>
                    </m:sSub>
                    <m:ctrlPr>
                      <w:rPr>
                        <w:rFonts w:ascii="Cambria Math" w:hAnsi="Cambria Math"/>
                      </w:rPr>
                    </m:ctrlPr>
                  </m:e>
                </m:d>
                <m:r>
                  <m:rPr>
                    <m:sty m:val="p"/>
                  </m:rPr>
                  <w:rPr>
                    <w:rFonts w:ascii="Cambria Math" w:hAnsi="Cambria Math"/>
                  </w:rPr>
                  <m:t>=</m:t>
                </m:r>
                <m:r>
                  <m:rPr/>
                  <w:rPr>
                    <w:rFonts w:ascii="Cambria Math" w:hAnsi="Cambria Math"/>
                  </w:rPr>
                  <m:t>a</m:t>
                </m:r>
                <m:r>
                  <m:rPr>
                    <m:sty m:val="p"/>
                  </m:rPr>
                  <w:rPr>
                    <w:rFonts w:ascii="Cambria Math" w:hAnsi="Cambria Math"/>
                  </w:rPr>
                  <m:t>+</m:t>
                </m:r>
                <m:r>
                  <m:rPr/>
                  <w:rPr>
                    <w:rFonts w:ascii="Cambria Math" w:hAnsi="Cambria Math"/>
                  </w:rPr>
                  <m:t>b</m:t>
                </m:r>
              </m:oMath>
            </m:oMathPara>
          </w:p>
        </w:tc>
        <w:tc>
          <w:tcPr>
            <w:tcW w:w="1296" w:type="dxa"/>
            <w:vAlign w:val="center"/>
          </w:tcPr>
          <w:p w14:paraId="4332875D">
            <w:pPr>
              <w:ind w:firstLine="480"/>
              <w:jc w:val="right"/>
            </w:pPr>
            <w:r>
              <w:rPr>
                <w:rFonts w:hint="eastAsia"/>
              </w:rPr>
              <w:t>（7）</w:t>
            </w:r>
          </w:p>
        </w:tc>
      </w:tr>
    </w:tbl>
    <w:p w14:paraId="0BB0628E">
      <w:pPr>
        <w:ind w:firstLine="480"/>
      </w:pPr>
      <w:r>
        <w:rPr>
          <w:rFonts w:hint="eastAsia"/>
        </w:rPr>
        <w:t>其中，</w:t>
      </w:r>
      <m:oMath>
        <m:r>
          <m:rPr/>
          <w:rPr>
            <w:rFonts w:ascii="Cambria Math" w:hAnsi="Cambria Math"/>
          </w:rPr>
          <m:t>a</m:t>
        </m:r>
      </m:oMath>
      <w:r>
        <w:rPr>
          <w:rFonts w:hint="eastAsia"/>
        </w:rPr>
        <w:t>服从均值为零的正态分布。需要特别注意的是，</w:t>
      </w:r>
      <m:oMath>
        <m:r>
          <m:rPr/>
          <w:rPr>
            <w:rFonts w:ascii="Cambria Math" w:hAnsi="Cambria Math"/>
          </w:rPr>
          <m:t>b</m:t>
        </m:r>
      </m:oMath>
      <w:r>
        <w:rPr>
          <w:rFonts w:hint="eastAsia"/>
        </w:rPr>
        <w:t>项来源于机器学习估计所引入的“正则偏误”。双重机器学习采用机器学习及其正则化算法估计具体函数形式</w:t>
      </w: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it</m:t>
            </m:r>
            <m:ctrlPr>
              <w:rPr>
                <w:rFonts w:ascii="Cambria Math" w:hAnsi="Cambria Math"/>
              </w:rPr>
            </m:ctrlPr>
          </m:sub>
        </m:sSub>
      </m:oMath>
      <w:r>
        <w:rPr>
          <w:rFonts w:hint="eastAsia"/>
        </w:rPr>
        <w:t>，虽能有效控制估计量方差过大的问题，但也导致估计量不再具有无偏性。具体而言，</w:t>
      </w: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it</m:t>
            </m:r>
            <m:ctrlPr>
              <w:rPr>
                <w:rFonts w:ascii="Cambria Math" w:hAnsi="Cambria Math"/>
              </w:rPr>
            </m:ctrlPr>
          </m:sub>
        </m:sSub>
      </m:oMath>
      <w:r>
        <w:rPr>
          <w:rFonts w:hint="eastAsia"/>
        </w:rPr>
        <w:t>向真实函数</w:t>
      </w:r>
      <m:oMath>
        <m:r>
          <m:rPr/>
          <w:rPr>
            <w:rFonts w:ascii="Cambria Math" w:hAnsi="Cambria Math"/>
          </w:rPr>
          <m:t>g(</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it</m:t>
            </m:r>
            <m:ctrlPr>
              <w:rPr>
                <w:rFonts w:ascii="Cambria Math" w:hAnsi="Cambria Math"/>
              </w:rPr>
            </m:ctrlPr>
          </m:sub>
        </m:sSub>
        <m:r>
          <m:rPr/>
          <w:rPr>
            <w:rFonts w:ascii="Cambria Math" w:hAnsi="Cambria Math"/>
          </w:rPr>
          <m:t>)</m:t>
        </m:r>
      </m:oMath>
      <w:r>
        <w:rPr>
          <w:rFonts w:hint="eastAsia"/>
        </w:rPr>
        <w:t>的收敛速度较慢，即：</w:t>
      </w:r>
    </w:p>
    <w:tbl>
      <w:tblPr>
        <w:tblStyle w:val="2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010"/>
        <w:gridCol w:w="1296"/>
      </w:tblGrid>
      <w:tr w14:paraId="78C9BF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atLeast"/>
        </w:trPr>
        <w:tc>
          <w:tcPr>
            <w:tcW w:w="7010" w:type="dxa"/>
            <w:vAlign w:val="center"/>
          </w:tcPr>
          <w:p w14:paraId="5677A2F7">
            <w:pPr>
              <w:ind w:firstLine="480"/>
              <w:jc w:val="center"/>
            </w:pPr>
            <m:oMathPara>
              <m:oMath>
                <m:sSup>
                  <m:sSupPr>
                    <m:ctrlPr>
                      <w:rPr>
                        <w:rFonts w:ascii="Cambria Math" w:hAnsi="Cambria Math"/>
                      </w:rPr>
                    </m:ctrlPr>
                  </m:sSupPr>
                  <m:e>
                    <m:r>
                      <m:rPr/>
                      <w:rPr>
                        <w:rFonts w:ascii="Cambria Math" w:hAnsi="Cambria Math"/>
                      </w:rPr>
                      <m:t>n</m:t>
                    </m:r>
                    <m:ctrlPr>
                      <w:rPr>
                        <w:rFonts w:ascii="Cambria Math" w:hAnsi="Cambria Math"/>
                      </w:rPr>
                    </m:ctrlPr>
                  </m:e>
                  <m:sup>
                    <m:r>
                      <m:rPr>
                        <m:sty m:val="p"/>
                      </m:rPr>
                      <w:rPr>
                        <w:rFonts w:ascii="Cambria Math" w:hAnsi="Cambria Math"/>
                      </w:rPr>
                      <m:t>−</m:t>
                    </m:r>
                    <m:sSub>
                      <m:sSubPr>
                        <m:ctrlPr>
                          <w:rPr>
                            <w:rFonts w:ascii="Cambria Math" w:hAnsi="Cambria Math"/>
                          </w:rPr>
                        </m:ctrlPr>
                      </m:sSubPr>
                      <m:e>
                        <m:r>
                          <m:rPr/>
                          <w:rPr>
                            <w:rFonts w:ascii="Cambria Math" w:hAnsi="Cambria Math"/>
                          </w:rPr>
                          <m:t>ϕ</m:t>
                        </m:r>
                        <m:ctrlPr>
                          <w:rPr>
                            <w:rFonts w:ascii="Cambria Math" w:hAnsi="Cambria Math"/>
                          </w:rPr>
                        </m:ctrlPr>
                      </m:e>
                      <m:sub>
                        <m:r>
                          <m:rPr/>
                          <w:rPr>
                            <w:rFonts w:ascii="Cambria Math" w:hAnsi="Cambria Math"/>
                          </w:rPr>
                          <m:t>g</m:t>
                        </m:r>
                        <m:ctrlPr>
                          <w:rPr>
                            <w:rFonts w:ascii="Cambria Math" w:hAnsi="Cambria Math"/>
                          </w:rPr>
                        </m:ctrlPr>
                      </m:sub>
                    </m:sSub>
                    <m:ctrlPr>
                      <w:rPr>
                        <w:rFonts w:ascii="Cambria Math" w:hAnsi="Cambria Math"/>
                      </w:rPr>
                    </m:ctrlPr>
                  </m:sup>
                </m:sSup>
                <m:r>
                  <m:rPr>
                    <m:sty m:val="p"/>
                  </m:rPr>
                  <w:rPr>
                    <w:rFonts w:ascii="Cambria Math" w:hAnsi="Cambria Math"/>
                  </w:rPr>
                  <m:t>&gt;</m:t>
                </m:r>
                <m:sSup>
                  <m:sSupPr>
                    <m:ctrlPr>
                      <w:rPr>
                        <w:rFonts w:ascii="Cambria Math" w:hAnsi="Cambria Math"/>
                      </w:rPr>
                    </m:ctrlPr>
                  </m:sSupPr>
                  <m:e>
                    <m:r>
                      <m:rPr/>
                      <w:rPr>
                        <w:rFonts w:ascii="Cambria Math" w:hAnsi="Cambria Math"/>
                      </w:rPr>
                      <m:t>n</m:t>
                    </m:r>
                    <m:ctrlPr>
                      <w:rPr>
                        <w:rFonts w:ascii="Cambria Math" w:hAnsi="Cambria Math"/>
                      </w:rPr>
                    </m:ctrlPr>
                  </m:e>
                  <m:sup>
                    <m:r>
                      <m:rPr>
                        <m:sty m:val="p"/>
                      </m:rPr>
                      <w:rPr>
                        <w:rFonts w:ascii="Cambria Math" w:hAnsi="Cambria Math"/>
                      </w:rPr>
                      <m:t>−</m:t>
                    </m:r>
                    <m:r>
                      <m:rPr/>
                      <w:rPr>
                        <w:rFonts w:ascii="Cambria Math" w:hAnsi="Cambria Math"/>
                      </w:rPr>
                      <m:t>1</m:t>
                    </m:r>
                    <m:r>
                      <m:rPr>
                        <m:sty m:val="p"/>
                      </m:rPr>
                      <w:rPr>
                        <w:rFonts w:ascii="Cambria Math" w:hAnsi="Cambria Math"/>
                      </w:rPr>
                      <m:t>/</m:t>
                    </m:r>
                    <m:r>
                      <m:rPr/>
                      <w:rPr>
                        <w:rFonts w:ascii="Cambria Math" w:hAnsi="Cambria Math"/>
                      </w:rPr>
                      <m:t>2</m:t>
                    </m:r>
                    <m:ctrlPr>
                      <w:rPr>
                        <w:rFonts w:ascii="Cambria Math" w:hAnsi="Cambria Math"/>
                      </w:rPr>
                    </m:ctrlPr>
                  </m:sup>
                </m:sSup>
              </m:oMath>
            </m:oMathPara>
          </w:p>
        </w:tc>
        <w:tc>
          <w:tcPr>
            <w:tcW w:w="1296" w:type="dxa"/>
            <w:vAlign w:val="center"/>
          </w:tcPr>
          <w:p w14:paraId="46B3BF96">
            <w:pPr>
              <w:ind w:firstLine="480"/>
              <w:jc w:val="right"/>
            </w:pPr>
            <w:r>
              <w:rPr>
                <w:rFonts w:hint="eastAsia"/>
              </w:rPr>
              <w:t>（8）</w:t>
            </w:r>
          </w:p>
        </w:tc>
      </w:tr>
    </w:tbl>
    <w:p w14:paraId="05A5B6CF">
      <w:pPr>
        <w:ind w:firstLine="480"/>
      </w:pPr>
      <w:r>
        <w:rPr>
          <w:rFonts w:hint="eastAsia"/>
        </w:rPr>
        <w:t>这意味着，当样本量</w:t>
      </w:r>
      <m:oMath>
        <m:r>
          <m:rPr/>
          <w:rPr>
            <w:rFonts w:ascii="Cambria Math" w:hAnsi="Cambria Math"/>
          </w:rPr>
          <m:t>n</m:t>
        </m:r>
      </m:oMath>
      <w:r>
        <w:rPr>
          <w:rFonts w:hint="eastAsia"/>
        </w:rPr>
        <w:t>趋于无穷大时，</w:t>
      </w:r>
      <m:oMath>
        <m:r>
          <m:rPr/>
          <w:rPr>
            <w:rFonts w:ascii="Cambria Math" w:hAnsi="Cambria Math"/>
          </w:rPr>
          <m:t>b</m:t>
        </m:r>
      </m:oMath>
      <w:r>
        <w:rPr>
          <w:rFonts w:hint="eastAsia"/>
        </w:rPr>
        <w:t>项亦趋于无穷大，从而</w:t>
      </w:r>
      <m:oMath>
        <m:sSub>
          <m:sSubPr>
            <m:ctrlPr>
              <w:rPr>
                <w:rFonts w:ascii="Cambria Math" w:hAnsi="Cambria Math"/>
              </w:rPr>
            </m:ctrlPr>
          </m:sSubPr>
          <m:e>
            <m:acc>
              <m:accPr>
                <m:ctrlPr>
                  <w:rPr>
                    <w:rFonts w:ascii="Cambria Math" w:hAnsi="Cambria Math"/>
                  </w:rPr>
                </m:ctrlPr>
              </m:accPr>
              <m:e>
                <m:r>
                  <m:rPr/>
                  <w:rPr>
                    <w:rFonts w:ascii="Cambria Math" w:hAnsi="Cambria Math"/>
                  </w:rPr>
                  <m:t>θ</m:t>
                </m:r>
                <m:ctrlPr>
                  <w:rPr>
                    <w:rFonts w:ascii="Cambria Math" w:hAnsi="Cambria Math"/>
                  </w:rPr>
                </m:ctrlPr>
              </m:e>
            </m:acc>
            <m:ctrlPr>
              <w:rPr>
                <w:rFonts w:ascii="Cambria Math" w:hAnsi="Cambria Math"/>
              </w:rPr>
            </m:ctrlPr>
          </m:e>
          <m:sub>
            <m:r>
              <m:rPr/>
              <w:rPr>
                <w:rFonts w:ascii="Cambria Math" w:hAnsi="Cambria Math"/>
              </w:rPr>
              <m:t>0</m:t>
            </m:r>
            <m:ctrlPr>
              <w:rPr>
                <w:rFonts w:ascii="Cambria Math" w:hAnsi="Cambria Math"/>
              </w:rPr>
            </m:ctrlPr>
          </m:sub>
        </m:sSub>
      </m:oMath>
      <w:r>
        <w:rPr>
          <w:rFonts w:hint="eastAsia"/>
        </w:rPr>
        <w:t>难以收敛于真实参数</w:t>
      </w:r>
      <m:oMath>
        <m:sSub>
          <m:sSubPr>
            <m:ctrlPr>
              <w:rPr>
                <w:rFonts w:ascii="Cambria Math" w:hAnsi="Cambria Math"/>
              </w:rPr>
            </m:ctrlPr>
          </m:sSubPr>
          <m:e>
            <m:r>
              <m:rPr/>
              <w:rPr>
                <w:rFonts w:ascii="Cambria Math" w:hAnsi="Cambria Math"/>
              </w:rPr>
              <m:t>θ</m:t>
            </m:r>
            <m:ctrlPr>
              <w:rPr>
                <w:rFonts w:ascii="Cambria Math" w:hAnsi="Cambria Math"/>
              </w:rPr>
            </m:ctrlPr>
          </m:e>
          <m:sub>
            <m:r>
              <m:rPr/>
              <w:rPr>
                <w:rFonts w:ascii="Cambria Math" w:hAnsi="Cambria Math"/>
              </w:rPr>
              <m:t>0</m:t>
            </m:r>
            <m:ctrlPr>
              <w:rPr>
                <w:rFonts w:ascii="Cambria Math" w:hAnsi="Cambria Math"/>
              </w:rPr>
            </m:ctrlPr>
          </m:sub>
        </m:sSub>
      </m:oMath>
      <w:r>
        <w:rPr>
          <w:rFonts w:hint="eastAsia"/>
        </w:rPr>
        <w:t>。</w:t>
      </w:r>
    </w:p>
    <w:p w14:paraId="4162C704">
      <w:pPr>
        <w:ind w:firstLine="480"/>
      </w:pPr>
      <w:r>
        <w:rPr>
          <w:rFonts w:hint="eastAsia"/>
        </w:rPr>
        <w:t>4.辅助回归与偏误修正</w:t>
      </w:r>
    </w:p>
    <w:p w14:paraId="0579B78D">
      <w:pPr>
        <w:ind w:firstLine="480"/>
      </w:pPr>
      <w:r>
        <w:rPr>
          <w:rFonts w:hint="eastAsia"/>
        </w:rPr>
        <w:t>为加快收敛速度，使得处置系数估计量在小样本条件下满足无偏性，本文进一步构建辅助回归方程：</w:t>
      </w:r>
    </w:p>
    <w:tbl>
      <w:tblPr>
        <w:tblStyle w:val="2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010"/>
        <w:gridCol w:w="1416"/>
      </w:tblGrid>
      <w:tr w14:paraId="51A254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atLeast"/>
        </w:trPr>
        <w:tc>
          <w:tcPr>
            <w:tcW w:w="7010" w:type="dxa"/>
            <w:vAlign w:val="center"/>
          </w:tcPr>
          <w:p w14:paraId="14A8C1BB">
            <w:pPr>
              <w:ind w:firstLine="480"/>
              <w:jc w:val="center"/>
            </w:pPr>
            <m:oMathPara>
              <m:oMath>
                <m:r>
                  <m:rPr/>
                  <w:rPr>
                    <w:rFonts w:ascii="Cambria Math" w:hAnsi="Cambria Math"/>
                  </w:rPr>
                  <m:t>Y</m:t>
                </m:r>
                <m:r>
                  <m:rPr>
                    <m:sty m:val="p"/>
                  </m:rPr>
                  <w:rPr>
                    <w:rFonts w:ascii="Cambria Math" w:hAnsi="Cambria Math"/>
                  </w:rPr>
                  <m:t>−</m:t>
                </m:r>
                <m:acc>
                  <m:accPr>
                    <m:ctrlPr>
                      <w:rPr>
                        <w:rFonts w:ascii="Cambria Math" w:hAnsi="Cambria Math"/>
                      </w:rPr>
                    </m:ctrlPr>
                  </m:accPr>
                  <m:e>
                    <m:r>
                      <m:rPr/>
                      <w:rPr>
                        <w:rFonts w:ascii="Cambria Math" w:hAnsi="Cambria Math"/>
                      </w:rPr>
                      <m:t>g</m:t>
                    </m:r>
                    <m:ctrlPr>
                      <w:rPr>
                        <w:rFonts w:ascii="Cambria Math" w:hAnsi="Cambria Math"/>
                      </w:rPr>
                    </m:ctrlPr>
                  </m:e>
                </m:acc>
                <m:r>
                  <m:rPr>
                    <m:sty m:val="p"/>
                  </m:rPr>
                  <w:rPr>
                    <w:rFonts w:ascii="Cambria Math" w:hAnsi="Cambria Math"/>
                  </w:rPr>
                  <m:t>(</m:t>
                </m:r>
                <m:r>
                  <m:rPr/>
                  <w:rPr>
                    <w:rFonts w:ascii="Cambria Math" w:hAnsi="Cambria Math"/>
                  </w:rPr>
                  <m:t>X</m:t>
                </m:r>
                <m:r>
                  <m:rPr>
                    <m:sty m:val="p"/>
                  </m:rPr>
                  <w:rPr>
                    <w:rFonts w:ascii="Cambria Math" w:hAnsi="Cambria Math"/>
                  </w:rPr>
                  <m:t>)=</m:t>
                </m:r>
                <m:r>
                  <m:rPr/>
                  <w:rPr>
                    <w:rFonts w:ascii="Cambria Math" w:hAnsi="Cambria Math"/>
                  </w:rPr>
                  <m:t>θ</m:t>
                </m:r>
                <m:d>
                  <m:dPr>
                    <m:ctrlPr>
                      <w:rPr>
                        <w:rFonts w:ascii="Cambria Math" w:hAnsi="Cambria Math"/>
                      </w:rPr>
                    </m:ctrlPr>
                  </m:dPr>
                  <m:e>
                    <m:r>
                      <m:rPr/>
                      <w:rPr>
                        <w:rFonts w:ascii="Cambria Math" w:hAnsi="Cambria Math"/>
                      </w:rPr>
                      <m:t>D</m:t>
                    </m:r>
                    <m:r>
                      <m:rPr>
                        <m:sty m:val="p"/>
                      </m:rPr>
                      <w:rPr>
                        <w:rFonts w:ascii="Cambria Math" w:hAnsi="Cambria Math"/>
                      </w:rPr>
                      <m:t>−</m:t>
                    </m:r>
                    <m:acc>
                      <m:accPr>
                        <m:ctrlPr>
                          <w:rPr>
                            <w:rFonts w:ascii="Cambria Math" w:hAnsi="Cambria Math"/>
                          </w:rPr>
                        </m:ctrlPr>
                      </m:accPr>
                      <m:e>
                        <m:r>
                          <m:rPr/>
                          <w:rPr>
                            <w:rFonts w:ascii="Cambria Math" w:hAnsi="Cambria Math"/>
                          </w:rPr>
                          <m:t>m</m:t>
                        </m:r>
                        <m:ctrlPr>
                          <w:rPr>
                            <w:rFonts w:ascii="Cambria Math" w:hAnsi="Cambria Math"/>
                          </w:rPr>
                        </m:ctrlPr>
                      </m:e>
                    </m:acc>
                    <m:r>
                      <m:rPr>
                        <m:sty m:val="p"/>
                      </m:rPr>
                      <w:rPr>
                        <w:rFonts w:ascii="Cambria Math" w:hAnsi="Cambria Math"/>
                      </w:rPr>
                      <m:t>(</m:t>
                    </m:r>
                    <m:r>
                      <m:rPr/>
                      <w:rPr>
                        <w:rFonts w:ascii="Cambria Math" w:hAnsi="Cambria Math"/>
                      </w:rPr>
                      <m:t>X</m:t>
                    </m:r>
                    <m:r>
                      <m:rPr>
                        <m:sty m:val="p"/>
                      </m:rPr>
                      <w:rPr>
                        <w:rFonts w:ascii="Cambria Math" w:hAnsi="Cambria Math"/>
                      </w:rPr>
                      <m:t>)</m:t>
                    </m:r>
                    <m:ctrlPr>
                      <w:rPr>
                        <w:rFonts w:ascii="Cambria Math" w:hAnsi="Cambria Math"/>
                      </w:rPr>
                    </m:ctrlPr>
                  </m:e>
                </m:d>
                <m:r>
                  <m:rPr>
                    <m:sty m:val="p"/>
                  </m:rPr>
                  <w:rPr>
                    <w:rFonts w:ascii="Cambria Math" w:hAnsi="Cambria Math"/>
                  </w:rPr>
                  <m:t>+</m:t>
                </m:r>
                <m:r>
                  <m:rPr/>
                  <w:rPr>
                    <w:rFonts w:ascii="Cambria Math" w:hAnsi="Cambria Math"/>
                  </w:rPr>
                  <m:t>ϵ</m:t>
                </m:r>
              </m:oMath>
            </m:oMathPara>
          </w:p>
        </w:tc>
        <w:tc>
          <w:tcPr>
            <w:tcW w:w="1296" w:type="dxa"/>
            <w:vAlign w:val="center"/>
          </w:tcPr>
          <w:p w14:paraId="291CD19E">
            <w:pPr>
              <w:ind w:firstLine="480"/>
              <w:jc w:val="right"/>
            </w:pPr>
            <w:r>
              <w:rPr>
                <w:rFonts w:hint="eastAsia"/>
              </w:rPr>
              <w:t>（9）</w:t>
            </w:r>
          </w:p>
        </w:tc>
      </w:tr>
      <w:tr w14:paraId="5B4480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atLeast"/>
        </w:trPr>
        <w:tc>
          <w:tcPr>
            <w:tcW w:w="7010" w:type="dxa"/>
            <w:vAlign w:val="center"/>
          </w:tcPr>
          <w:p w14:paraId="280C22D4">
            <w:pPr>
              <w:ind w:firstLine="480"/>
              <w:jc w:val="center"/>
            </w:pPr>
            <m:oMathPara>
              <m:oMath>
                <m:r>
                  <m:rPr/>
                  <w:rPr>
                    <w:rFonts w:ascii="Cambria Math" w:hAnsi="Cambria Math"/>
                  </w:rPr>
                  <m:t>ϵ</m:t>
                </m:r>
                <m:r>
                  <m:rPr>
                    <m:sty m:val="p"/>
                  </m:rPr>
                  <w:rPr>
                    <w:rFonts w:ascii="Cambria Math" w:hAnsi="Cambria Math"/>
                  </w:rPr>
                  <m:t>=</m:t>
                </m:r>
                <m:r>
                  <m:rPr/>
                  <w:rPr>
                    <w:rFonts w:ascii="Cambria Math" w:hAnsi="Cambria Math"/>
                  </w:rPr>
                  <m:t>ε</m:t>
                </m:r>
                <m:r>
                  <m:rPr>
                    <m:sty m:val="p"/>
                  </m:rPr>
                  <w:rPr>
                    <w:rFonts w:ascii="Cambria Math" w:hAnsi="Cambria Math"/>
                  </w:rPr>
                  <m:t>+</m:t>
                </m:r>
                <m:d>
                  <m:dPr>
                    <m:ctrlPr>
                      <w:rPr>
                        <w:rFonts w:ascii="Cambria Math" w:hAnsi="Cambria Math"/>
                      </w:rPr>
                    </m:ctrlPr>
                  </m:dPr>
                  <m:e>
                    <m:r>
                      <m:rPr/>
                      <w:rPr>
                        <w:rFonts w:ascii="Cambria Math" w:hAnsi="Cambria Math"/>
                      </w:rPr>
                      <m:t>g</m:t>
                    </m:r>
                    <m:r>
                      <m:rPr>
                        <m:sty m:val="p"/>
                      </m:rPr>
                      <w:rPr>
                        <w:rFonts w:ascii="Cambria Math" w:hAnsi="Cambria Math"/>
                      </w:rPr>
                      <m:t>(</m:t>
                    </m:r>
                    <m:r>
                      <m:rPr/>
                      <w:rPr>
                        <w:rFonts w:ascii="Cambria Math" w:hAnsi="Cambria Math"/>
                      </w:rPr>
                      <m:t>X</m:t>
                    </m:r>
                    <m:r>
                      <m:rPr>
                        <m:sty m:val="p"/>
                      </m:rPr>
                      <w:rPr>
                        <w:rFonts w:ascii="Cambria Math" w:hAnsi="Cambria Math"/>
                      </w:rPr>
                      <m:t>)−</m:t>
                    </m:r>
                    <m:acc>
                      <m:accPr>
                        <m:ctrlPr>
                          <w:rPr>
                            <w:rFonts w:ascii="Cambria Math" w:hAnsi="Cambria Math"/>
                          </w:rPr>
                        </m:ctrlPr>
                      </m:accPr>
                      <m:e>
                        <m:r>
                          <m:rPr/>
                          <w:rPr>
                            <w:rFonts w:ascii="Cambria Math" w:hAnsi="Cambria Math"/>
                          </w:rPr>
                          <m:t>g</m:t>
                        </m:r>
                        <m:ctrlPr>
                          <w:rPr>
                            <w:rFonts w:ascii="Cambria Math" w:hAnsi="Cambria Math"/>
                          </w:rPr>
                        </m:ctrlPr>
                      </m:e>
                    </m:acc>
                    <m:r>
                      <m:rPr>
                        <m:sty m:val="p"/>
                      </m:rPr>
                      <w:rPr>
                        <w:rFonts w:ascii="Cambria Math" w:hAnsi="Cambria Math"/>
                      </w:rPr>
                      <m:t>(</m:t>
                    </m:r>
                    <m:r>
                      <m:rPr/>
                      <w:rPr>
                        <w:rFonts w:ascii="Cambria Math" w:hAnsi="Cambria Math"/>
                      </w:rPr>
                      <m:t>X</m:t>
                    </m:r>
                    <m:r>
                      <m:rPr>
                        <m:sty m:val="p"/>
                      </m:rPr>
                      <w:rPr>
                        <w:rFonts w:ascii="Cambria Math" w:hAnsi="Cambria Math"/>
                      </w:rPr>
                      <m:t>)</m:t>
                    </m:r>
                    <m:ctrlPr>
                      <w:rPr>
                        <w:rFonts w:ascii="Cambria Math" w:hAnsi="Cambria Math"/>
                      </w:rPr>
                    </m:ctrlPr>
                  </m:e>
                </m:d>
                <m:r>
                  <m:rPr>
                    <m:sty m:val="p"/>
                  </m:rPr>
                  <w:rPr>
                    <w:rFonts w:ascii="Cambria Math" w:hAnsi="Cambria Math"/>
                  </w:rPr>
                  <m:t>+</m:t>
                </m:r>
                <m:r>
                  <m:rPr/>
                  <w:rPr>
                    <w:rFonts w:ascii="Cambria Math" w:hAnsi="Cambria Math"/>
                  </w:rPr>
                  <m:t>θ</m:t>
                </m:r>
                <m:d>
                  <m:dPr>
                    <m:ctrlPr>
                      <w:rPr>
                        <w:rFonts w:ascii="Cambria Math" w:hAnsi="Cambria Math"/>
                      </w:rPr>
                    </m:ctrlPr>
                  </m:dPr>
                  <m:e>
                    <m:acc>
                      <m:accPr>
                        <m:ctrlPr>
                          <w:rPr>
                            <w:rFonts w:ascii="Cambria Math" w:hAnsi="Cambria Math"/>
                          </w:rPr>
                        </m:ctrlPr>
                      </m:accPr>
                      <m:e>
                        <m:r>
                          <m:rPr/>
                          <w:rPr>
                            <w:rFonts w:ascii="Cambria Math" w:hAnsi="Cambria Math"/>
                          </w:rPr>
                          <m:t>m</m:t>
                        </m:r>
                        <m:ctrlPr>
                          <w:rPr>
                            <w:rFonts w:ascii="Cambria Math" w:hAnsi="Cambria Math"/>
                          </w:rPr>
                        </m:ctrlPr>
                      </m:e>
                    </m:acc>
                    <m:r>
                      <m:rPr>
                        <m:sty m:val="p"/>
                      </m:rPr>
                      <w:rPr>
                        <w:rFonts w:ascii="Cambria Math" w:hAnsi="Cambria Math"/>
                      </w:rPr>
                      <m:t>(</m:t>
                    </m:r>
                    <m:r>
                      <m:rPr/>
                      <w:rPr>
                        <w:rFonts w:ascii="Cambria Math" w:hAnsi="Cambria Math"/>
                      </w:rPr>
                      <m:t>X</m:t>
                    </m:r>
                    <m:r>
                      <m:rPr>
                        <m:sty m:val="p"/>
                      </m:rPr>
                      <w:rPr>
                        <w:rFonts w:ascii="Cambria Math" w:hAnsi="Cambria Math"/>
                      </w:rPr>
                      <m:t>)−</m:t>
                    </m:r>
                    <m:r>
                      <m:rPr/>
                      <w:rPr>
                        <w:rFonts w:ascii="Cambria Math" w:hAnsi="Cambria Math"/>
                      </w:rPr>
                      <m:t>m</m:t>
                    </m:r>
                    <m:r>
                      <m:rPr>
                        <m:sty m:val="p"/>
                      </m:rPr>
                      <w:rPr>
                        <w:rFonts w:ascii="Cambria Math" w:hAnsi="Cambria Math"/>
                      </w:rPr>
                      <m:t>(</m:t>
                    </m:r>
                    <m:r>
                      <m:rPr/>
                      <w:rPr>
                        <w:rFonts w:ascii="Cambria Math" w:hAnsi="Cambria Math"/>
                      </w:rPr>
                      <m:t>X</m:t>
                    </m:r>
                    <m:r>
                      <m:rPr>
                        <m:sty m:val="p"/>
                      </m:rPr>
                      <w:rPr>
                        <w:rFonts w:ascii="Cambria Math" w:hAnsi="Cambria Math"/>
                      </w:rPr>
                      <m:t>)</m:t>
                    </m:r>
                    <m:ctrlPr>
                      <w:rPr>
                        <w:rFonts w:ascii="Cambria Math" w:hAnsi="Cambria Math"/>
                      </w:rPr>
                    </m:ctrlPr>
                  </m:e>
                </m:d>
              </m:oMath>
            </m:oMathPara>
          </w:p>
        </w:tc>
        <w:tc>
          <w:tcPr>
            <w:tcW w:w="1296" w:type="dxa"/>
            <w:vAlign w:val="center"/>
          </w:tcPr>
          <w:p w14:paraId="74A0E37F">
            <w:pPr>
              <w:ind w:firstLine="480"/>
              <w:jc w:val="right"/>
            </w:pPr>
            <w:r>
              <w:rPr>
                <w:rFonts w:hint="eastAsia"/>
              </w:rPr>
              <w:t>（10）</w:t>
            </w:r>
          </w:p>
        </w:tc>
      </w:tr>
    </w:tbl>
    <w:p w14:paraId="413558D1">
      <w:pPr>
        <w:ind w:firstLine="480"/>
      </w:pPr>
      <w:r>
        <w:rPr>
          <w:rFonts w:hint="eastAsia"/>
        </w:rPr>
        <w:t>通过上述辅助回归，可有效降低正则偏误对参数估计的影响，提升估计量的有限样本性质，从而更可靠地识别公共数据开放对企业诉求的因果效应。</w:t>
      </w:r>
    </w:p>
    <w:p w14:paraId="369D1FB8">
      <w:pPr>
        <w:pStyle w:val="2"/>
        <w:rPr>
          <w:rFonts w:hint="eastAsia"/>
        </w:rPr>
      </w:pPr>
      <w:bookmarkStart w:id="27" w:name="_Toc228914694"/>
      <w:r>
        <w:rPr>
          <w:rFonts w:hint="eastAsia"/>
        </w:rPr>
        <w:t>实证分析</w:t>
      </w:r>
      <w:bookmarkEnd w:id="27"/>
    </w:p>
    <w:p w14:paraId="44D6AEDC">
      <w:pPr>
        <w:pStyle w:val="3"/>
        <w:numPr>
          <w:ilvl w:val="1"/>
          <w:numId w:val="3"/>
        </w:numPr>
        <w:rPr>
          <w:lang w:eastAsia="zh"/>
        </w:rPr>
      </w:pPr>
      <w:bookmarkStart w:id="28" w:name="_Toc228914695"/>
      <w:r>
        <w:rPr>
          <w:rFonts w:hint="eastAsia"/>
          <w:lang w:eastAsia="zh"/>
        </w:rPr>
        <w:t>基准回归分析</w:t>
      </w:r>
      <w:bookmarkEnd w:id="28"/>
    </w:p>
    <w:p w14:paraId="23A3237B">
      <w:pPr>
        <w:widowControl/>
        <w:ind w:firstLine="480"/>
        <w:jc w:val="left"/>
        <w:rPr>
          <w:vertAlign w:val="superscript"/>
          <w:lang w:eastAsia="zh"/>
        </w:rPr>
      </w:pPr>
      <w:r>
        <w:rPr>
          <w:rFonts w:hint="eastAsia"/>
          <w:lang w:eastAsia="zh"/>
        </w:rPr>
        <w:t>本文运用双重机器学习模型考察公共数据开放对</w:t>
      </w:r>
      <w:r>
        <w:rPr>
          <w:rFonts w:hint="eastAsia"/>
        </w:rPr>
        <w:t>企业诉求</w:t>
      </w:r>
      <w:r>
        <w:rPr>
          <w:rFonts w:hint="eastAsia"/>
          <w:lang w:eastAsia="zh"/>
        </w:rPr>
        <w:t>的影响。在模型估计中，样本分割比例设置为1:4，并采用随机森林（Random Forest）作为核心机器学习算法进行因果识别。选择该算法的主要原因在于：第一，随机森林通过集成多个决策树进行预测，能够有效处理高维控制变量与非线性关系，无需预设函数形式，具备较强的灵活性与稳健性；第二，该算法通过随机抽样与特征子集选择机制，降低了单一决策树的过拟合风险，提升了模型的泛化能力；第三，随机森林能够输出变量的重要性排序，有助于识别影响</w:t>
      </w:r>
      <w:r>
        <w:rPr>
          <w:rFonts w:hint="eastAsia"/>
        </w:rPr>
        <w:t>企业诉求</w:t>
      </w:r>
      <w:r>
        <w:rPr>
          <w:rFonts w:hint="eastAsia"/>
          <w:lang w:eastAsia="zh"/>
        </w:rPr>
        <w:t>的关键因素，契合本文高维控制变量下因果识别的分析需求。</w:t>
      </w:r>
      <w:r>
        <w:rPr>
          <w:vertAlign w:val="superscript"/>
          <w:lang w:eastAsia="zh"/>
        </w:rPr>
        <w:fldChar w:fldCharType="begin"/>
      </w:r>
      <w:r>
        <w:rPr>
          <w:vertAlign w:val="superscript"/>
          <w:lang w:eastAsia="zh"/>
        </w:rPr>
        <w:instrText xml:space="preserve"> </w:instrText>
      </w:r>
      <w:r>
        <w:rPr>
          <w:rFonts w:hint="eastAsia"/>
          <w:vertAlign w:val="superscript"/>
          <w:lang w:eastAsia="zh"/>
        </w:rPr>
        <w:instrText xml:space="preserve">REF _Ref228914487 \r \h</w:instrText>
      </w:r>
      <w:r>
        <w:rPr>
          <w:vertAlign w:val="superscript"/>
          <w:lang w:eastAsia="zh"/>
        </w:rPr>
        <w:instrText xml:space="preserve">  \* MERGEFORMAT </w:instrText>
      </w:r>
      <w:r>
        <w:rPr>
          <w:vertAlign w:val="superscript"/>
          <w:lang w:eastAsia="zh"/>
        </w:rPr>
        <w:fldChar w:fldCharType="separate"/>
      </w:r>
      <w:r>
        <w:rPr>
          <w:vertAlign w:val="superscript"/>
          <w:lang w:eastAsia="zh"/>
        </w:rPr>
        <w:t>[25]</w:t>
      </w:r>
      <w:r>
        <w:rPr>
          <w:vertAlign w:val="superscript"/>
          <w:lang w:eastAsia="zh"/>
        </w:rPr>
        <w:fldChar w:fldCharType="end"/>
      </w:r>
      <w:r>
        <w:rPr>
          <w:vertAlign w:val="superscript"/>
          <w:lang w:eastAsia="zh"/>
        </w:rPr>
        <w:fldChar w:fldCharType="begin"/>
      </w:r>
      <w:r>
        <w:rPr>
          <w:vertAlign w:val="superscript"/>
          <w:lang w:eastAsia="zh"/>
        </w:rPr>
        <w:instrText xml:space="preserve"> REF _Ref228914506 \r \h  \* MERGEFORMAT </w:instrText>
      </w:r>
      <w:r>
        <w:rPr>
          <w:vertAlign w:val="superscript"/>
          <w:lang w:eastAsia="zh"/>
        </w:rPr>
        <w:fldChar w:fldCharType="separate"/>
      </w:r>
      <w:r>
        <w:rPr>
          <w:vertAlign w:val="superscript"/>
          <w:lang w:eastAsia="zh"/>
        </w:rPr>
        <w:t>[26]</w:t>
      </w:r>
      <w:r>
        <w:rPr>
          <w:vertAlign w:val="superscript"/>
          <w:lang w:eastAsia="zh"/>
        </w:rPr>
        <w:fldChar w:fldCharType="end"/>
      </w:r>
    </w:p>
    <w:p w14:paraId="659230DF">
      <w:pPr>
        <w:pStyle w:val="52"/>
        <w:bidi w:val="0"/>
        <w:rPr>
          <w:lang w:eastAsia="zh"/>
          <w:woUserID w:val="1"/>
        </w:rPr>
      </w:pPr>
      <w:bookmarkStart w:id="29" w:name="_Toc15038"/>
      <w:r>
        <w:rPr>
          <w:rFonts w:hint="eastAsia"/>
          <w:lang w:eastAsia="zh"/>
          <w:woUserID w:val="1"/>
        </w:rPr>
        <w:t>表4 基准回归结果</w:t>
      </w:r>
      <w:bookmarkEnd w:id="29"/>
    </w:p>
    <w:tbl>
      <w:tblPr>
        <w:tblStyle w:val="53"/>
        <w:tblW w:w="8306" w:type="dxa"/>
        <w:jc w:val="center"/>
        <w:tblBorders>
          <w:top w:val="none" w:color="auto" w:sz="0"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50"/>
        <w:gridCol w:w="1297"/>
        <w:gridCol w:w="1130"/>
        <w:gridCol w:w="961"/>
        <w:gridCol w:w="882"/>
        <w:gridCol w:w="1276"/>
        <w:gridCol w:w="1010"/>
      </w:tblGrid>
      <w:tr w14:paraId="30F809E6">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053" w:type="pct"/>
            <w:tcBorders>
              <w:top w:val="single" w:color="auto" w:sz="12" w:space="0"/>
              <w:left w:val="nil"/>
              <w:bottom w:val="single" w:color="auto" w:sz="6" w:space="0"/>
              <w:right w:val="nil"/>
              <w:insideH w:val="single" w:sz="6" w:space="0"/>
              <w:insideV w:val="nil"/>
              <w:tl2br w:val="nil"/>
              <w:tr2bl w:val="nil"/>
            </w:tcBorders>
            <w:vAlign w:val="center"/>
          </w:tcPr>
          <w:p w14:paraId="1DAAD675">
            <w:pPr>
              <w:pStyle w:val="44"/>
              <w:bidi w:val="0"/>
              <w:rPr>
                <w:rFonts w:hint="eastAsia"/>
                <w:lang w:eastAsia="zh"/>
              </w:rPr>
            </w:pPr>
            <w:r>
              <w:rPr>
                <w:rFonts w:hint="eastAsia"/>
                <w:lang w:eastAsia="zh"/>
              </w:rPr>
              <w:t>模型</w:t>
            </w:r>
          </w:p>
        </w:tc>
        <w:tc>
          <w:tcPr>
            <w:tcW w:w="1460" w:type="pct"/>
            <w:gridSpan w:val="2"/>
            <w:tcBorders>
              <w:top w:val="single" w:color="auto" w:sz="12" w:space="0"/>
              <w:bottom w:val="single" w:color="auto" w:sz="6" w:space="0"/>
              <w:right w:val="nil"/>
              <w:insideH w:val="single" w:sz="6" w:space="0"/>
              <w:insideV w:val="nil"/>
              <w:tl2br w:val="nil"/>
              <w:tr2bl w:val="nil"/>
            </w:tcBorders>
            <w:vAlign w:val="center"/>
          </w:tcPr>
          <w:p w14:paraId="76AEFF78">
            <w:pPr>
              <w:pStyle w:val="44"/>
              <w:bidi w:val="0"/>
            </w:pPr>
            <w:r>
              <w:t>post</w:t>
            </w:r>
          </w:p>
        </w:tc>
        <w:tc>
          <w:tcPr>
            <w:tcW w:w="578" w:type="pct"/>
            <w:tcBorders>
              <w:top w:val="single" w:color="auto" w:sz="12" w:space="0"/>
              <w:bottom w:val="single" w:color="auto" w:sz="6" w:space="0"/>
              <w:right w:val="nil"/>
              <w:insideH w:val="single" w:sz="6" w:space="0"/>
              <w:insideV w:val="nil"/>
              <w:tl2br w:val="nil"/>
              <w:tr2bl w:val="nil"/>
            </w:tcBorders>
            <w:vAlign w:val="center"/>
          </w:tcPr>
          <w:p w14:paraId="40EA6FD8">
            <w:pPr>
              <w:pStyle w:val="44"/>
              <w:bidi w:val="0"/>
            </w:pPr>
            <w:r>
              <w:t>P值</w:t>
            </w:r>
          </w:p>
        </w:tc>
        <w:tc>
          <w:tcPr>
            <w:tcW w:w="530" w:type="pct"/>
            <w:tcBorders>
              <w:top w:val="single" w:color="auto" w:sz="12" w:space="0"/>
              <w:bottom w:val="single" w:color="auto" w:sz="6" w:space="0"/>
              <w:right w:val="nil"/>
              <w:insideH w:val="single" w:sz="6" w:space="0"/>
              <w:insideV w:val="nil"/>
              <w:tl2br w:val="nil"/>
              <w:tr2bl w:val="nil"/>
            </w:tcBorders>
            <w:vAlign w:val="center"/>
          </w:tcPr>
          <w:p w14:paraId="693206DB">
            <w:pPr>
              <w:pStyle w:val="44"/>
              <w:bidi w:val="0"/>
            </w:pPr>
            <w:r>
              <w:t>控制变量</w:t>
            </w:r>
          </w:p>
        </w:tc>
        <w:tc>
          <w:tcPr>
            <w:tcW w:w="768" w:type="pct"/>
            <w:tcBorders>
              <w:top w:val="single" w:color="auto" w:sz="12" w:space="0"/>
              <w:bottom w:val="single" w:color="auto" w:sz="6" w:space="0"/>
              <w:right w:val="nil"/>
              <w:insideH w:val="single" w:sz="6" w:space="0"/>
              <w:insideV w:val="nil"/>
              <w:tl2br w:val="nil"/>
              <w:tr2bl w:val="nil"/>
            </w:tcBorders>
            <w:vAlign w:val="center"/>
          </w:tcPr>
          <w:p w14:paraId="7E27DEAC">
            <w:pPr>
              <w:pStyle w:val="44"/>
              <w:bidi w:val="0"/>
            </w:pPr>
            <w:r>
              <w:t>时间</w:t>
            </w:r>
          </w:p>
          <w:p w14:paraId="1AE645EF">
            <w:pPr>
              <w:pStyle w:val="44"/>
              <w:bidi w:val="0"/>
            </w:pPr>
            <w:r>
              <w:t>固定效应</w:t>
            </w:r>
          </w:p>
        </w:tc>
        <w:tc>
          <w:tcPr>
            <w:tcW w:w="607" w:type="pct"/>
            <w:tcBorders>
              <w:top w:val="single" w:color="auto" w:sz="12" w:space="0"/>
              <w:bottom w:val="single" w:color="auto" w:sz="6" w:space="0"/>
              <w:right w:val="nil"/>
              <w:insideH w:val="single" w:sz="6" w:space="0"/>
              <w:insideV w:val="nil"/>
              <w:tl2br w:val="nil"/>
              <w:tr2bl w:val="nil"/>
            </w:tcBorders>
            <w:vAlign w:val="center"/>
          </w:tcPr>
          <w:p w14:paraId="438BDF62">
            <w:pPr>
              <w:pStyle w:val="44"/>
              <w:bidi w:val="0"/>
            </w:pPr>
            <w:r>
              <w:t>样本数</w:t>
            </w:r>
          </w:p>
        </w:tc>
      </w:tr>
      <w:tr w14:paraId="2730D884">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053" w:type="pct"/>
            <w:vAlign w:val="center"/>
          </w:tcPr>
          <w:p w14:paraId="1E3B1141">
            <w:pPr>
              <w:pStyle w:val="44"/>
              <w:bidi w:val="0"/>
            </w:pPr>
            <w:r>
              <w:t>RandomForest</w:t>
            </w:r>
          </w:p>
        </w:tc>
        <w:tc>
          <w:tcPr>
            <w:tcW w:w="780" w:type="pct"/>
            <w:vAlign w:val="center"/>
          </w:tcPr>
          <w:p w14:paraId="0FD7910C">
            <w:pPr>
              <w:pStyle w:val="44"/>
              <w:bidi w:val="0"/>
            </w:pPr>
            <w:r>
              <w:t>0.9153***</w:t>
            </w:r>
          </w:p>
        </w:tc>
        <w:tc>
          <w:tcPr>
            <w:tcW w:w="680" w:type="pct"/>
            <w:vAlign w:val="center"/>
          </w:tcPr>
          <w:p w14:paraId="1B19886E">
            <w:pPr>
              <w:pStyle w:val="44"/>
              <w:bidi w:val="0"/>
            </w:pPr>
            <w:r>
              <w:t>(0.163)</w:t>
            </w:r>
          </w:p>
        </w:tc>
        <w:tc>
          <w:tcPr>
            <w:tcW w:w="578" w:type="pct"/>
            <w:vAlign w:val="center"/>
          </w:tcPr>
          <w:p w14:paraId="6E89A913">
            <w:pPr>
              <w:pStyle w:val="44"/>
              <w:bidi w:val="0"/>
            </w:pPr>
            <w:r>
              <w:t>0.000</w:t>
            </w:r>
          </w:p>
        </w:tc>
        <w:tc>
          <w:tcPr>
            <w:tcW w:w="530" w:type="pct"/>
            <w:vAlign w:val="center"/>
          </w:tcPr>
          <w:p w14:paraId="5CDB1288">
            <w:pPr>
              <w:pStyle w:val="44"/>
              <w:bidi w:val="0"/>
            </w:pPr>
            <w:r>
              <w:t>是</w:t>
            </w:r>
          </w:p>
        </w:tc>
        <w:tc>
          <w:tcPr>
            <w:tcW w:w="768" w:type="pct"/>
            <w:vAlign w:val="center"/>
          </w:tcPr>
          <w:p w14:paraId="3EC210A9">
            <w:pPr>
              <w:pStyle w:val="44"/>
              <w:bidi w:val="0"/>
            </w:pPr>
            <w:r>
              <w:t>是</w:t>
            </w:r>
          </w:p>
        </w:tc>
        <w:tc>
          <w:tcPr>
            <w:tcW w:w="607" w:type="pct"/>
            <w:vAlign w:val="center"/>
          </w:tcPr>
          <w:p w14:paraId="12CCE273">
            <w:pPr>
              <w:pStyle w:val="44"/>
              <w:bidi w:val="0"/>
            </w:pPr>
            <w:r>
              <w:t>4827</w:t>
            </w:r>
          </w:p>
        </w:tc>
      </w:tr>
    </w:tbl>
    <w:p w14:paraId="4377D7C3">
      <w:pPr>
        <w:pStyle w:val="3"/>
      </w:pPr>
      <w:bookmarkStart w:id="30" w:name="_Toc228914696"/>
      <w:r>
        <w:rPr>
          <w:rFonts w:hint="eastAsia"/>
        </w:rPr>
        <w:t>稳健性检验</w:t>
      </w:r>
      <w:bookmarkEnd w:id="30"/>
    </w:p>
    <w:p w14:paraId="679D2450">
      <w:pPr>
        <w:pStyle w:val="4"/>
        <w:numPr>
          <w:ilvl w:val="2"/>
          <w:numId w:val="0"/>
        </w:numPr>
        <w:ind w:firstLine="482" w:firstLineChars="200"/>
      </w:pPr>
      <w:bookmarkStart w:id="31" w:name="_Toc228914697"/>
      <w:r>
        <w:rPr>
          <w:rFonts w:hint="eastAsia"/>
        </w:rPr>
        <w:t>1</w:t>
      </w:r>
      <w:r>
        <w:rPr>
          <w:rFonts w:hint="eastAsia"/>
          <w:lang w:eastAsia="zh-CN"/>
        </w:rPr>
        <w:t>.</w:t>
      </w:r>
      <w:r>
        <w:rPr>
          <w:rFonts w:hint="eastAsia"/>
        </w:rPr>
        <w:t>调整研究样本</w:t>
      </w:r>
      <w:bookmarkEnd w:id="31"/>
    </w:p>
    <w:p w14:paraId="1286EE0D">
      <w:pPr>
        <w:ind w:firstLine="480"/>
        <w:rPr>
          <w:vertAlign w:val="superscript"/>
        </w:rPr>
      </w:pPr>
      <w:r>
        <w:t>考虑到中国各地区数字基础设施与信息化发展水平存在较大差距，极端样本可能对平均处理效应的估计构成干扰。本文在基准回归所用282个地级及以上城市样本的基础上，剔除数字基础设施相对薄弱的甘肃、青海、宁夏、新疆、西藏、云南、贵州七省（区）城市，以及经济发展水平与政策环境较为特殊的北京、天津、上海、重庆四个直辖市，利用筛选后的子样本重新进行DML估计。结果</w:t>
      </w:r>
      <w:r>
        <w:rPr>
          <w:rFonts w:hint="eastAsia"/>
        </w:rPr>
        <w:t>显示</w:t>
      </w:r>
      <w:r>
        <w:t>公共数据平台开放的因果效应系数为0.3636，且在1%水平上显著。该系数方向与基准结果一致，绝对值略有上升，表明在排除基础条件迥异的样本后，公共数据开放对企业诉求的促进效应依然显著，基准结论未因样本选择而产生根本性改变。</w:t>
      </w:r>
      <w:r>
        <w:rPr>
          <w:vertAlign w:val="superscript"/>
        </w:rPr>
        <w:fldChar w:fldCharType="begin"/>
      </w:r>
      <w:r>
        <w:rPr>
          <w:vertAlign w:val="superscript"/>
        </w:rPr>
        <w:instrText xml:space="preserve"> REF _Ref228914487 \r \h  \* MERGEFORMAT </w:instrText>
      </w:r>
      <w:r>
        <w:rPr>
          <w:vertAlign w:val="superscript"/>
        </w:rPr>
        <w:fldChar w:fldCharType="separate"/>
      </w:r>
      <w:r>
        <w:rPr>
          <w:vertAlign w:val="superscript"/>
        </w:rPr>
        <w:t>[25]</w:t>
      </w:r>
      <w:r>
        <w:rPr>
          <w:vertAlign w:val="superscript"/>
        </w:rPr>
        <w:fldChar w:fldCharType="end"/>
      </w:r>
      <w:r>
        <w:rPr>
          <w:vertAlign w:val="superscript"/>
        </w:rPr>
        <w:fldChar w:fldCharType="begin"/>
      </w:r>
      <w:r>
        <w:rPr>
          <w:vertAlign w:val="superscript"/>
        </w:rPr>
        <w:instrText xml:space="preserve"> REF _Ref228914506 \r \h  \* MERGEFORMAT </w:instrText>
      </w:r>
      <w:r>
        <w:rPr>
          <w:vertAlign w:val="superscript"/>
        </w:rPr>
        <w:fldChar w:fldCharType="separate"/>
      </w:r>
      <w:r>
        <w:rPr>
          <w:vertAlign w:val="superscript"/>
        </w:rPr>
        <w:t>[26]</w:t>
      </w:r>
      <w:r>
        <w:rPr>
          <w:vertAlign w:val="superscript"/>
        </w:rPr>
        <w:fldChar w:fldCharType="end"/>
      </w:r>
    </w:p>
    <w:p w14:paraId="5D672C28">
      <w:pPr>
        <w:pStyle w:val="4"/>
        <w:numPr>
          <w:ilvl w:val="2"/>
          <w:numId w:val="0"/>
        </w:numPr>
        <w:ind w:firstLine="482" w:firstLineChars="200"/>
      </w:pPr>
      <w:bookmarkStart w:id="32" w:name="_Toc228914698"/>
      <w:r>
        <w:rPr>
          <w:rFonts w:hint="eastAsia"/>
        </w:rPr>
        <w:t>2</w:t>
      </w:r>
      <w:r>
        <w:rPr>
          <w:rFonts w:hint="eastAsia"/>
          <w:lang w:eastAsia="zh-CN"/>
        </w:rPr>
        <w:t>.</w:t>
      </w:r>
      <w:r>
        <w:rPr>
          <w:rFonts w:hint="eastAsia"/>
        </w:rPr>
        <w:t>剔除异常值影响</w:t>
      </w:r>
      <w:bookmarkEnd w:id="32"/>
    </w:p>
    <w:p w14:paraId="5A15E6A7">
      <w:pPr>
        <w:ind w:firstLine="480"/>
      </w:pPr>
      <w:r>
        <w:t>样本中的异常观测值可能导致估计结果存在偏误。为缓解这一问题，本文对除处置变量外的所有连续变量与控制变量进行了双侧1%与99%分位点的缩尾处理，并将缩尾后的样本重新纳入DML模型进行估计。估计结果表明，公共数据平台开放的平均处理效应系数为0.1705，在5%水平上统计显著。相较于基准回归系数，缩尾后的效应估计值有所下降，但符号方向保持一致且通过显著性检验。该结果证实，在剔除极端值影响后，公共数据开放对企业诉求表达的正向促进作用依然稳健成立。</w:t>
      </w:r>
    </w:p>
    <w:p w14:paraId="153E72A2">
      <w:pPr>
        <w:pStyle w:val="4"/>
        <w:numPr>
          <w:ilvl w:val="2"/>
          <w:numId w:val="0"/>
        </w:numPr>
        <w:ind w:firstLine="482" w:firstLineChars="200"/>
      </w:pPr>
      <w:bookmarkStart w:id="33" w:name="_Toc228914699"/>
      <w:r>
        <w:rPr>
          <w:rFonts w:hint="eastAsia"/>
        </w:rPr>
        <w:t>3</w:t>
      </w:r>
      <w:r>
        <w:rPr>
          <w:rFonts w:hint="eastAsia"/>
          <w:lang w:eastAsia="zh-CN"/>
        </w:rPr>
        <w:t>.</w:t>
      </w:r>
      <w:r>
        <w:rPr>
          <w:rFonts w:hint="eastAsia"/>
        </w:rPr>
        <w:t>考虑省份－时间交互固定效应</w:t>
      </w:r>
      <w:bookmarkEnd w:id="33"/>
    </w:p>
    <w:p w14:paraId="17C05BCA">
      <w:pPr>
        <w:ind w:firstLine="480"/>
      </w:pPr>
      <w:r>
        <w:t>为排除随省份和年份共同变化的不可观测因素对估计结果的潜在干扰，本文进一步在控制变量组中引入省份与年份的交互固定效应。在控制该更严格固定效应结构后，重新进行DML估计。结果显示，公共数据开放的估计系数为0.2956，仍在1%水平上显著。该系数大小与基准回归系数0.2784高度接近，说明在吸收省级—年度层面的系统性差异后，公共数据开放对企业诉求的正向处理效应保持稳定，核心结论未受遗漏的省</w:t>
      </w:r>
      <w:r>
        <w:rPr>
          <w:rFonts w:hint="eastAsia"/>
        </w:rPr>
        <w:t>-</w:t>
      </w:r>
      <w:r>
        <w:t>年度异质性因素驱动。</w:t>
      </w:r>
    </w:p>
    <w:p w14:paraId="3BE6CA4A">
      <w:pPr>
        <w:pStyle w:val="4"/>
        <w:numPr>
          <w:ilvl w:val="2"/>
          <w:numId w:val="0"/>
        </w:numPr>
        <w:ind w:firstLine="482" w:firstLineChars="200"/>
        <w:rPr>
          <w:rFonts w:hint="eastAsia"/>
          <w:lang w:eastAsia="zh"/>
        </w:rPr>
      </w:pPr>
      <w:r>
        <w:rPr>
          <w:rFonts w:hint="eastAsia"/>
          <w:lang w:val="en-US" w:eastAsia="zh"/>
        </w:rPr>
        <w:t>4.</w:t>
      </w:r>
      <w:r>
        <w:rPr>
          <w:rFonts w:hint="eastAsia"/>
          <w:lang w:eastAsia="zh"/>
        </w:rPr>
        <w:t>更换机器学习模型</w:t>
      </w:r>
    </w:p>
    <w:p w14:paraId="5C2F13BF">
      <w:pPr>
        <w:ind w:firstLine="480"/>
        <w:rPr>
          <w:rFonts w:hint="eastAsia"/>
          <w:lang w:eastAsia="zh"/>
          <w:woUserID w:val="1"/>
        </w:rPr>
      </w:pPr>
      <w:r>
        <w:rPr>
          <w:rFonts w:hint="eastAsia"/>
          <w:lang w:eastAsia="zh"/>
          <w:woUserID w:val="1"/>
        </w:rPr>
        <w:t>为检验基准结果对模型设定的敏感性，本文在双重机器学习框架下更换第一阶段与第二阶段的机器学习算法。在保持变量设定、样本范围及时间固定效应不变的前提下，分别采用随机森林（Random Forest）、极端梯度提升（XGBoost）、轻量梯度提升（LightGBM）以及梯度提升决策树（GBDT）作为学习器，对处理变量与结果变量进行拟合，并重新估计公共数据开放的平均处理效应（ATE），结果如表5所示。</w:t>
      </w:r>
    </w:p>
    <w:p w14:paraId="1EDC745B">
      <w:pPr>
        <w:pStyle w:val="52"/>
        <w:ind w:firstLine="400"/>
        <w:rPr>
          <w:woUserID w:val="1"/>
        </w:rPr>
      </w:pPr>
      <w:bookmarkStart w:id="34" w:name="_Toc9626"/>
      <w:r>
        <w:rPr>
          <w:rFonts w:hint="eastAsia"/>
          <w:woUserID w:val="1"/>
        </w:rPr>
        <w:t>表</w:t>
      </w:r>
      <w:r>
        <w:rPr>
          <w:rFonts w:hint="eastAsia"/>
          <w:lang w:eastAsia="zh"/>
          <w:woUserID w:val="1"/>
        </w:rPr>
        <w:t>5</w:t>
      </w:r>
      <w:r>
        <w:rPr>
          <w:rFonts w:hint="eastAsia"/>
          <w:woUserID w:val="1"/>
        </w:rPr>
        <w:t xml:space="preserve"> 公共数据开放对企业诉求的基准回归结果</w:t>
      </w:r>
      <w:bookmarkEnd w:id="34"/>
    </w:p>
    <w:tbl>
      <w:tblPr>
        <w:tblStyle w:val="53"/>
        <w:tblW w:w="4880" w:type="pct"/>
        <w:jc w:val="center"/>
        <w:tblBorders>
          <w:top w:val="none" w:color="auto" w:sz="0"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828"/>
        <w:gridCol w:w="1669"/>
        <w:gridCol w:w="1413"/>
        <w:gridCol w:w="1704"/>
        <w:gridCol w:w="1704"/>
      </w:tblGrid>
      <w:tr w14:paraId="1FF2009B">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098" w:type="pct"/>
            <w:tcBorders>
              <w:top w:val="single" w:color="auto" w:sz="12" w:space="0"/>
              <w:left w:val="nil"/>
              <w:bottom w:val="single" w:color="auto" w:sz="6" w:space="0"/>
              <w:right w:val="nil"/>
              <w:insideH w:val="single" w:sz="6" w:space="0"/>
              <w:insideV w:val="nil"/>
              <w:tl2br w:val="nil"/>
              <w:tr2bl w:val="nil"/>
            </w:tcBorders>
            <w:vAlign w:val="center"/>
          </w:tcPr>
          <w:p w14:paraId="3EF4261B">
            <w:pPr>
              <w:pStyle w:val="44"/>
              <w:bidi w:val="0"/>
            </w:pPr>
            <w:r>
              <w:t>变量</w:t>
            </w:r>
          </w:p>
        </w:tc>
        <w:tc>
          <w:tcPr>
            <w:tcW w:w="1003" w:type="pct"/>
            <w:tcBorders>
              <w:top w:val="single" w:color="auto" w:sz="12" w:space="0"/>
              <w:bottom w:val="single" w:color="auto" w:sz="6" w:space="0"/>
              <w:right w:val="nil"/>
              <w:insideH w:val="single" w:sz="6" w:space="0"/>
              <w:insideV w:val="nil"/>
              <w:tl2br w:val="nil"/>
              <w:tr2bl w:val="nil"/>
            </w:tcBorders>
            <w:vAlign w:val="center"/>
          </w:tcPr>
          <w:p w14:paraId="5189A240">
            <w:pPr>
              <w:pStyle w:val="44"/>
              <w:bidi w:val="0"/>
            </w:pPr>
            <w:r>
              <w:t>RandomForest</w:t>
            </w:r>
          </w:p>
        </w:tc>
        <w:tc>
          <w:tcPr>
            <w:tcW w:w="849" w:type="pct"/>
            <w:tcBorders>
              <w:top w:val="single" w:color="auto" w:sz="12" w:space="0"/>
              <w:bottom w:val="single" w:color="auto" w:sz="6" w:space="0"/>
              <w:right w:val="nil"/>
              <w:insideH w:val="single" w:sz="6" w:space="0"/>
              <w:insideV w:val="nil"/>
              <w:tl2br w:val="nil"/>
              <w:tr2bl w:val="nil"/>
            </w:tcBorders>
            <w:vAlign w:val="center"/>
          </w:tcPr>
          <w:p w14:paraId="3FA949DF">
            <w:pPr>
              <w:pStyle w:val="44"/>
              <w:bidi w:val="0"/>
              <w:rPr>
                <w:lang w:eastAsia="zh"/>
              </w:rPr>
            </w:pPr>
            <w:r>
              <w:rPr>
                <w:lang w:eastAsia="zh"/>
              </w:rPr>
              <w:t>XGBoost</w:t>
            </w:r>
          </w:p>
        </w:tc>
        <w:tc>
          <w:tcPr>
            <w:tcW w:w="1024" w:type="pct"/>
            <w:tcBorders>
              <w:top w:val="single" w:color="auto" w:sz="12" w:space="0"/>
              <w:bottom w:val="single" w:color="auto" w:sz="6" w:space="0"/>
              <w:right w:val="nil"/>
              <w:insideH w:val="single" w:sz="6" w:space="0"/>
              <w:insideV w:val="nil"/>
              <w:tl2br w:val="nil"/>
              <w:tr2bl w:val="nil"/>
            </w:tcBorders>
            <w:vAlign w:val="center"/>
          </w:tcPr>
          <w:p w14:paraId="065C384B">
            <w:pPr>
              <w:pStyle w:val="44"/>
              <w:bidi w:val="0"/>
            </w:pPr>
            <w:r>
              <w:t>LightGBM</w:t>
            </w:r>
          </w:p>
        </w:tc>
        <w:tc>
          <w:tcPr>
            <w:tcW w:w="1024" w:type="pct"/>
            <w:tcBorders>
              <w:top w:val="single" w:color="auto" w:sz="12" w:space="0"/>
              <w:bottom w:val="single" w:color="auto" w:sz="6" w:space="0"/>
              <w:right w:val="nil"/>
              <w:insideH w:val="single" w:sz="6" w:space="0"/>
              <w:insideV w:val="nil"/>
              <w:tl2br w:val="nil"/>
              <w:tr2bl w:val="nil"/>
            </w:tcBorders>
            <w:vAlign w:val="center"/>
          </w:tcPr>
          <w:p w14:paraId="51F8EDA3">
            <w:pPr>
              <w:pStyle w:val="44"/>
              <w:bidi w:val="0"/>
            </w:pPr>
            <w:r>
              <w:t>GBDT</w:t>
            </w:r>
          </w:p>
        </w:tc>
      </w:tr>
      <w:tr w14:paraId="28335D3B">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098" w:type="pct"/>
            <w:vAlign w:val="center"/>
          </w:tcPr>
          <w:p w14:paraId="6136F00F">
            <w:pPr>
              <w:pStyle w:val="44"/>
              <w:bidi w:val="0"/>
            </w:pPr>
          </w:p>
        </w:tc>
        <w:tc>
          <w:tcPr>
            <w:tcW w:w="1003" w:type="pct"/>
            <w:vAlign w:val="center"/>
          </w:tcPr>
          <w:p w14:paraId="4417ED38">
            <w:pPr>
              <w:pStyle w:val="44"/>
              <w:bidi w:val="0"/>
            </w:pPr>
            <w:r>
              <w:t>(1)</w:t>
            </w:r>
          </w:p>
        </w:tc>
        <w:tc>
          <w:tcPr>
            <w:tcW w:w="849" w:type="pct"/>
            <w:vAlign w:val="center"/>
          </w:tcPr>
          <w:p w14:paraId="25740CF3">
            <w:pPr>
              <w:pStyle w:val="44"/>
              <w:bidi w:val="0"/>
            </w:pPr>
            <w:r>
              <w:t>(2)</w:t>
            </w:r>
          </w:p>
        </w:tc>
        <w:tc>
          <w:tcPr>
            <w:tcW w:w="1024" w:type="pct"/>
            <w:vAlign w:val="center"/>
          </w:tcPr>
          <w:p w14:paraId="7788060A">
            <w:pPr>
              <w:pStyle w:val="44"/>
              <w:bidi w:val="0"/>
            </w:pPr>
            <w:r>
              <w:t>(3)</w:t>
            </w:r>
          </w:p>
        </w:tc>
        <w:tc>
          <w:tcPr>
            <w:tcW w:w="1024" w:type="pct"/>
            <w:vAlign w:val="center"/>
          </w:tcPr>
          <w:p w14:paraId="3188A297">
            <w:pPr>
              <w:pStyle w:val="44"/>
              <w:bidi w:val="0"/>
            </w:pPr>
            <w:r>
              <w:t>(4)</w:t>
            </w:r>
          </w:p>
        </w:tc>
      </w:tr>
      <w:tr w14:paraId="291C2F3C">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098" w:type="pct"/>
            <w:vAlign w:val="center"/>
          </w:tcPr>
          <w:p w14:paraId="72CC1646">
            <w:pPr>
              <w:pStyle w:val="44"/>
              <w:bidi w:val="0"/>
            </w:pPr>
            <w:r>
              <w:t>post</w:t>
            </w:r>
          </w:p>
        </w:tc>
        <w:tc>
          <w:tcPr>
            <w:tcW w:w="1003" w:type="pct"/>
            <w:vAlign w:val="center"/>
          </w:tcPr>
          <w:p w14:paraId="079C4B98">
            <w:pPr>
              <w:pStyle w:val="44"/>
              <w:bidi w:val="0"/>
            </w:pPr>
            <w:r>
              <w:t>0.9153***</w:t>
            </w:r>
          </w:p>
        </w:tc>
        <w:tc>
          <w:tcPr>
            <w:tcW w:w="849" w:type="pct"/>
            <w:vAlign w:val="center"/>
          </w:tcPr>
          <w:p w14:paraId="55052076">
            <w:pPr>
              <w:pStyle w:val="44"/>
              <w:bidi w:val="0"/>
            </w:pPr>
            <w:r>
              <w:t>0.5887***</w:t>
            </w:r>
          </w:p>
        </w:tc>
        <w:tc>
          <w:tcPr>
            <w:tcW w:w="1024" w:type="pct"/>
            <w:vAlign w:val="center"/>
          </w:tcPr>
          <w:p w14:paraId="1E070559">
            <w:pPr>
              <w:pStyle w:val="44"/>
              <w:bidi w:val="0"/>
            </w:pPr>
            <w:r>
              <w:t>0.2248***</w:t>
            </w:r>
          </w:p>
        </w:tc>
        <w:tc>
          <w:tcPr>
            <w:tcW w:w="1024" w:type="pct"/>
            <w:vAlign w:val="center"/>
          </w:tcPr>
          <w:p w14:paraId="7C30CBA1">
            <w:pPr>
              <w:pStyle w:val="44"/>
              <w:bidi w:val="0"/>
            </w:pPr>
            <w:r>
              <w:t>1.1241***</w:t>
            </w:r>
          </w:p>
        </w:tc>
      </w:tr>
      <w:tr w14:paraId="7A020A34">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098" w:type="pct"/>
            <w:vAlign w:val="center"/>
          </w:tcPr>
          <w:p w14:paraId="41DC8795">
            <w:pPr>
              <w:pStyle w:val="44"/>
              <w:bidi w:val="0"/>
            </w:pPr>
          </w:p>
        </w:tc>
        <w:tc>
          <w:tcPr>
            <w:tcW w:w="1003" w:type="pct"/>
            <w:vAlign w:val="center"/>
          </w:tcPr>
          <w:p w14:paraId="3E89F86D">
            <w:pPr>
              <w:pStyle w:val="44"/>
              <w:bidi w:val="0"/>
            </w:pPr>
            <w:r>
              <w:t>(0.163)</w:t>
            </w:r>
          </w:p>
        </w:tc>
        <w:tc>
          <w:tcPr>
            <w:tcW w:w="849" w:type="pct"/>
            <w:vAlign w:val="center"/>
          </w:tcPr>
          <w:p w14:paraId="5AD45A7B">
            <w:pPr>
              <w:pStyle w:val="44"/>
              <w:bidi w:val="0"/>
            </w:pPr>
            <w:r>
              <w:t>(5.496)</w:t>
            </w:r>
          </w:p>
        </w:tc>
        <w:tc>
          <w:tcPr>
            <w:tcW w:w="1024" w:type="pct"/>
            <w:vAlign w:val="center"/>
          </w:tcPr>
          <w:p w14:paraId="3496D59F">
            <w:pPr>
              <w:pStyle w:val="44"/>
              <w:bidi w:val="0"/>
            </w:pPr>
            <w:r>
              <w:t>(1.313)</w:t>
            </w:r>
          </w:p>
        </w:tc>
        <w:tc>
          <w:tcPr>
            <w:tcW w:w="1024" w:type="pct"/>
            <w:vAlign w:val="center"/>
          </w:tcPr>
          <w:p w14:paraId="05C633A4">
            <w:pPr>
              <w:pStyle w:val="44"/>
              <w:bidi w:val="0"/>
            </w:pPr>
            <w:r>
              <w:t>(0.381)</w:t>
            </w:r>
          </w:p>
        </w:tc>
      </w:tr>
      <w:tr w14:paraId="7042E60A">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098" w:type="pct"/>
            <w:vAlign w:val="center"/>
          </w:tcPr>
          <w:p w14:paraId="3CAF7D91">
            <w:pPr>
              <w:pStyle w:val="44"/>
              <w:bidi w:val="0"/>
            </w:pPr>
            <w:r>
              <w:t>P值</w:t>
            </w:r>
          </w:p>
        </w:tc>
        <w:tc>
          <w:tcPr>
            <w:tcW w:w="1003" w:type="pct"/>
            <w:vAlign w:val="center"/>
          </w:tcPr>
          <w:p w14:paraId="04DE6B91">
            <w:pPr>
              <w:pStyle w:val="44"/>
              <w:bidi w:val="0"/>
            </w:pPr>
            <w:r>
              <w:t>0.000</w:t>
            </w:r>
          </w:p>
        </w:tc>
        <w:tc>
          <w:tcPr>
            <w:tcW w:w="849" w:type="pct"/>
            <w:vAlign w:val="center"/>
          </w:tcPr>
          <w:p w14:paraId="66DB2189">
            <w:pPr>
              <w:pStyle w:val="44"/>
              <w:bidi w:val="0"/>
            </w:pPr>
            <w:r>
              <w:t>0.001</w:t>
            </w:r>
          </w:p>
        </w:tc>
        <w:tc>
          <w:tcPr>
            <w:tcW w:w="1024" w:type="pct"/>
            <w:vAlign w:val="center"/>
          </w:tcPr>
          <w:p w14:paraId="4EBE4D70">
            <w:pPr>
              <w:pStyle w:val="44"/>
              <w:bidi w:val="0"/>
            </w:pPr>
            <w:r>
              <w:t>0.003</w:t>
            </w:r>
          </w:p>
        </w:tc>
        <w:tc>
          <w:tcPr>
            <w:tcW w:w="1024" w:type="pct"/>
            <w:vAlign w:val="center"/>
          </w:tcPr>
          <w:p w14:paraId="2E891859">
            <w:pPr>
              <w:pStyle w:val="44"/>
              <w:bidi w:val="0"/>
            </w:pPr>
            <w:r>
              <w:t>0.000</w:t>
            </w:r>
          </w:p>
        </w:tc>
      </w:tr>
      <w:tr w14:paraId="2F2AFAC0">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098" w:type="pct"/>
            <w:vAlign w:val="center"/>
          </w:tcPr>
          <w:p w14:paraId="1195FD92">
            <w:pPr>
              <w:pStyle w:val="44"/>
              <w:bidi w:val="0"/>
            </w:pPr>
            <w:r>
              <w:t>控制变量</w:t>
            </w:r>
          </w:p>
        </w:tc>
        <w:tc>
          <w:tcPr>
            <w:tcW w:w="1003" w:type="pct"/>
            <w:vAlign w:val="center"/>
          </w:tcPr>
          <w:p w14:paraId="33E3B70F">
            <w:pPr>
              <w:pStyle w:val="44"/>
              <w:bidi w:val="0"/>
            </w:pPr>
            <w:r>
              <w:t>是</w:t>
            </w:r>
          </w:p>
        </w:tc>
        <w:tc>
          <w:tcPr>
            <w:tcW w:w="849" w:type="pct"/>
            <w:vAlign w:val="center"/>
          </w:tcPr>
          <w:p w14:paraId="7C251EFA">
            <w:pPr>
              <w:pStyle w:val="44"/>
              <w:bidi w:val="0"/>
            </w:pPr>
            <w:r>
              <w:t>是</w:t>
            </w:r>
          </w:p>
        </w:tc>
        <w:tc>
          <w:tcPr>
            <w:tcW w:w="1024" w:type="pct"/>
            <w:vAlign w:val="center"/>
          </w:tcPr>
          <w:p w14:paraId="7EDDA1F9">
            <w:pPr>
              <w:pStyle w:val="44"/>
              <w:bidi w:val="0"/>
            </w:pPr>
            <w:r>
              <w:t>是</w:t>
            </w:r>
          </w:p>
        </w:tc>
        <w:tc>
          <w:tcPr>
            <w:tcW w:w="1024" w:type="pct"/>
            <w:vAlign w:val="center"/>
          </w:tcPr>
          <w:p w14:paraId="4B898AC6">
            <w:pPr>
              <w:pStyle w:val="44"/>
              <w:bidi w:val="0"/>
            </w:pPr>
            <w:r>
              <w:t>是</w:t>
            </w:r>
          </w:p>
        </w:tc>
      </w:tr>
      <w:tr w14:paraId="0CE468FA">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098" w:type="pct"/>
            <w:vAlign w:val="center"/>
          </w:tcPr>
          <w:p w14:paraId="528B1E30">
            <w:pPr>
              <w:pStyle w:val="44"/>
              <w:bidi w:val="0"/>
            </w:pPr>
            <w:r>
              <w:t>时间固定效应</w:t>
            </w:r>
          </w:p>
        </w:tc>
        <w:tc>
          <w:tcPr>
            <w:tcW w:w="1003" w:type="pct"/>
            <w:vAlign w:val="center"/>
          </w:tcPr>
          <w:p w14:paraId="0AB4DB68">
            <w:pPr>
              <w:pStyle w:val="44"/>
              <w:bidi w:val="0"/>
            </w:pPr>
            <w:r>
              <w:t>是</w:t>
            </w:r>
          </w:p>
        </w:tc>
        <w:tc>
          <w:tcPr>
            <w:tcW w:w="849" w:type="pct"/>
            <w:vAlign w:val="center"/>
          </w:tcPr>
          <w:p w14:paraId="6C0350D4">
            <w:pPr>
              <w:pStyle w:val="44"/>
              <w:bidi w:val="0"/>
            </w:pPr>
            <w:r>
              <w:t>是</w:t>
            </w:r>
          </w:p>
        </w:tc>
        <w:tc>
          <w:tcPr>
            <w:tcW w:w="1024" w:type="pct"/>
            <w:vAlign w:val="center"/>
          </w:tcPr>
          <w:p w14:paraId="537F4E56">
            <w:pPr>
              <w:pStyle w:val="44"/>
              <w:bidi w:val="0"/>
            </w:pPr>
            <w:r>
              <w:t>是</w:t>
            </w:r>
          </w:p>
        </w:tc>
        <w:tc>
          <w:tcPr>
            <w:tcW w:w="1024" w:type="pct"/>
            <w:vAlign w:val="center"/>
          </w:tcPr>
          <w:p w14:paraId="6E24ECBE">
            <w:pPr>
              <w:pStyle w:val="44"/>
              <w:bidi w:val="0"/>
            </w:pPr>
            <w:r>
              <w:t>是</w:t>
            </w:r>
          </w:p>
        </w:tc>
      </w:tr>
      <w:tr w14:paraId="691BC8A8">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098" w:type="pct"/>
            <w:vAlign w:val="center"/>
          </w:tcPr>
          <w:p w14:paraId="6A5B7D64">
            <w:pPr>
              <w:pStyle w:val="44"/>
              <w:bidi w:val="0"/>
            </w:pPr>
            <w:r>
              <w:t>样本数</w:t>
            </w:r>
          </w:p>
        </w:tc>
        <w:tc>
          <w:tcPr>
            <w:tcW w:w="1003" w:type="pct"/>
            <w:vAlign w:val="center"/>
          </w:tcPr>
          <w:p w14:paraId="74AD3416">
            <w:pPr>
              <w:pStyle w:val="44"/>
              <w:bidi w:val="0"/>
            </w:pPr>
            <w:r>
              <w:t>4827</w:t>
            </w:r>
          </w:p>
        </w:tc>
        <w:tc>
          <w:tcPr>
            <w:tcW w:w="849" w:type="pct"/>
            <w:vAlign w:val="center"/>
          </w:tcPr>
          <w:p w14:paraId="7431ED30">
            <w:pPr>
              <w:pStyle w:val="44"/>
              <w:bidi w:val="0"/>
            </w:pPr>
            <w:r>
              <w:t>4827</w:t>
            </w:r>
          </w:p>
        </w:tc>
        <w:tc>
          <w:tcPr>
            <w:tcW w:w="1024" w:type="pct"/>
            <w:vAlign w:val="center"/>
          </w:tcPr>
          <w:p w14:paraId="7606CE23">
            <w:pPr>
              <w:pStyle w:val="44"/>
              <w:bidi w:val="0"/>
            </w:pPr>
            <w:r>
              <w:t>4827</w:t>
            </w:r>
          </w:p>
        </w:tc>
        <w:tc>
          <w:tcPr>
            <w:tcW w:w="1024" w:type="pct"/>
            <w:vAlign w:val="center"/>
          </w:tcPr>
          <w:p w14:paraId="7782A99A">
            <w:pPr>
              <w:pStyle w:val="44"/>
              <w:bidi w:val="0"/>
            </w:pPr>
            <w:r>
              <w:t>4827</w:t>
            </w:r>
          </w:p>
        </w:tc>
      </w:tr>
    </w:tbl>
    <w:p w14:paraId="76C3C876">
      <w:pPr>
        <w:ind w:firstLine="480"/>
        <w:jc w:val="left"/>
        <w:rPr>
          <w:woUserID w:val="1"/>
        </w:rPr>
      </w:pPr>
      <w:r>
        <w:rPr>
          <w:woUserID w:val="1"/>
        </w:rPr>
        <w:t>注：括号内为系数对应的t值；***P＜0.01。</w:t>
      </w:r>
    </w:p>
    <w:p w14:paraId="4DBA0792">
      <w:pPr>
        <w:ind w:firstLine="480"/>
        <w:jc w:val="left"/>
        <w:rPr>
          <w:rFonts w:hint="eastAsia"/>
          <w:woUserID w:val="1"/>
        </w:rPr>
      </w:pPr>
      <w:r>
        <w:rPr>
          <w:rFonts w:hint="eastAsia"/>
          <w:woUserID w:val="1"/>
        </w:rPr>
        <w:t>从估计结果来看，不同模型设定下核心解释变量“公共数据开放”（post）的系数均显著为正，且均通过至少1%显著性水平检验，表明公共数据开放显著提升企业诉求表达水平。这一结果在不同机器学习算法下保持高度一致，说明本文结论不依赖于特定模型设定，具有较强的稳健性。</w:t>
      </w:r>
    </w:p>
    <w:p w14:paraId="30FA290C">
      <w:pPr>
        <w:pStyle w:val="4"/>
        <w:numPr>
          <w:ilvl w:val="2"/>
          <w:numId w:val="0"/>
        </w:numPr>
        <w:ind w:firstLine="482" w:firstLineChars="200"/>
        <w:rPr>
          <w:rFonts w:hint="default"/>
          <w:lang w:val="en-US" w:eastAsia="zh-CN"/>
        </w:rPr>
      </w:pPr>
      <w:r>
        <w:rPr>
          <w:rFonts w:hint="eastAsia"/>
          <w:lang w:val="en-US" w:eastAsia="zh-CN"/>
        </w:rPr>
        <w:t>5.更换交叉折数</w:t>
      </w:r>
    </w:p>
    <w:p w14:paraId="68908416">
      <w:pPr>
        <w:ind w:firstLine="480"/>
        <w:jc w:val="left"/>
        <w:rPr>
          <w:rFonts w:hint="eastAsia"/>
          <w:lang w:val="en-US" w:eastAsia="zh-CN"/>
          <w:woUserID w:val="1"/>
        </w:rPr>
      </w:pPr>
      <w:r>
        <w:rPr>
          <w:rFonts w:hint="eastAsia"/>
          <w:lang w:val="en-US" w:eastAsia="zh-CN"/>
          <w:woUserID w:val="1"/>
        </w:rPr>
        <w:t xml:space="preserve">双重机器学习（DML）的核心优势在于通过正交化与交叉拟合策略，在高维控制变量与复杂函数形式下实现对处理效应的一致估计，为降低样本分割方式对估计结果的潜在影响，并进一步抑制过拟合带来的噪声干扰，本文对 DML 估计中的交叉拟合折数（K）进行敏感性检验。基准回归采用K=5的交叉拟合结构，此处分别将交叉折数调整为 K=4 和 K=6，并重新估计公共数据平台开放的平均处理效应。结果显示，当 K=4 时，估计系数为 0.204，在 1% 水平上显著；当 </w:t>
      </w:r>
    </w:p>
    <w:p w14:paraId="764E0123">
      <w:pPr>
        <w:ind w:left="0" w:leftChars="0" w:firstLine="0" w:firstLineChars="0"/>
        <w:jc w:val="left"/>
        <w:rPr>
          <w:rFonts w:hint="default"/>
          <w:lang w:val="en-US" w:eastAsia="zh-CN"/>
          <w:woUserID w:val="1"/>
        </w:rPr>
      </w:pPr>
      <w:r>
        <w:rPr>
          <w:rFonts w:hint="eastAsia"/>
          <w:lang w:val="en-US" w:eastAsia="zh-CN"/>
          <w:woUserID w:val="1"/>
        </w:rPr>
        <w:t>K=6 时，估计系数为 0.2256，同样在 1% 水平上显著。两种设定下的系数值与基准回归系数（0.2784）方向一致，且在统计显著性上无实质变化。这表明，改变交叉折数未对核心结论造成明显影响，具有较强的稳健性。</w:t>
      </w:r>
    </w:p>
    <w:p w14:paraId="498E0AEE">
      <w:pPr>
        <w:pStyle w:val="3"/>
      </w:pPr>
      <w:bookmarkStart w:id="35" w:name="_Toc228914700"/>
      <w:r>
        <w:rPr>
          <w:rFonts w:hint="eastAsia"/>
        </w:rPr>
        <w:t>异质性分析</w:t>
      </w:r>
      <w:bookmarkEnd w:id="35"/>
    </w:p>
    <w:p w14:paraId="69462F4A">
      <w:pPr>
        <w:ind w:firstLine="480"/>
      </w:pPr>
      <w:r>
        <w:t>我国地域广阔，区域间在经济发展水平、产业结构、要素禀赋以及制度环境等方面呈现明显分化。为进一步考察公共数据开放对企业诉求量影响的区域差异，本文依据国家统计局区域划分标准，将样本划分为东部、中部、西部及东北四大区域。东部地区包括北京、天津、河北、上海、江苏、浙江、福建、山东、广东和海南10省（市）；中部地区包括山西、安徽、江西、河南、湖北和湖南6省；西部地区包括内蒙古、广西、重庆、四川、贵州、云南、西藏、陕西、甘肃、青海、宁夏和新疆12省（区、市）；东北地区包括辽宁、吉林和黑龙江。并在各子样本中分别采用随机森林-双重机器学习方法进行估计。结果如表</w:t>
      </w:r>
      <w:r>
        <w:rPr>
          <w:rFonts w:hint="eastAsia"/>
          <w:lang w:val="en-US" w:eastAsia="zh-CN"/>
        </w:rPr>
        <w:t>6</w:t>
      </w:r>
      <w:r>
        <w:t>所示。</w:t>
      </w:r>
    </w:p>
    <w:p w14:paraId="44911A20">
      <w:pPr>
        <w:pStyle w:val="52"/>
      </w:pPr>
      <w:bookmarkStart w:id="36" w:name="_Toc30507"/>
      <w:r>
        <w:rPr>
          <w:rFonts w:hint="eastAsia"/>
        </w:rPr>
        <w:t>表</w:t>
      </w:r>
      <w:r>
        <w:rPr>
          <w:rFonts w:hint="eastAsia"/>
          <w:lang w:eastAsia="zh"/>
          <w:woUserID w:val="1"/>
        </w:rPr>
        <w:t>6</w:t>
      </w:r>
      <w:r>
        <w:rPr>
          <w:rFonts w:hint="eastAsia"/>
        </w:rPr>
        <w:t xml:space="preserve"> 异质性分析结果</w:t>
      </w:r>
      <w:bookmarkEnd w:id="36"/>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54"/>
        <w:gridCol w:w="2154"/>
      </w:tblGrid>
      <w:tr w14:paraId="0F878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154" w:type="dxa"/>
            <w:tcBorders>
              <w:top w:val="single" w:color="000000" w:sz="12" w:space="0"/>
              <w:left w:val="nil"/>
              <w:bottom w:val="single" w:color="000000" w:sz="4" w:space="0"/>
              <w:right w:val="nil"/>
              <w:tl2br w:val="nil"/>
            </w:tcBorders>
            <w:shd w:val="clear" w:color="auto" w:fill="FFFFFF"/>
            <w:vAlign w:val="center"/>
          </w:tcPr>
          <w:p w14:paraId="0DA41B37">
            <w:pPr>
              <w:pStyle w:val="44"/>
              <w:widowControl w:val="0"/>
              <w:rPr>
                <w:color w:val="000000"/>
                <w:lang w:eastAsia="zh"/>
              </w:rPr>
            </w:pPr>
            <w:r>
              <w:rPr>
                <w:color w:val="000000"/>
                <w:lang w:eastAsia="zh"/>
              </w:rPr>
              <w:t>地区</w:t>
            </w:r>
          </w:p>
        </w:tc>
        <w:tc>
          <w:tcPr>
            <w:tcW w:w="2154" w:type="dxa"/>
            <w:tcBorders>
              <w:top w:val="single" w:color="000000" w:sz="12" w:space="0"/>
              <w:left w:val="nil"/>
              <w:bottom w:val="single" w:color="000000" w:sz="4" w:space="0"/>
              <w:right w:val="nil"/>
            </w:tcBorders>
            <w:shd w:val="clear" w:color="auto" w:fill="FFFFFF"/>
            <w:vAlign w:val="center"/>
          </w:tcPr>
          <w:p w14:paraId="6BB4BB6F">
            <w:pPr>
              <w:pStyle w:val="44"/>
              <w:widowControl w:val="0"/>
              <w:rPr>
                <w:color w:val="000000"/>
                <w:lang w:eastAsia="zh"/>
              </w:rPr>
            </w:pPr>
            <w:r>
              <w:rPr>
                <w:color w:val="000000"/>
                <w:lang w:eastAsia="zh"/>
              </w:rPr>
              <w:t>ATE</w:t>
            </w:r>
          </w:p>
        </w:tc>
      </w:tr>
      <w:tr w14:paraId="3BA28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154" w:type="dxa"/>
            <w:tcBorders>
              <w:top w:val="single" w:color="000000" w:sz="4" w:space="0"/>
              <w:left w:val="nil"/>
              <w:bottom w:val="nil"/>
              <w:right w:val="nil"/>
            </w:tcBorders>
            <w:shd w:val="clear" w:color="auto" w:fill="FFFFFF"/>
            <w:vAlign w:val="center"/>
          </w:tcPr>
          <w:p w14:paraId="5CB35323">
            <w:pPr>
              <w:pStyle w:val="44"/>
              <w:widowControl w:val="0"/>
              <w:rPr>
                <w:color w:val="000000"/>
                <w:lang w:eastAsia="zh"/>
              </w:rPr>
            </w:pPr>
            <w:r>
              <w:rPr>
                <w:color w:val="000000"/>
                <w:lang w:eastAsia="zh"/>
              </w:rPr>
              <w:t>东部</w:t>
            </w:r>
          </w:p>
        </w:tc>
        <w:tc>
          <w:tcPr>
            <w:tcW w:w="2154" w:type="dxa"/>
            <w:tcBorders>
              <w:top w:val="single" w:color="000000" w:sz="4" w:space="0"/>
              <w:left w:val="nil"/>
              <w:bottom w:val="nil"/>
              <w:right w:val="nil"/>
            </w:tcBorders>
            <w:shd w:val="clear" w:color="auto" w:fill="FFFFFF"/>
            <w:vAlign w:val="center"/>
          </w:tcPr>
          <w:p w14:paraId="6689482B">
            <w:pPr>
              <w:pStyle w:val="44"/>
              <w:widowControl w:val="0"/>
              <w:rPr>
                <w:color w:val="000000"/>
                <w:lang w:eastAsia="zh"/>
              </w:rPr>
            </w:pPr>
            <w:r>
              <w:rPr>
                <w:color w:val="000000"/>
                <w:lang w:eastAsia="zh"/>
              </w:rPr>
              <w:t>0.3534***</w:t>
            </w:r>
          </w:p>
        </w:tc>
      </w:tr>
      <w:tr w14:paraId="11F41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154" w:type="dxa"/>
            <w:tcBorders>
              <w:top w:val="nil"/>
              <w:left w:val="nil"/>
              <w:bottom w:val="nil"/>
              <w:right w:val="nil"/>
            </w:tcBorders>
            <w:shd w:val="clear" w:color="auto" w:fill="FFFFFF"/>
            <w:vAlign w:val="center"/>
          </w:tcPr>
          <w:p w14:paraId="6616DACA">
            <w:pPr>
              <w:pStyle w:val="44"/>
              <w:widowControl w:val="0"/>
              <w:rPr>
                <w:color w:val="000000"/>
                <w:lang w:eastAsia="zh"/>
              </w:rPr>
            </w:pPr>
            <w:r>
              <w:rPr>
                <w:color w:val="000000"/>
                <w:lang w:eastAsia="zh"/>
              </w:rPr>
              <w:t>中部</w:t>
            </w:r>
          </w:p>
        </w:tc>
        <w:tc>
          <w:tcPr>
            <w:tcW w:w="2154" w:type="dxa"/>
            <w:tcBorders>
              <w:top w:val="nil"/>
              <w:left w:val="nil"/>
              <w:bottom w:val="nil"/>
              <w:right w:val="nil"/>
            </w:tcBorders>
            <w:shd w:val="clear" w:color="auto" w:fill="FFFFFF"/>
            <w:vAlign w:val="center"/>
          </w:tcPr>
          <w:p w14:paraId="15D470B2">
            <w:pPr>
              <w:pStyle w:val="44"/>
              <w:widowControl w:val="0"/>
              <w:rPr>
                <w:color w:val="000000"/>
                <w:lang w:eastAsia="zh"/>
              </w:rPr>
            </w:pPr>
            <w:r>
              <w:rPr>
                <w:color w:val="000000"/>
                <w:lang w:eastAsia="zh"/>
              </w:rPr>
              <w:t>1.7834***</w:t>
            </w:r>
          </w:p>
        </w:tc>
      </w:tr>
      <w:tr w14:paraId="5AD9E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154" w:type="dxa"/>
            <w:tcBorders>
              <w:top w:val="nil"/>
              <w:left w:val="nil"/>
              <w:bottom w:val="nil"/>
              <w:right w:val="nil"/>
            </w:tcBorders>
            <w:shd w:val="clear" w:color="auto" w:fill="FFFFFF"/>
            <w:vAlign w:val="center"/>
          </w:tcPr>
          <w:p w14:paraId="5B8C21B4">
            <w:pPr>
              <w:pStyle w:val="44"/>
              <w:widowControl w:val="0"/>
              <w:rPr>
                <w:color w:val="000000"/>
                <w:lang w:eastAsia="zh"/>
              </w:rPr>
            </w:pPr>
            <w:r>
              <w:rPr>
                <w:color w:val="000000"/>
                <w:lang w:eastAsia="zh"/>
              </w:rPr>
              <w:t>东北</w:t>
            </w:r>
          </w:p>
        </w:tc>
        <w:tc>
          <w:tcPr>
            <w:tcW w:w="2154" w:type="dxa"/>
            <w:tcBorders>
              <w:top w:val="nil"/>
              <w:left w:val="nil"/>
              <w:bottom w:val="nil"/>
              <w:right w:val="nil"/>
            </w:tcBorders>
            <w:shd w:val="clear" w:color="auto" w:fill="FFFFFF"/>
            <w:vAlign w:val="center"/>
          </w:tcPr>
          <w:p w14:paraId="29F5EEE1">
            <w:pPr>
              <w:pStyle w:val="44"/>
              <w:widowControl w:val="0"/>
              <w:rPr>
                <w:color w:val="000000"/>
                <w:lang w:eastAsia="zh"/>
              </w:rPr>
            </w:pPr>
            <w:r>
              <w:rPr>
                <w:color w:val="000000"/>
                <w:lang w:eastAsia="zh"/>
              </w:rPr>
              <w:t>2.1592**</w:t>
            </w:r>
          </w:p>
        </w:tc>
      </w:tr>
      <w:tr w14:paraId="0CA32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154" w:type="dxa"/>
            <w:tcBorders>
              <w:top w:val="nil"/>
              <w:left w:val="nil"/>
              <w:bottom w:val="single" w:color="000000" w:sz="12" w:space="0"/>
              <w:right w:val="nil"/>
            </w:tcBorders>
            <w:shd w:val="clear" w:color="auto" w:fill="FFFFFF"/>
            <w:vAlign w:val="center"/>
          </w:tcPr>
          <w:p w14:paraId="7414C77A">
            <w:pPr>
              <w:pStyle w:val="44"/>
              <w:widowControl w:val="0"/>
              <w:rPr>
                <w:color w:val="000000"/>
                <w:lang w:eastAsia="zh"/>
              </w:rPr>
            </w:pPr>
            <w:r>
              <w:rPr>
                <w:color w:val="000000"/>
                <w:lang w:eastAsia="zh"/>
              </w:rPr>
              <w:t>西部</w:t>
            </w:r>
          </w:p>
        </w:tc>
        <w:tc>
          <w:tcPr>
            <w:tcW w:w="2154" w:type="dxa"/>
            <w:tcBorders>
              <w:top w:val="nil"/>
              <w:left w:val="nil"/>
              <w:bottom w:val="single" w:color="000000" w:sz="12" w:space="0"/>
              <w:right w:val="nil"/>
            </w:tcBorders>
            <w:shd w:val="clear" w:color="auto" w:fill="FFFFFF"/>
            <w:vAlign w:val="center"/>
          </w:tcPr>
          <w:p w14:paraId="5C3587AF">
            <w:pPr>
              <w:pStyle w:val="44"/>
              <w:widowControl w:val="0"/>
              <w:rPr>
                <w:color w:val="000000"/>
                <w:lang w:eastAsia="zh"/>
              </w:rPr>
            </w:pPr>
            <w:r>
              <w:rPr>
                <w:color w:val="000000"/>
                <w:lang w:eastAsia="zh"/>
              </w:rPr>
              <w:t>1.3602***</w:t>
            </w:r>
          </w:p>
        </w:tc>
      </w:tr>
    </w:tbl>
    <w:p w14:paraId="6956D43A">
      <w:r>
        <w:rPr>
          <w:rFonts w:hint="eastAsia"/>
        </w:rPr>
        <w:t>注：</w:t>
      </w:r>
      <w:r>
        <w:t>***</w:t>
      </w:r>
      <w:r>
        <w:rPr>
          <w:rFonts w:hint="eastAsia"/>
        </w:rPr>
        <w:t>表示</w:t>
      </w:r>
      <w:r>
        <w:t>p&lt;0.01,**</w:t>
      </w:r>
      <w:r>
        <w:rPr>
          <w:rFonts w:hint="eastAsia"/>
        </w:rPr>
        <w:t>表示</w:t>
      </w:r>
      <w:r>
        <w:t>p&lt;0.05,*</w:t>
      </w:r>
      <w:r>
        <w:rPr>
          <w:rFonts w:hint="eastAsia"/>
        </w:rPr>
        <w:t>表示</w:t>
      </w:r>
      <w:r>
        <w:t>p&lt;0.1</w:t>
      </w:r>
    </w:p>
    <w:p w14:paraId="4318B712">
      <w:pPr>
        <w:ind w:firstLine="480"/>
      </w:pPr>
      <w:r>
        <w:t>从估计结果来看，公共数据开放在各区域均对企业诉求量产生正向影响，但显著性与作用强度存在明显差异，公共数据开放对企业诉求行为的促进作用在东北和中部地区更为显著，而在东部地区则表现出较弱的边际效应。对于这一现象，其主要原因大概可以归结于以下几个方面：</w:t>
      </w:r>
    </w:p>
    <w:p w14:paraId="26340D00">
      <w:pPr>
        <w:pStyle w:val="4"/>
        <w:ind w:firstLine="482"/>
      </w:pPr>
      <w:bookmarkStart w:id="37" w:name="_Toc228914701"/>
      <w:r>
        <w:t>东北地区：产业结构偏重与信息摩擦较高</w:t>
      </w:r>
      <w:bookmarkEnd w:id="37"/>
    </w:p>
    <w:p w14:paraId="35E37C36">
      <w:pPr>
        <w:ind w:firstLine="480"/>
      </w:pPr>
      <w:r>
        <w:t>东北地区长期以传统工业为主，市场活力相对不足，政企之间信息不对称程度较高。公共数据开放通过提供更加透明的信息环境，有助于降低信息获取成本，推动企业更有效地表达自身诉求，从而在该地区产生较强的促进作用。</w:t>
      </w:r>
    </w:p>
    <w:p w14:paraId="7320FAD5">
      <w:pPr>
        <w:pStyle w:val="4"/>
        <w:ind w:firstLine="482"/>
      </w:pPr>
      <w:bookmarkStart w:id="38" w:name="_Toc228914702"/>
      <w:r>
        <w:t>中部地区：产业承接与转型带来的需求释放</w:t>
      </w:r>
      <w:bookmarkEnd w:id="38"/>
    </w:p>
    <w:p w14:paraId="5343A7B4">
      <w:pPr>
        <w:ind w:firstLine="480"/>
      </w:pPr>
      <w:r>
        <w:t>中部地区正处于承接东部产业转移与经济结构转型阶段，企业数量增长较快，对制度环境与信息资源的依赖程度较高。公共数据开放为企业提供了更多获取政策与市场信息的渠道，有助于优化资源配置，进而促进企业诉求表达行为的提升。</w:t>
      </w:r>
    </w:p>
    <w:p w14:paraId="658574A3">
      <w:pPr>
        <w:pStyle w:val="4"/>
        <w:ind w:firstLine="482"/>
      </w:pPr>
      <w:bookmarkStart w:id="39" w:name="_Toc228914703"/>
      <w:r>
        <w:t>西部地区：基础约束下的吸收能力限制</w:t>
      </w:r>
      <w:bookmarkEnd w:id="39"/>
    </w:p>
    <w:p w14:paraId="4BD87FA9">
      <w:pPr>
        <w:ind w:firstLine="480"/>
      </w:pPr>
      <w:r>
        <w:t>西部地区在信息基础设施和市场发育程度方面相对滞后，尽管公共数据开放能够提供新的信息资源，但由于数据要素利用能力与制度配套环境尚不完善，其潜在效应难以及时转化为企业行为响应。因此，其促进作用虽显著，但整体弱于中部和东北地区。</w:t>
      </w:r>
    </w:p>
    <w:p w14:paraId="4BA64631">
      <w:pPr>
        <w:pStyle w:val="4"/>
        <w:ind w:firstLine="482"/>
      </w:pPr>
      <w:bookmarkStart w:id="40" w:name="_Toc228914704"/>
      <w:r>
        <w:t>东部地区：信息环境完善与边际效应递减</w:t>
      </w:r>
      <w:bookmarkEnd w:id="40"/>
    </w:p>
    <w:p w14:paraId="6FF09750">
      <w:pPr>
        <w:ind w:firstLine="480"/>
      </w:pPr>
      <w:r>
        <w:t>东部地区经济发展水平较高，市场化程度和信息透明度已处于较高水平，企业获取信息与表达诉求的渠道相对丰富。在此背景下，公共数据开放所带来的信息增量有限，因而对企业诉求行为的边际促进作用相对较弱。</w:t>
      </w:r>
    </w:p>
    <w:p w14:paraId="1EFF5648">
      <w:pPr>
        <w:rPr>
          <w:rFonts w:hint="eastAsia"/>
        </w:rPr>
      </w:pPr>
      <w:r>
        <w:br w:type="page"/>
      </w:r>
    </w:p>
    <w:p w14:paraId="548E6AA2">
      <w:pPr>
        <w:pStyle w:val="2"/>
        <w:rPr>
          <w:rFonts w:hint="eastAsia"/>
        </w:rPr>
      </w:pPr>
      <w:bookmarkStart w:id="41" w:name="_Toc228914705"/>
      <w:r>
        <w:rPr>
          <w:rFonts w:hint="eastAsia"/>
        </w:rPr>
        <w:t>机制分析</w:t>
      </w:r>
      <w:bookmarkEnd w:id="41"/>
    </w:p>
    <w:p w14:paraId="769DB199">
      <w:pPr>
        <w:ind w:firstLine="480"/>
      </w:pPr>
      <w:r>
        <w:rPr>
          <w:rFonts w:hint="eastAsia"/>
        </w:rPr>
        <w:t>在评估公共数据开放对企业诉求的影响时，不仅要考察其总体的减缓效应，更需识别其发挥作用的传导路径。本文认为，公共数据开放通过优化地区营商环境，构成了影响企业诉求的关键传导机制。</w:t>
      </w:r>
    </w:p>
    <w:p w14:paraId="1AB3383D">
      <w:pPr>
        <w:pStyle w:val="3"/>
      </w:pPr>
      <w:bookmarkStart w:id="42" w:name="_Toc228914706"/>
      <w:r>
        <w:rPr>
          <w:rFonts w:hint="eastAsia"/>
        </w:rPr>
        <w:t>公共数据开放对营商环境的驱动逻辑</w:t>
      </w:r>
      <w:bookmarkEnd w:id="42"/>
    </w:p>
    <w:p w14:paraId="68814729">
      <w:pPr>
        <w:pStyle w:val="4"/>
        <w:ind w:firstLine="482"/>
      </w:pPr>
      <w:bookmarkStart w:id="43" w:name="_Toc228914707"/>
      <w:r>
        <w:rPr>
          <w:rFonts w:hint="eastAsia"/>
        </w:rPr>
        <w:t>金融服务环境维度</w:t>
      </w:r>
      <w:bookmarkEnd w:id="43"/>
    </w:p>
    <w:p w14:paraId="4293E947">
      <w:pPr>
        <w:ind w:firstLine="480"/>
      </w:pPr>
      <w:r>
        <w:rPr>
          <w:rFonts w:hint="eastAsia"/>
        </w:rPr>
        <w:t>公共数据开放有助于缓解银企之间的信息不对称。政府开放的企业工商登记、纳税信用、社保缴纳、司法判决等数据，可被金融机构用于构建更精准的企业信用画像，从而降低中小企业的授信门槛与融资成本。民间融资效率（年末金融机构各项存款余额）与总体融资效率（年末金融机构各项贷款余额）的提升，直接回应了企业“融资难、融资贵”这一核心制度性障碍。</w:t>
      </w:r>
    </w:p>
    <w:p w14:paraId="3F692C86">
      <w:pPr>
        <w:pStyle w:val="4"/>
        <w:ind w:firstLine="482"/>
      </w:pPr>
      <w:bookmarkStart w:id="44" w:name="_Toc228914708"/>
      <w:r>
        <w:rPr>
          <w:rFonts w:hint="eastAsia"/>
        </w:rPr>
        <w:t>人力要素环境维度</w:t>
      </w:r>
      <w:bookmarkEnd w:id="44"/>
    </w:p>
    <w:p w14:paraId="40DDE174">
      <w:pPr>
        <w:ind w:firstLine="480"/>
      </w:pPr>
      <w:r>
        <w:rPr>
          <w:rFonts w:hint="eastAsia"/>
        </w:rPr>
        <w:t>公共数据开放通过提升劳动力市场的匹配效率，优化人力要素配置。开放的就业信息、技能培训资源、人才政策数据，降低了企业与求职者之间的搜寻成本。劳动力数量（年末单位从业人员数）与劳动力质量（普通高等学校在校学生数）的改善，为企业提供了充足且优质的人力资本储备，减少了企业因“招工难”而产生的经营诉求。</w:t>
      </w:r>
    </w:p>
    <w:p w14:paraId="1B1EF1A4">
      <w:pPr>
        <w:pStyle w:val="4"/>
        <w:ind w:firstLine="482"/>
      </w:pPr>
      <w:bookmarkStart w:id="45" w:name="_Toc228914709"/>
      <w:r>
        <w:rPr>
          <w:rFonts w:hint="eastAsia"/>
        </w:rPr>
        <w:t>市场环境维度</w:t>
      </w:r>
      <w:bookmarkEnd w:id="45"/>
    </w:p>
    <w:p w14:paraId="0D28D388">
      <w:pPr>
        <w:ind w:firstLine="480"/>
      </w:pPr>
      <w:r>
        <w:rPr>
          <w:rFonts w:hint="eastAsia"/>
        </w:rPr>
        <w:t>公共数据开放通过提高市场透明度，降低企业的制度性交易成本。人均GDP与GDP增速反映了地区的经济活力与市场规模；进出口总额与外商直接投资额则体现了地区的开放程度。公共数据开放使企业能够更及时地获取市场准入、贸易政策、投资环境等信息，从而减少因信息壁垒导致的决策失误与合规成本。</w:t>
      </w:r>
    </w:p>
    <w:p w14:paraId="7247CFA9">
      <w:pPr>
        <w:pStyle w:val="4"/>
        <w:ind w:firstLine="482"/>
      </w:pPr>
      <w:bookmarkStart w:id="46" w:name="_Toc228914710"/>
      <w:r>
        <w:rPr>
          <w:rFonts w:hint="eastAsia"/>
        </w:rPr>
        <w:t>社会服务环境维度</w:t>
      </w:r>
      <w:bookmarkEnd w:id="46"/>
    </w:p>
    <w:p w14:paraId="47F67CA2">
      <w:pPr>
        <w:ind w:firstLine="480"/>
      </w:pPr>
      <w:r>
        <w:rPr>
          <w:rFonts w:hint="eastAsia"/>
        </w:rPr>
        <w:t>公共数据开放推动水、气、电等公共服务的数字化与智能化转型。供水能力、供气能力、工业供电能力等基础设施数据的开放，便于企业实时监控资源使用情况并优化生产调度；医疗服务数据的开放则有助于企业制定更完善的职工健康保障方案。社会服务环境的改善，从基础设施层面减少了企业因“停水、断电、缺气”等突发问题产生的应急诉求。</w:t>
      </w:r>
    </w:p>
    <w:p w14:paraId="56181E9A">
      <w:pPr>
        <w:pStyle w:val="4"/>
        <w:ind w:firstLine="482"/>
      </w:pPr>
      <w:bookmarkStart w:id="47" w:name="_Toc228914711"/>
      <w:r>
        <w:rPr>
          <w:rFonts w:hint="eastAsia"/>
        </w:rPr>
        <w:t>创新环境维度</w:t>
      </w:r>
      <w:bookmarkEnd w:id="47"/>
    </w:p>
    <w:p w14:paraId="765AEC48">
      <w:pPr>
        <w:ind w:firstLine="480"/>
      </w:pPr>
      <w:r>
        <w:rPr>
          <w:rFonts w:hint="eastAsia"/>
        </w:rPr>
        <w:t>公共数据开放本身就是创新的催化剂。政府开放的科学数据、专利信息、研发补贴政策等，降低了企业的知识获取成本与技术搜索难度。地方财政科学费用支出的增加，反映了地方政府对创新的重视程度；公共数据开放则进一步放大了财政支出的杠杆效应，使企业能够更高效地识别技术机会、规避研发风险，从而减少因“创新焦虑”产生的政策诉求。</w:t>
      </w:r>
    </w:p>
    <w:p w14:paraId="19278D68">
      <w:pPr>
        <w:pStyle w:val="3"/>
      </w:pPr>
      <w:bookmarkStart w:id="48" w:name="_Toc228914712"/>
      <w:r>
        <w:rPr>
          <w:rFonts w:hint="eastAsia"/>
        </w:rPr>
        <w:t>营商环境指标构建</w:t>
      </w:r>
      <w:bookmarkEnd w:id="48"/>
    </w:p>
    <w:p w14:paraId="1D687D04">
      <w:pPr>
        <w:pStyle w:val="50"/>
        <w:spacing w:before="0" w:after="120" w:line="360" w:lineRule="auto"/>
        <w:ind w:firstLine="480" w:firstLineChars="200"/>
        <w:jc w:val="both"/>
        <w:rPr>
          <w:rFonts w:hint="eastAsia" w:ascii="宋体" w:hAnsi="宋体" w:eastAsia="宋体" w:cs="宋体"/>
        </w:rPr>
      </w:pPr>
      <w:r>
        <w:rPr>
          <w:rFonts w:hint="eastAsia" w:ascii="宋体" w:hAnsi="宋体" w:eastAsia="宋体" w:cs="宋体"/>
        </w:rPr>
        <w:t>参考王鸿</w:t>
      </w:r>
      <w:r>
        <w:rPr>
          <w:rFonts w:hint="default" w:ascii="Times New Roman Regular" w:hAnsi="Times New Roman Regular" w:eastAsia="宋体" w:cs="Times New Roman Regular"/>
        </w:rPr>
        <w:t>（2026）</w:t>
      </w:r>
      <w:r>
        <w:rPr>
          <w:rFonts w:hint="eastAsia" w:ascii="宋体" w:hAnsi="宋体" w:eastAsia="宋体" w:cs="宋体"/>
        </w:rPr>
        <w:t>的研究思路，本文从金融服务环境、人力要素环境、市场环境、社会服务环境与创新环境五个维度，构建城市营商环境评价指标体系。各层级指标的具体构成及权重如表</w:t>
      </w:r>
      <w:r>
        <w:rPr>
          <w:rFonts w:hint="eastAsia" w:ascii="宋体" w:hAnsi="宋体" w:eastAsia="宋体" w:cs="宋体"/>
          <w:lang w:val="en-US" w:eastAsia="zh-CN"/>
        </w:rPr>
        <w:t>7</w:t>
      </w:r>
      <w:r>
        <w:rPr>
          <w:rFonts w:hint="eastAsia" w:ascii="宋体" w:hAnsi="宋体" w:eastAsia="宋体" w:cs="宋体"/>
        </w:rPr>
        <w:t>所示，权重通过熵值法测算得出。</w:t>
      </w:r>
      <w:r>
        <w:rPr>
          <w:rFonts w:hint="eastAsia" w:ascii="宋体" w:hAnsi="宋体" w:eastAsia="宋体" w:cs="宋体"/>
          <w:vertAlign w:val="superscript"/>
        </w:rPr>
        <w:fldChar w:fldCharType="begin"/>
      </w:r>
      <w:r>
        <w:rPr>
          <w:rFonts w:hint="eastAsia" w:ascii="宋体" w:hAnsi="宋体" w:eastAsia="宋体" w:cs="宋体"/>
          <w:vertAlign w:val="superscript"/>
        </w:rPr>
        <w:instrText xml:space="preserve"> REF _Ref228914452 \r \h  \* MERGEFORMAT </w:instrText>
      </w:r>
      <w:r>
        <w:rPr>
          <w:rFonts w:hint="eastAsia" w:ascii="宋体" w:hAnsi="宋体" w:eastAsia="宋体" w:cs="宋体"/>
          <w:vertAlign w:val="superscript"/>
        </w:rPr>
        <w:fldChar w:fldCharType="separate"/>
      </w:r>
      <w:r>
        <w:rPr>
          <w:rFonts w:hint="eastAsia" w:ascii="宋体" w:hAnsi="宋体" w:eastAsia="宋体" w:cs="宋体"/>
          <w:vertAlign w:val="superscript"/>
        </w:rPr>
        <w:t>[22]</w:t>
      </w:r>
      <w:r>
        <w:rPr>
          <w:rFonts w:hint="eastAsia" w:ascii="宋体" w:hAnsi="宋体" w:eastAsia="宋体" w:cs="宋体"/>
          <w:vertAlign w:val="superscript"/>
        </w:rPr>
        <w:fldChar w:fldCharType="end"/>
      </w:r>
      <w:r>
        <w:rPr>
          <w:rFonts w:hint="eastAsia" w:ascii="宋体" w:hAnsi="宋体" w:eastAsia="宋体" w:cs="宋体"/>
          <w:vertAlign w:val="superscript"/>
        </w:rPr>
        <w:fldChar w:fldCharType="begin"/>
      </w:r>
      <w:r>
        <w:rPr>
          <w:rFonts w:hint="eastAsia" w:ascii="宋体" w:hAnsi="宋体" w:eastAsia="宋体" w:cs="宋体"/>
          <w:vertAlign w:val="superscript"/>
        </w:rPr>
        <w:instrText xml:space="preserve"> REF _Ref228914552 \r \h  \* MERGEFORMAT </w:instrText>
      </w:r>
      <w:r>
        <w:rPr>
          <w:rFonts w:hint="eastAsia" w:ascii="宋体" w:hAnsi="宋体" w:eastAsia="宋体" w:cs="宋体"/>
          <w:vertAlign w:val="superscript"/>
        </w:rPr>
        <w:fldChar w:fldCharType="separate"/>
      </w:r>
      <w:r>
        <w:rPr>
          <w:rFonts w:hint="eastAsia" w:ascii="宋体" w:hAnsi="宋体" w:eastAsia="宋体" w:cs="宋体"/>
          <w:vertAlign w:val="superscript"/>
        </w:rPr>
        <w:t>[27]</w:t>
      </w:r>
      <w:r>
        <w:rPr>
          <w:rFonts w:hint="eastAsia" w:ascii="宋体" w:hAnsi="宋体" w:eastAsia="宋体" w:cs="宋体"/>
          <w:vertAlign w:val="superscript"/>
        </w:rPr>
        <w:fldChar w:fldCharType="end"/>
      </w:r>
      <w:r>
        <w:rPr>
          <w:rFonts w:hint="eastAsia" w:ascii="宋体" w:hAnsi="宋体" w:eastAsia="宋体" w:cs="宋体"/>
          <w:vertAlign w:val="superscript"/>
        </w:rPr>
        <w:fldChar w:fldCharType="begin"/>
      </w:r>
      <w:r>
        <w:rPr>
          <w:rFonts w:hint="eastAsia" w:ascii="宋体" w:hAnsi="宋体" w:eastAsia="宋体" w:cs="宋体"/>
          <w:vertAlign w:val="superscript"/>
        </w:rPr>
        <w:instrText xml:space="preserve"> REF _Ref228914554 \r \h  \* MERGEFORMAT </w:instrText>
      </w:r>
      <w:r>
        <w:rPr>
          <w:rFonts w:hint="eastAsia" w:ascii="宋体" w:hAnsi="宋体" w:eastAsia="宋体" w:cs="宋体"/>
          <w:vertAlign w:val="superscript"/>
        </w:rPr>
        <w:fldChar w:fldCharType="separate"/>
      </w:r>
      <w:r>
        <w:rPr>
          <w:rFonts w:hint="eastAsia" w:ascii="宋体" w:hAnsi="宋体" w:eastAsia="宋体" w:cs="宋体"/>
          <w:vertAlign w:val="superscript"/>
        </w:rPr>
        <w:t>[28]</w:t>
      </w:r>
      <w:r>
        <w:rPr>
          <w:rFonts w:hint="eastAsia" w:ascii="宋体" w:hAnsi="宋体" w:eastAsia="宋体" w:cs="宋体"/>
          <w:vertAlign w:val="superscript"/>
        </w:rPr>
        <w:fldChar w:fldCharType="end"/>
      </w:r>
    </w:p>
    <w:p w14:paraId="4C90B8B3">
      <w:pPr>
        <w:pStyle w:val="52"/>
      </w:pPr>
      <w:bookmarkStart w:id="49" w:name="_Toc19577"/>
      <w:r>
        <w:rPr>
          <w:rFonts w:hint="eastAsia"/>
          <w:lang w:bidi="ar"/>
        </w:rPr>
        <w:t>表</w:t>
      </w:r>
      <w:r>
        <w:rPr>
          <w:rFonts w:hint="eastAsia"/>
          <w:lang w:eastAsia="zh" w:bidi="ar"/>
          <w:woUserID w:val="1"/>
        </w:rPr>
        <w:t>7</w:t>
      </w:r>
      <w:r>
        <w:rPr>
          <w:rFonts w:hint="eastAsia"/>
          <w:lang w:bidi="ar"/>
        </w:rPr>
        <w:t xml:space="preserve"> 营商环境指标构建</w:t>
      </w:r>
      <w:bookmarkEnd w:id="49"/>
    </w:p>
    <w:tbl>
      <w:tblPr>
        <w:tblStyle w:val="51"/>
        <w:tblW w:w="4998" w:type="pct"/>
        <w:jc w:val="center"/>
        <w:tblLayout w:type="autofit"/>
        <w:tblCellMar>
          <w:top w:w="0" w:type="dxa"/>
          <w:left w:w="108" w:type="dxa"/>
          <w:bottom w:w="0" w:type="dxa"/>
          <w:right w:w="108" w:type="dxa"/>
        </w:tblCellMar>
      </w:tblPr>
      <w:tblGrid>
        <w:gridCol w:w="872"/>
        <w:gridCol w:w="1745"/>
        <w:gridCol w:w="4219"/>
        <w:gridCol w:w="872"/>
        <w:gridCol w:w="811"/>
      </w:tblGrid>
      <w:tr w14:paraId="306BF234">
        <w:tblPrEx>
          <w:tblCellMar>
            <w:top w:w="0" w:type="dxa"/>
            <w:left w:w="108" w:type="dxa"/>
            <w:bottom w:w="0" w:type="dxa"/>
            <w:right w:w="108" w:type="dxa"/>
          </w:tblCellMar>
        </w:tblPrEx>
        <w:trPr>
          <w:trHeight w:val="454" w:hRule="atLeast"/>
          <w:tblHeader/>
          <w:jc w:val="center"/>
        </w:trPr>
        <w:tc>
          <w:tcPr>
            <w:tcW w:w="512" w:type="pct"/>
            <w:tcBorders>
              <w:top w:val="single" w:color="000000" w:sz="12" w:space="0"/>
              <w:left w:val="nil"/>
              <w:bottom w:val="single" w:color="000000" w:sz="4" w:space="0"/>
              <w:right w:val="nil"/>
              <w:tl2br w:val="nil"/>
            </w:tcBorders>
            <w:shd w:val="clear" w:color="auto" w:fill="FFFFFF"/>
            <w:vAlign w:val="center"/>
          </w:tcPr>
          <w:p w14:paraId="670A9858">
            <w:pPr>
              <w:pStyle w:val="44"/>
              <w:bidi w:val="0"/>
            </w:pPr>
            <w:r>
              <w:rPr>
                <w:rFonts w:hint="eastAsia"/>
              </w:rPr>
              <w:t>一级指标</w:t>
            </w:r>
          </w:p>
        </w:tc>
        <w:tc>
          <w:tcPr>
            <w:tcW w:w="1024" w:type="pct"/>
            <w:tcBorders>
              <w:top w:val="single" w:color="000000" w:sz="12" w:space="0"/>
              <w:left w:val="nil"/>
              <w:bottom w:val="single" w:color="000000" w:sz="4" w:space="0"/>
              <w:right w:val="nil"/>
            </w:tcBorders>
            <w:shd w:val="clear" w:color="auto" w:fill="FFFFFF"/>
            <w:vAlign w:val="center"/>
          </w:tcPr>
          <w:p w14:paraId="1C8368B3">
            <w:pPr>
              <w:pStyle w:val="44"/>
              <w:bidi w:val="0"/>
            </w:pPr>
            <w:r>
              <w:rPr>
                <w:rFonts w:hint="eastAsia"/>
              </w:rPr>
              <w:t>二级指标</w:t>
            </w:r>
          </w:p>
        </w:tc>
        <w:tc>
          <w:tcPr>
            <w:tcW w:w="2476" w:type="pct"/>
            <w:tcBorders>
              <w:top w:val="single" w:color="000000" w:sz="12" w:space="0"/>
              <w:left w:val="nil"/>
              <w:bottom w:val="single" w:color="000000" w:sz="4" w:space="0"/>
              <w:right w:val="nil"/>
            </w:tcBorders>
            <w:shd w:val="clear" w:color="auto" w:fill="FFFFFF"/>
            <w:vAlign w:val="center"/>
          </w:tcPr>
          <w:p w14:paraId="785450BF">
            <w:pPr>
              <w:pStyle w:val="44"/>
              <w:bidi w:val="0"/>
            </w:pPr>
            <w:r>
              <w:rPr>
                <w:rFonts w:hint="eastAsia"/>
              </w:rPr>
              <w:t>三级指标</w:t>
            </w:r>
          </w:p>
        </w:tc>
        <w:tc>
          <w:tcPr>
            <w:tcW w:w="512" w:type="pct"/>
            <w:tcBorders>
              <w:top w:val="single" w:color="000000" w:sz="12" w:space="0"/>
              <w:left w:val="nil"/>
              <w:bottom w:val="single" w:color="000000" w:sz="4" w:space="0"/>
              <w:right w:val="nil"/>
            </w:tcBorders>
            <w:shd w:val="clear" w:color="auto" w:fill="FFFFFF"/>
            <w:vAlign w:val="center"/>
          </w:tcPr>
          <w:p w14:paraId="55AAB8A8">
            <w:pPr>
              <w:pStyle w:val="44"/>
              <w:bidi w:val="0"/>
            </w:pPr>
            <w:r>
              <w:rPr>
                <w:rFonts w:hint="eastAsia"/>
              </w:rPr>
              <w:t>指标方向</w:t>
            </w:r>
          </w:p>
        </w:tc>
        <w:tc>
          <w:tcPr>
            <w:tcW w:w="476" w:type="pct"/>
            <w:tcBorders>
              <w:top w:val="single" w:color="000000" w:sz="12" w:space="0"/>
              <w:left w:val="nil"/>
              <w:bottom w:val="single" w:color="000000" w:sz="4" w:space="0"/>
              <w:right w:val="nil"/>
            </w:tcBorders>
            <w:shd w:val="clear" w:color="auto" w:fill="FFFFFF"/>
            <w:vAlign w:val="center"/>
          </w:tcPr>
          <w:p w14:paraId="117AD5E2">
            <w:pPr>
              <w:pStyle w:val="44"/>
              <w:bidi w:val="0"/>
            </w:pPr>
            <w:r>
              <w:rPr>
                <w:rFonts w:hint="eastAsia"/>
              </w:rPr>
              <w:t>指标权重</w:t>
            </w:r>
          </w:p>
        </w:tc>
      </w:tr>
      <w:tr w14:paraId="2AF7F7BF">
        <w:tblPrEx>
          <w:tblCellMar>
            <w:top w:w="0" w:type="dxa"/>
            <w:left w:w="108" w:type="dxa"/>
            <w:bottom w:w="0" w:type="dxa"/>
            <w:right w:w="108" w:type="dxa"/>
          </w:tblCellMar>
        </w:tblPrEx>
        <w:trPr>
          <w:trHeight w:val="454" w:hRule="atLeast"/>
          <w:jc w:val="center"/>
        </w:trPr>
        <w:tc>
          <w:tcPr>
            <w:tcW w:w="512" w:type="pct"/>
            <w:vMerge w:val="restart"/>
            <w:tcBorders>
              <w:top w:val="single" w:color="000000" w:sz="4" w:space="0"/>
              <w:left w:val="nil"/>
              <w:right w:val="nil"/>
            </w:tcBorders>
            <w:shd w:val="clear" w:color="auto" w:fill="FFFFFF"/>
            <w:vAlign w:val="center"/>
          </w:tcPr>
          <w:p w14:paraId="38378A16">
            <w:pPr>
              <w:pStyle w:val="44"/>
              <w:bidi w:val="0"/>
            </w:pPr>
            <w:r>
              <w:rPr>
                <w:rFonts w:hint="eastAsia"/>
              </w:rPr>
              <w:t>金融服务环境</w:t>
            </w:r>
          </w:p>
        </w:tc>
        <w:tc>
          <w:tcPr>
            <w:tcW w:w="1024" w:type="pct"/>
            <w:tcBorders>
              <w:top w:val="single" w:color="000000" w:sz="4" w:space="0"/>
              <w:left w:val="nil"/>
              <w:bottom w:val="nil"/>
              <w:right w:val="nil"/>
            </w:tcBorders>
            <w:shd w:val="clear" w:color="auto" w:fill="FFFFFF"/>
            <w:vAlign w:val="center"/>
          </w:tcPr>
          <w:p w14:paraId="45B935A0">
            <w:pPr>
              <w:pStyle w:val="44"/>
              <w:bidi w:val="0"/>
            </w:pPr>
            <w:r>
              <w:rPr>
                <w:rFonts w:hint="eastAsia"/>
              </w:rPr>
              <w:t>民间融资效率</w:t>
            </w:r>
          </w:p>
        </w:tc>
        <w:tc>
          <w:tcPr>
            <w:tcW w:w="2476" w:type="pct"/>
            <w:tcBorders>
              <w:top w:val="single" w:color="000000" w:sz="4" w:space="0"/>
              <w:left w:val="nil"/>
              <w:bottom w:val="nil"/>
              <w:right w:val="nil"/>
            </w:tcBorders>
            <w:shd w:val="clear" w:color="auto" w:fill="FFFFFF"/>
            <w:vAlign w:val="center"/>
          </w:tcPr>
          <w:p w14:paraId="6D4B0779">
            <w:pPr>
              <w:pStyle w:val="44"/>
              <w:bidi w:val="0"/>
            </w:pPr>
            <w:r>
              <w:rPr>
                <w:rFonts w:hint="eastAsia"/>
              </w:rPr>
              <w:t>年末金融机构各项存款余额（万元）</w:t>
            </w:r>
          </w:p>
        </w:tc>
        <w:tc>
          <w:tcPr>
            <w:tcW w:w="512" w:type="pct"/>
            <w:tcBorders>
              <w:top w:val="single" w:color="000000" w:sz="4" w:space="0"/>
              <w:left w:val="nil"/>
              <w:bottom w:val="nil"/>
              <w:right w:val="nil"/>
            </w:tcBorders>
            <w:shd w:val="clear" w:color="auto" w:fill="FFFFFF"/>
            <w:vAlign w:val="center"/>
          </w:tcPr>
          <w:p w14:paraId="726AB0AE">
            <w:pPr>
              <w:pStyle w:val="44"/>
              <w:bidi w:val="0"/>
            </w:pPr>
            <w:r>
              <w:rPr>
                <w:rFonts w:hint="eastAsia"/>
              </w:rPr>
              <w:t>正项</w:t>
            </w:r>
          </w:p>
        </w:tc>
        <w:tc>
          <w:tcPr>
            <w:tcW w:w="476" w:type="pct"/>
            <w:tcBorders>
              <w:top w:val="single" w:color="000000" w:sz="4" w:space="0"/>
              <w:left w:val="nil"/>
              <w:bottom w:val="nil"/>
              <w:right w:val="nil"/>
            </w:tcBorders>
            <w:shd w:val="clear" w:color="auto" w:fill="FFFFFF"/>
            <w:vAlign w:val="center"/>
          </w:tcPr>
          <w:p w14:paraId="0208E9A4">
            <w:pPr>
              <w:pStyle w:val="44"/>
              <w:bidi w:val="0"/>
            </w:pPr>
            <w:r>
              <w:rPr>
                <w:rFonts w:hint="eastAsia"/>
              </w:rPr>
              <w:t>0.016</w:t>
            </w:r>
          </w:p>
        </w:tc>
      </w:tr>
      <w:tr w14:paraId="0CA1D3FE">
        <w:tblPrEx>
          <w:tblCellMar>
            <w:top w:w="0" w:type="dxa"/>
            <w:left w:w="108" w:type="dxa"/>
            <w:bottom w:w="0" w:type="dxa"/>
            <w:right w:w="108" w:type="dxa"/>
          </w:tblCellMar>
        </w:tblPrEx>
        <w:trPr>
          <w:trHeight w:val="454" w:hRule="atLeast"/>
          <w:jc w:val="center"/>
        </w:trPr>
        <w:tc>
          <w:tcPr>
            <w:tcW w:w="512" w:type="pct"/>
            <w:vMerge w:val="continue"/>
            <w:tcBorders>
              <w:left w:val="nil"/>
              <w:bottom w:val="nil"/>
              <w:right w:val="nil"/>
            </w:tcBorders>
            <w:shd w:val="clear" w:color="auto" w:fill="FFFFFF"/>
            <w:vAlign w:val="center"/>
          </w:tcPr>
          <w:p w14:paraId="05E81297">
            <w:pPr>
              <w:pStyle w:val="44"/>
              <w:bidi w:val="0"/>
            </w:pPr>
          </w:p>
        </w:tc>
        <w:tc>
          <w:tcPr>
            <w:tcW w:w="1024" w:type="pct"/>
            <w:tcBorders>
              <w:top w:val="nil"/>
              <w:left w:val="nil"/>
              <w:bottom w:val="nil"/>
              <w:right w:val="nil"/>
            </w:tcBorders>
            <w:shd w:val="clear" w:color="auto" w:fill="FFFFFF"/>
            <w:vAlign w:val="center"/>
          </w:tcPr>
          <w:p w14:paraId="331DD7D0">
            <w:pPr>
              <w:pStyle w:val="44"/>
              <w:bidi w:val="0"/>
            </w:pPr>
            <w:r>
              <w:rPr>
                <w:rFonts w:hint="eastAsia"/>
              </w:rPr>
              <w:t>总体融资效率</w:t>
            </w:r>
          </w:p>
        </w:tc>
        <w:tc>
          <w:tcPr>
            <w:tcW w:w="2476" w:type="pct"/>
            <w:tcBorders>
              <w:top w:val="nil"/>
              <w:left w:val="nil"/>
              <w:bottom w:val="nil"/>
              <w:right w:val="nil"/>
            </w:tcBorders>
            <w:shd w:val="clear" w:color="auto" w:fill="FFFFFF"/>
            <w:vAlign w:val="center"/>
          </w:tcPr>
          <w:p w14:paraId="1AED1FCE">
            <w:pPr>
              <w:pStyle w:val="44"/>
              <w:bidi w:val="0"/>
            </w:pPr>
            <w:r>
              <w:rPr>
                <w:rFonts w:hint="eastAsia"/>
              </w:rPr>
              <w:t>年末金融机构各项贷款余额（万元）</w:t>
            </w:r>
          </w:p>
        </w:tc>
        <w:tc>
          <w:tcPr>
            <w:tcW w:w="512" w:type="pct"/>
            <w:tcBorders>
              <w:top w:val="nil"/>
              <w:left w:val="nil"/>
              <w:bottom w:val="nil"/>
              <w:right w:val="nil"/>
            </w:tcBorders>
            <w:shd w:val="clear" w:color="auto" w:fill="FFFFFF"/>
            <w:vAlign w:val="center"/>
          </w:tcPr>
          <w:p w14:paraId="15E9E221">
            <w:pPr>
              <w:pStyle w:val="44"/>
              <w:bidi w:val="0"/>
            </w:pPr>
            <w:r>
              <w:rPr>
                <w:rFonts w:hint="eastAsia"/>
              </w:rPr>
              <w:t>正项</w:t>
            </w:r>
          </w:p>
        </w:tc>
        <w:tc>
          <w:tcPr>
            <w:tcW w:w="476" w:type="pct"/>
            <w:tcBorders>
              <w:top w:val="nil"/>
              <w:left w:val="nil"/>
              <w:bottom w:val="nil"/>
              <w:right w:val="nil"/>
            </w:tcBorders>
            <w:shd w:val="clear" w:color="auto" w:fill="FFFFFF"/>
            <w:vAlign w:val="center"/>
          </w:tcPr>
          <w:p w14:paraId="4894B99F">
            <w:pPr>
              <w:pStyle w:val="44"/>
              <w:bidi w:val="0"/>
            </w:pPr>
            <w:r>
              <w:rPr>
                <w:rFonts w:hint="eastAsia"/>
              </w:rPr>
              <w:t>0.012</w:t>
            </w:r>
          </w:p>
        </w:tc>
      </w:tr>
      <w:tr w14:paraId="20F2EB2B">
        <w:tblPrEx>
          <w:tblCellMar>
            <w:top w:w="0" w:type="dxa"/>
            <w:left w:w="108" w:type="dxa"/>
            <w:bottom w:w="0" w:type="dxa"/>
            <w:right w:w="108" w:type="dxa"/>
          </w:tblCellMar>
        </w:tblPrEx>
        <w:trPr>
          <w:trHeight w:val="454" w:hRule="atLeast"/>
          <w:jc w:val="center"/>
        </w:trPr>
        <w:tc>
          <w:tcPr>
            <w:tcW w:w="512" w:type="pct"/>
            <w:vMerge w:val="restart"/>
            <w:tcBorders>
              <w:top w:val="nil"/>
              <w:left w:val="nil"/>
              <w:right w:val="nil"/>
            </w:tcBorders>
            <w:shd w:val="clear" w:color="auto" w:fill="FFFFFF"/>
            <w:vAlign w:val="center"/>
          </w:tcPr>
          <w:p w14:paraId="374E78D6">
            <w:pPr>
              <w:pStyle w:val="44"/>
              <w:bidi w:val="0"/>
            </w:pPr>
            <w:r>
              <w:rPr>
                <w:rFonts w:hint="eastAsia"/>
              </w:rPr>
              <w:t>人力要素环境</w:t>
            </w:r>
          </w:p>
        </w:tc>
        <w:tc>
          <w:tcPr>
            <w:tcW w:w="1024" w:type="pct"/>
            <w:tcBorders>
              <w:top w:val="nil"/>
              <w:left w:val="nil"/>
              <w:bottom w:val="nil"/>
              <w:right w:val="nil"/>
            </w:tcBorders>
            <w:shd w:val="clear" w:color="auto" w:fill="FFFFFF"/>
            <w:vAlign w:val="center"/>
          </w:tcPr>
          <w:p w14:paraId="587E811B">
            <w:pPr>
              <w:pStyle w:val="44"/>
              <w:bidi w:val="0"/>
            </w:pPr>
            <w:r>
              <w:rPr>
                <w:rFonts w:hint="eastAsia"/>
              </w:rPr>
              <w:t>劳动力数量</w:t>
            </w:r>
          </w:p>
        </w:tc>
        <w:tc>
          <w:tcPr>
            <w:tcW w:w="2476" w:type="pct"/>
            <w:tcBorders>
              <w:top w:val="nil"/>
              <w:left w:val="nil"/>
              <w:bottom w:val="nil"/>
              <w:right w:val="nil"/>
            </w:tcBorders>
            <w:shd w:val="clear" w:color="auto" w:fill="FFFFFF"/>
            <w:vAlign w:val="center"/>
          </w:tcPr>
          <w:p w14:paraId="082BE112">
            <w:pPr>
              <w:pStyle w:val="44"/>
              <w:bidi w:val="0"/>
            </w:pPr>
            <w:r>
              <w:rPr>
                <w:rFonts w:hint="eastAsia"/>
              </w:rPr>
              <w:t>年末单位从业人员数（万人）</w:t>
            </w:r>
          </w:p>
        </w:tc>
        <w:tc>
          <w:tcPr>
            <w:tcW w:w="512" w:type="pct"/>
            <w:tcBorders>
              <w:top w:val="nil"/>
              <w:left w:val="nil"/>
              <w:bottom w:val="nil"/>
              <w:right w:val="nil"/>
            </w:tcBorders>
            <w:shd w:val="clear" w:color="auto" w:fill="FFFFFF"/>
            <w:vAlign w:val="center"/>
          </w:tcPr>
          <w:p w14:paraId="16663779">
            <w:pPr>
              <w:pStyle w:val="44"/>
              <w:bidi w:val="0"/>
            </w:pPr>
            <w:r>
              <w:rPr>
                <w:rFonts w:hint="eastAsia"/>
              </w:rPr>
              <w:t>正项</w:t>
            </w:r>
          </w:p>
        </w:tc>
        <w:tc>
          <w:tcPr>
            <w:tcW w:w="476" w:type="pct"/>
            <w:tcBorders>
              <w:top w:val="nil"/>
              <w:left w:val="nil"/>
              <w:bottom w:val="nil"/>
              <w:right w:val="nil"/>
            </w:tcBorders>
            <w:shd w:val="clear" w:color="auto" w:fill="FFFFFF"/>
            <w:vAlign w:val="center"/>
          </w:tcPr>
          <w:p w14:paraId="6A6ADED1">
            <w:pPr>
              <w:pStyle w:val="44"/>
              <w:bidi w:val="0"/>
            </w:pPr>
            <w:r>
              <w:rPr>
                <w:rFonts w:hint="eastAsia"/>
              </w:rPr>
              <w:t>0.155</w:t>
            </w:r>
          </w:p>
        </w:tc>
      </w:tr>
      <w:tr w14:paraId="554738D2">
        <w:tblPrEx>
          <w:tblCellMar>
            <w:top w:w="0" w:type="dxa"/>
            <w:left w:w="108" w:type="dxa"/>
            <w:bottom w:w="0" w:type="dxa"/>
            <w:right w:w="108" w:type="dxa"/>
          </w:tblCellMar>
        </w:tblPrEx>
        <w:trPr>
          <w:trHeight w:val="454" w:hRule="atLeast"/>
          <w:jc w:val="center"/>
        </w:trPr>
        <w:tc>
          <w:tcPr>
            <w:tcW w:w="512" w:type="pct"/>
            <w:vMerge w:val="continue"/>
            <w:tcBorders>
              <w:left w:val="nil"/>
              <w:bottom w:val="nil"/>
              <w:right w:val="nil"/>
            </w:tcBorders>
            <w:shd w:val="clear" w:color="auto" w:fill="FFFFFF"/>
            <w:vAlign w:val="center"/>
          </w:tcPr>
          <w:p w14:paraId="22349209">
            <w:pPr>
              <w:pStyle w:val="44"/>
              <w:bidi w:val="0"/>
            </w:pPr>
          </w:p>
        </w:tc>
        <w:tc>
          <w:tcPr>
            <w:tcW w:w="1024" w:type="pct"/>
            <w:tcBorders>
              <w:top w:val="nil"/>
              <w:left w:val="nil"/>
              <w:bottom w:val="nil"/>
              <w:right w:val="nil"/>
            </w:tcBorders>
            <w:shd w:val="clear" w:color="auto" w:fill="FFFFFF"/>
            <w:vAlign w:val="center"/>
          </w:tcPr>
          <w:p w14:paraId="55D32CB3">
            <w:pPr>
              <w:pStyle w:val="44"/>
              <w:bidi w:val="0"/>
            </w:pPr>
            <w:r>
              <w:rPr>
                <w:rFonts w:hint="eastAsia"/>
              </w:rPr>
              <w:t>劳动力质量</w:t>
            </w:r>
          </w:p>
        </w:tc>
        <w:tc>
          <w:tcPr>
            <w:tcW w:w="2476" w:type="pct"/>
            <w:tcBorders>
              <w:top w:val="nil"/>
              <w:left w:val="nil"/>
              <w:bottom w:val="nil"/>
              <w:right w:val="nil"/>
            </w:tcBorders>
            <w:shd w:val="clear" w:color="auto" w:fill="FFFFFF"/>
            <w:vAlign w:val="center"/>
          </w:tcPr>
          <w:p w14:paraId="2166A92B">
            <w:pPr>
              <w:pStyle w:val="44"/>
              <w:bidi w:val="0"/>
            </w:pPr>
            <w:r>
              <w:rPr>
                <w:rFonts w:hint="eastAsia"/>
              </w:rPr>
              <w:t>普通高等学校在校学生数（人）</w:t>
            </w:r>
          </w:p>
        </w:tc>
        <w:tc>
          <w:tcPr>
            <w:tcW w:w="512" w:type="pct"/>
            <w:tcBorders>
              <w:top w:val="nil"/>
              <w:left w:val="nil"/>
              <w:bottom w:val="nil"/>
              <w:right w:val="nil"/>
            </w:tcBorders>
            <w:shd w:val="clear" w:color="auto" w:fill="FFFFFF"/>
            <w:vAlign w:val="center"/>
          </w:tcPr>
          <w:p w14:paraId="7A749DCD">
            <w:pPr>
              <w:pStyle w:val="44"/>
              <w:bidi w:val="0"/>
            </w:pPr>
            <w:r>
              <w:rPr>
                <w:rFonts w:hint="eastAsia"/>
              </w:rPr>
              <w:t>正项</w:t>
            </w:r>
          </w:p>
        </w:tc>
        <w:tc>
          <w:tcPr>
            <w:tcW w:w="476" w:type="pct"/>
            <w:tcBorders>
              <w:top w:val="nil"/>
              <w:left w:val="nil"/>
              <w:bottom w:val="nil"/>
              <w:right w:val="nil"/>
            </w:tcBorders>
            <w:shd w:val="clear" w:color="auto" w:fill="FFFFFF"/>
            <w:vAlign w:val="center"/>
          </w:tcPr>
          <w:p w14:paraId="66D6B0BD">
            <w:pPr>
              <w:pStyle w:val="44"/>
              <w:bidi w:val="0"/>
            </w:pPr>
            <w:r>
              <w:rPr>
                <w:rFonts w:hint="eastAsia"/>
              </w:rPr>
              <w:t>0.135</w:t>
            </w:r>
          </w:p>
        </w:tc>
      </w:tr>
      <w:tr w14:paraId="52136B13">
        <w:tblPrEx>
          <w:tblCellMar>
            <w:top w:w="0" w:type="dxa"/>
            <w:left w:w="108" w:type="dxa"/>
            <w:bottom w:w="0" w:type="dxa"/>
            <w:right w:w="108" w:type="dxa"/>
          </w:tblCellMar>
        </w:tblPrEx>
        <w:trPr>
          <w:trHeight w:val="454" w:hRule="atLeast"/>
          <w:jc w:val="center"/>
        </w:trPr>
        <w:tc>
          <w:tcPr>
            <w:tcW w:w="512" w:type="pct"/>
            <w:vMerge w:val="restart"/>
            <w:tcBorders>
              <w:top w:val="nil"/>
              <w:left w:val="nil"/>
              <w:right w:val="nil"/>
            </w:tcBorders>
            <w:shd w:val="clear" w:color="auto" w:fill="FFFFFF"/>
            <w:vAlign w:val="center"/>
          </w:tcPr>
          <w:p w14:paraId="285BBB4A">
            <w:pPr>
              <w:pStyle w:val="44"/>
              <w:bidi w:val="0"/>
            </w:pPr>
            <w:r>
              <w:rPr>
                <w:rFonts w:hint="eastAsia"/>
              </w:rPr>
              <w:t>市场环境</w:t>
            </w:r>
          </w:p>
        </w:tc>
        <w:tc>
          <w:tcPr>
            <w:tcW w:w="1024" w:type="pct"/>
            <w:vMerge w:val="restart"/>
            <w:tcBorders>
              <w:top w:val="nil"/>
              <w:left w:val="nil"/>
              <w:right w:val="nil"/>
            </w:tcBorders>
            <w:shd w:val="clear" w:color="auto" w:fill="FFFFFF"/>
            <w:vAlign w:val="center"/>
          </w:tcPr>
          <w:p w14:paraId="622CC80B">
            <w:pPr>
              <w:pStyle w:val="44"/>
              <w:bidi w:val="0"/>
            </w:pPr>
            <w:r>
              <w:rPr>
                <w:rFonts w:hint="eastAsia"/>
              </w:rPr>
              <w:t>内部指标</w:t>
            </w:r>
          </w:p>
        </w:tc>
        <w:tc>
          <w:tcPr>
            <w:tcW w:w="2476" w:type="pct"/>
            <w:tcBorders>
              <w:top w:val="nil"/>
              <w:left w:val="nil"/>
              <w:bottom w:val="nil"/>
              <w:right w:val="nil"/>
            </w:tcBorders>
            <w:shd w:val="clear" w:color="auto" w:fill="FFFFFF"/>
            <w:vAlign w:val="center"/>
          </w:tcPr>
          <w:p w14:paraId="6B0336BE">
            <w:pPr>
              <w:pStyle w:val="44"/>
              <w:bidi w:val="0"/>
            </w:pPr>
            <w:r>
              <w:rPr>
                <w:rFonts w:hint="eastAsia"/>
              </w:rPr>
              <w:t>人均GDP（万元）</w:t>
            </w:r>
          </w:p>
        </w:tc>
        <w:tc>
          <w:tcPr>
            <w:tcW w:w="512" w:type="pct"/>
            <w:tcBorders>
              <w:top w:val="nil"/>
              <w:left w:val="nil"/>
              <w:bottom w:val="nil"/>
              <w:right w:val="nil"/>
            </w:tcBorders>
            <w:shd w:val="clear" w:color="auto" w:fill="FFFFFF"/>
            <w:vAlign w:val="center"/>
          </w:tcPr>
          <w:p w14:paraId="755814AD">
            <w:pPr>
              <w:pStyle w:val="44"/>
              <w:bidi w:val="0"/>
            </w:pPr>
            <w:r>
              <w:rPr>
                <w:rFonts w:hint="eastAsia"/>
              </w:rPr>
              <w:t>正项</w:t>
            </w:r>
          </w:p>
        </w:tc>
        <w:tc>
          <w:tcPr>
            <w:tcW w:w="476" w:type="pct"/>
            <w:tcBorders>
              <w:top w:val="nil"/>
              <w:left w:val="nil"/>
              <w:bottom w:val="nil"/>
              <w:right w:val="nil"/>
            </w:tcBorders>
            <w:shd w:val="clear" w:color="auto" w:fill="FFFFFF"/>
            <w:vAlign w:val="center"/>
          </w:tcPr>
          <w:p w14:paraId="4F1E2237">
            <w:pPr>
              <w:pStyle w:val="44"/>
              <w:bidi w:val="0"/>
            </w:pPr>
            <w:r>
              <w:rPr>
                <w:rFonts w:hint="eastAsia"/>
              </w:rPr>
              <w:t>0.024</w:t>
            </w:r>
          </w:p>
        </w:tc>
      </w:tr>
      <w:tr w14:paraId="310237DA">
        <w:tblPrEx>
          <w:tblCellMar>
            <w:top w:w="0" w:type="dxa"/>
            <w:left w:w="108" w:type="dxa"/>
            <w:bottom w:w="0" w:type="dxa"/>
            <w:right w:w="108" w:type="dxa"/>
          </w:tblCellMar>
        </w:tblPrEx>
        <w:trPr>
          <w:trHeight w:val="454" w:hRule="atLeast"/>
          <w:jc w:val="center"/>
        </w:trPr>
        <w:tc>
          <w:tcPr>
            <w:tcW w:w="512" w:type="pct"/>
            <w:vMerge w:val="continue"/>
            <w:tcBorders>
              <w:left w:val="nil"/>
              <w:right w:val="nil"/>
            </w:tcBorders>
            <w:shd w:val="clear" w:color="auto" w:fill="FFFFFF"/>
            <w:vAlign w:val="center"/>
          </w:tcPr>
          <w:p w14:paraId="4DFFA29A">
            <w:pPr>
              <w:pStyle w:val="44"/>
              <w:bidi w:val="0"/>
            </w:pPr>
          </w:p>
        </w:tc>
        <w:tc>
          <w:tcPr>
            <w:tcW w:w="1024" w:type="pct"/>
            <w:vMerge w:val="continue"/>
            <w:tcBorders>
              <w:left w:val="nil"/>
              <w:bottom w:val="nil"/>
              <w:right w:val="nil"/>
            </w:tcBorders>
            <w:shd w:val="clear" w:color="auto" w:fill="FFFFFF"/>
            <w:vAlign w:val="center"/>
          </w:tcPr>
          <w:p w14:paraId="630DBA98">
            <w:pPr>
              <w:pStyle w:val="44"/>
              <w:bidi w:val="0"/>
            </w:pPr>
          </w:p>
        </w:tc>
        <w:tc>
          <w:tcPr>
            <w:tcW w:w="2476" w:type="pct"/>
            <w:tcBorders>
              <w:top w:val="nil"/>
              <w:left w:val="nil"/>
              <w:bottom w:val="nil"/>
              <w:right w:val="nil"/>
            </w:tcBorders>
            <w:shd w:val="clear" w:color="auto" w:fill="FFFFFF"/>
            <w:vAlign w:val="center"/>
          </w:tcPr>
          <w:p w14:paraId="20BC5274">
            <w:pPr>
              <w:pStyle w:val="44"/>
              <w:bidi w:val="0"/>
            </w:pPr>
            <w:r>
              <w:rPr>
                <w:rFonts w:hint="eastAsia"/>
              </w:rPr>
              <w:t>GDP增速（%）</w:t>
            </w:r>
          </w:p>
        </w:tc>
        <w:tc>
          <w:tcPr>
            <w:tcW w:w="512" w:type="pct"/>
            <w:tcBorders>
              <w:top w:val="nil"/>
              <w:left w:val="nil"/>
              <w:bottom w:val="nil"/>
              <w:right w:val="nil"/>
            </w:tcBorders>
            <w:shd w:val="clear" w:color="auto" w:fill="FFFFFF"/>
            <w:vAlign w:val="center"/>
          </w:tcPr>
          <w:p w14:paraId="73B401EE">
            <w:pPr>
              <w:pStyle w:val="44"/>
              <w:bidi w:val="0"/>
            </w:pPr>
            <w:r>
              <w:rPr>
                <w:rFonts w:hint="eastAsia"/>
              </w:rPr>
              <w:t>正项</w:t>
            </w:r>
          </w:p>
        </w:tc>
        <w:tc>
          <w:tcPr>
            <w:tcW w:w="476" w:type="pct"/>
            <w:tcBorders>
              <w:top w:val="nil"/>
              <w:left w:val="nil"/>
              <w:bottom w:val="nil"/>
              <w:right w:val="nil"/>
            </w:tcBorders>
            <w:shd w:val="clear" w:color="auto" w:fill="FFFFFF"/>
            <w:vAlign w:val="center"/>
          </w:tcPr>
          <w:p w14:paraId="5BBB06D6">
            <w:pPr>
              <w:pStyle w:val="44"/>
              <w:bidi w:val="0"/>
            </w:pPr>
            <w:r>
              <w:rPr>
                <w:rFonts w:hint="eastAsia"/>
              </w:rPr>
              <w:t>0.001</w:t>
            </w:r>
          </w:p>
        </w:tc>
      </w:tr>
      <w:tr w14:paraId="6CF8D632">
        <w:tblPrEx>
          <w:tblCellMar>
            <w:top w:w="0" w:type="dxa"/>
            <w:left w:w="108" w:type="dxa"/>
            <w:bottom w:w="0" w:type="dxa"/>
            <w:right w:w="108" w:type="dxa"/>
          </w:tblCellMar>
        </w:tblPrEx>
        <w:trPr>
          <w:trHeight w:val="454" w:hRule="atLeast"/>
          <w:jc w:val="center"/>
        </w:trPr>
        <w:tc>
          <w:tcPr>
            <w:tcW w:w="512" w:type="pct"/>
            <w:vMerge w:val="continue"/>
            <w:tcBorders>
              <w:left w:val="nil"/>
              <w:right w:val="nil"/>
            </w:tcBorders>
            <w:shd w:val="clear" w:color="auto" w:fill="FFFFFF"/>
            <w:vAlign w:val="center"/>
          </w:tcPr>
          <w:p w14:paraId="3D25868E">
            <w:pPr>
              <w:pStyle w:val="44"/>
              <w:bidi w:val="0"/>
            </w:pPr>
          </w:p>
        </w:tc>
        <w:tc>
          <w:tcPr>
            <w:tcW w:w="1024" w:type="pct"/>
            <w:vMerge w:val="restart"/>
            <w:tcBorders>
              <w:top w:val="nil"/>
              <w:left w:val="nil"/>
              <w:right w:val="nil"/>
            </w:tcBorders>
            <w:shd w:val="clear" w:color="auto" w:fill="FFFFFF"/>
            <w:vAlign w:val="center"/>
          </w:tcPr>
          <w:p w14:paraId="63A7BFB0">
            <w:pPr>
              <w:pStyle w:val="44"/>
              <w:bidi w:val="0"/>
            </w:pPr>
            <w:r>
              <w:rPr>
                <w:rFonts w:hint="eastAsia"/>
              </w:rPr>
              <w:t>外部指标</w:t>
            </w:r>
          </w:p>
        </w:tc>
        <w:tc>
          <w:tcPr>
            <w:tcW w:w="2476" w:type="pct"/>
            <w:tcBorders>
              <w:top w:val="nil"/>
              <w:left w:val="nil"/>
              <w:bottom w:val="nil"/>
              <w:right w:val="nil"/>
            </w:tcBorders>
            <w:shd w:val="clear" w:color="auto" w:fill="FFFFFF"/>
            <w:vAlign w:val="center"/>
          </w:tcPr>
          <w:p w14:paraId="3571B56E">
            <w:pPr>
              <w:pStyle w:val="44"/>
              <w:bidi w:val="0"/>
            </w:pPr>
            <w:r>
              <w:rPr>
                <w:rFonts w:hint="eastAsia"/>
              </w:rPr>
              <w:t>进出口总额（万元）</w:t>
            </w:r>
          </w:p>
        </w:tc>
        <w:tc>
          <w:tcPr>
            <w:tcW w:w="512" w:type="pct"/>
            <w:tcBorders>
              <w:top w:val="nil"/>
              <w:left w:val="nil"/>
              <w:bottom w:val="nil"/>
              <w:right w:val="nil"/>
            </w:tcBorders>
            <w:shd w:val="clear" w:color="auto" w:fill="FFFFFF"/>
            <w:vAlign w:val="center"/>
          </w:tcPr>
          <w:p w14:paraId="664A056A">
            <w:pPr>
              <w:pStyle w:val="44"/>
              <w:bidi w:val="0"/>
            </w:pPr>
            <w:r>
              <w:rPr>
                <w:rFonts w:hint="eastAsia"/>
              </w:rPr>
              <w:t>正项</w:t>
            </w:r>
          </w:p>
        </w:tc>
        <w:tc>
          <w:tcPr>
            <w:tcW w:w="476" w:type="pct"/>
            <w:tcBorders>
              <w:top w:val="nil"/>
              <w:left w:val="nil"/>
              <w:bottom w:val="nil"/>
              <w:right w:val="nil"/>
            </w:tcBorders>
            <w:shd w:val="clear" w:color="auto" w:fill="FFFFFF"/>
            <w:vAlign w:val="center"/>
          </w:tcPr>
          <w:p w14:paraId="40BEA626">
            <w:pPr>
              <w:pStyle w:val="44"/>
              <w:bidi w:val="0"/>
            </w:pPr>
            <w:r>
              <w:rPr>
                <w:rFonts w:hint="eastAsia"/>
              </w:rPr>
              <w:t>0.010</w:t>
            </w:r>
          </w:p>
        </w:tc>
      </w:tr>
      <w:tr w14:paraId="71F4D240">
        <w:tblPrEx>
          <w:tblCellMar>
            <w:top w:w="0" w:type="dxa"/>
            <w:left w:w="108" w:type="dxa"/>
            <w:bottom w:w="0" w:type="dxa"/>
            <w:right w:w="108" w:type="dxa"/>
          </w:tblCellMar>
        </w:tblPrEx>
        <w:trPr>
          <w:trHeight w:val="454" w:hRule="atLeast"/>
          <w:jc w:val="center"/>
        </w:trPr>
        <w:tc>
          <w:tcPr>
            <w:tcW w:w="512" w:type="pct"/>
            <w:vMerge w:val="continue"/>
            <w:tcBorders>
              <w:left w:val="nil"/>
              <w:bottom w:val="nil"/>
              <w:right w:val="nil"/>
            </w:tcBorders>
            <w:shd w:val="clear" w:color="auto" w:fill="FFFFFF"/>
            <w:vAlign w:val="center"/>
          </w:tcPr>
          <w:p w14:paraId="213E2690">
            <w:pPr>
              <w:pStyle w:val="44"/>
              <w:bidi w:val="0"/>
            </w:pPr>
          </w:p>
        </w:tc>
        <w:tc>
          <w:tcPr>
            <w:tcW w:w="1024" w:type="pct"/>
            <w:vMerge w:val="continue"/>
            <w:tcBorders>
              <w:left w:val="nil"/>
              <w:bottom w:val="nil"/>
              <w:right w:val="nil"/>
            </w:tcBorders>
            <w:shd w:val="clear" w:color="auto" w:fill="FFFFFF"/>
            <w:vAlign w:val="center"/>
          </w:tcPr>
          <w:p w14:paraId="685A3974">
            <w:pPr>
              <w:pStyle w:val="44"/>
              <w:bidi w:val="0"/>
            </w:pPr>
          </w:p>
        </w:tc>
        <w:tc>
          <w:tcPr>
            <w:tcW w:w="2476" w:type="pct"/>
            <w:tcBorders>
              <w:top w:val="nil"/>
              <w:left w:val="nil"/>
              <w:bottom w:val="nil"/>
              <w:right w:val="nil"/>
            </w:tcBorders>
            <w:shd w:val="clear" w:color="auto" w:fill="FFFFFF"/>
            <w:vAlign w:val="center"/>
          </w:tcPr>
          <w:p w14:paraId="685AFA7E">
            <w:pPr>
              <w:pStyle w:val="44"/>
              <w:bidi w:val="0"/>
            </w:pPr>
            <w:r>
              <w:rPr>
                <w:rFonts w:hint="eastAsia"/>
              </w:rPr>
              <w:t>外商直接投资额（万元）</w:t>
            </w:r>
          </w:p>
        </w:tc>
        <w:tc>
          <w:tcPr>
            <w:tcW w:w="512" w:type="pct"/>
            <w:tcBorders>
              <w:top w:val="nil"/>
              <w:left w:val="nil"/>
              <w:bottom w:val="nil"/>
              <w:right w:val="nil"/>
            </w:tcBorders>
            <w:shd w:val="clear" w:color="auto" w:fill="FFFFFF"/>
            <w:vAlign w:val="center"/>
          </w:tcPr>
          <w:p w14:paraId="0548AE6F">
            <w:pPr>
              <w:pStyle w:val="44"/>
              <w:bidi w:val="0"/>
            </w:pPr>
            <w:r>
              <w:rPr>
                <w:rFonts w:hint="eastAsia"/>
              </w:rPr>
              <w:t>正项</w:t>
            </w:r>
          </w:p>
        </w:tc>
        <w:tc>
          <w:tcPr>
            <w:tcW w:w="476" w:type="pct"/>
            <w:tcBorders>
              <w:top w:val="nil"/>
              <w:left w:val="nil"/>
              <w:bottom w:val="nil"/>
              <w:right w:val="nil"/>
            </w:tcBorders>
            <w:shd w:val="clear" w:color="auto" w:fill="FFFFFF"/>
            <w:vAlign w:val="center"/>
          </w:tcPr>
          <w:p w14:paraId="50589910">
            <w:pPr>
              <w:pStyle w:val="44"/>
              <w:bidi w:val="0"/>
            </w:pPr>
            <w:r>
              <w:rPr>
                <w:rFonts w:hint="eastAsia"/>
              </w:rPr>
              <w:t>0.003</w:t>
            </w:r>
          </w:p>
        </w:tc>
      </w:tr>
      <w:tr w14:paraId="72F02659">
        <w:tblPrEx>
          <w:tblCellMar>
            <w:top w:w="0" w:type="dxa"/>
            <w:left w:w="108" w:type="dxa"/>
            <w:bottom w:w="0" w:type="dxa"/>
            <w:right w:w="108" w:type="dxa"/>
          </w:tblCellMar>
        </w:tblPrEx>
        <w:trPr>
          <w:trHeight w:val="454" w:hRule="atLeast"/>
          <w:jc w:val="center"/>
        </w:trPr>
        <w:tc>
          <w:tcPr>
            <w:tcW w:w="512" w:type="pct"/>
            <w:vMerge w:val="restart"/>
            <w:tcBorders>
              <w:top w:val="nil"/>
              <w:left w:val="nil"/>
              <w:right w:val="nil"/>
            </w:tcBorders>
            <w:shd w:val="clear" w:color="auto" w:fill="FFFFFF"/>
            <w:vAlign w:val="center"/>
          </w:tcPr>
          <w:p w14:paraId="5832E07A">
            <w:pPr>
              <w:pStyle w:val="44"/>
              <w:bidi w:val="0"/>
            </w:pPr>
            <w:r>
              <w:rPr>
                <w:rFonts w:hint="eastAsia"/>
              </w:rPr>
              <w:t>社会服务环境</w:t>
            </w:r>
          </w:p>
        </w:tc>
        <w:tc>
          <w:tcPr>
            <w:tcW w:w="1024" w:type="pct"/>
            <w:tcBorders>
              <w:top w:val="nil"/>
              <w:left w:val="nil"/>
              <w:bottom w:val="nil"/>
              <w:right w:val="nil"/>
            </w:tcBorders>
            <w:shd w:val="clear" w:color="auto" w:fill="FFFFFF"/>
            <w:vAlign w:val="center"/>
          </w:tcPr>
          <w:p w14:paraId="32DA92A5">
            <w:pPr>
              <w:pStyle w:val="44"/>
              <w:bidi w:val="0"/>
            </w:pPr>
            <w:r>
              <w:rPr>
                <w:rFonts w:hint="eastAsia"/>
              </w:rPr>
              <w:t>水力供应</w:t>
            </w:r>
          </w:p>
        </w:tc>
        <w:tc>
          <w:tcPr>
            <w:tcW w:w="2476" w:type="pct"/>
            <w:tcBorders>
              <w:top w:val="nil"/>
              <w:left w:val="nil"/>
              <w:bottom w:val="nil"/>
              <w:right w:val="nil"/>
            </w:tcBorders>
            <w:shd w:val="clear" w:color="auto" w:fill="FFFFFF"/>
            <w:vAlign w:val="center"/>
          </w:tcPr>
          <w:p w14:paraId="0638941E">
            <w:pPr>
              <w:pStyle w:val="44"/>
              <w:bidi w:val="0"/>
            </w:pPr>
            <w:r>
              <w:rPr>
                <w:rFonts w:hint="eastAsia"/>
              </w:rPr>
              <w:t>公共供水能力（万吨）</w:t>
            </w:r>
          </w:p>
        </w:tc>
        <w:tc>
          <w:tcPr>
            <w:tcW w:w="512" w:type="pct"/>
            <w:tcBorders>
              <w:top w:val="nil"/>
              <w:left w:val="nil"/>
              <w:bottom w:val="nil"/>
              <w:right w:val="nil"/>
            </w:tcBorders>
            <w:shd w:val="clear" w:color="auto" w:fill="FFFFFF"/>
            <w:vAlign w:val="center"/>
          </w:tcPr>
          <w:p w14:paraId="43970403">
            <w:pPr>
              <w:pStyle w:val="44"/>
              <w:bidi w:val="0"/>
            </w:pPr>
            <w:r>
              <w:rPr>
                <w:rFonts w:hint="eastAsia"/>
              </w:rPr>
              <w:t>正项</w:t>
            </w:r>
          </w:p>
        </w:tc>
        <w:tc>
          <w:tcPr>
            <w:tcW w:w="476" w:type="pct"/>
            <w:tcBorders>
              <w:top w:val="nil"/>
              <w:left w:val="nil"/>
              <w:bottom w:val="nil"/>
              <w:right w:val="nil"/>
            </w:tcBorders>
            <w:shd w:val="clear" w:color="auto" w:fill="FFFFFF"/>
            <w:vAlign w:val="center"/>
          </w:tcPr>
          <w:p w14:paraId="1381BB03">
            <w:pPr>
              <w:pStyle w:val="44"/>
              <w:bidi w:val="0"/>
            </w:pPr>
            <w:r>
              <w:rPr>
                <w:rFonts w:hint="eastAsia"/>
              </w:rPr>
              <w:t>0.192</w:t>
            </w:r>
          </w:p>
        </w:tc>
      </w:tr>
      <w:tr w14:paraId="34FAC12D">
        <w:tblPrEx>
          <w:tblCellMar>
            <w:top w:w="0" w:type="dxa"/>
            <w:left w:w="108" w:type="dxa"/>
            <w:bottom w:w="0" w:type="dxa"/>
            <w:right w:w="108" w:type="dxa"/>
          </w:tblCellMar>
        </w:tblPrEx>
        <w:trPr>
          <w:trHeight w:val="454" w:hRule="atLeast"/>
          <w:jc w:val="center"/>
        </w:trPr>
        <w:tc>
          <w:tcPr>
            <w:tcW w:w="512" w:type="pct"/>
            <w:vMerge w:val="continue"/>
            <w:tcBorders>
              <w:left w:val="nil"/>
              <w:right w:val="nil"/>
            </w:tcBorders>
            <w:shd w:val="clear" w:color="auto" w:fill="FFFFFF"/>
            <w:vAlign w:val="center"/>
          </w:tcPr>
          <w:p w14:paraId="01FC1062">
            <w:pPr>
              <w:pStyle w:val="44"/>
              <w:bidi w:val="0"/>
            </w:pPr>
          </w:p>
        </w:tc>
        <w:tc>
          <w:tcPr>
            <w:tcW w:w="1024" w:type="pct"/>
            <w:tcBorders>
              <w:top w:val="nil"/>
              <w:left w:val="nil"/>
              <w:bottom w:val="nil"/>
              <w:right w:val="nil"/>
            </w:tcBorders>
            <w:shd w:val="clear" w:color="auto" w:fill="FFFFFF"/>
            <w:vAlign w:val="center"/>
          </w:tcPr>
          <w:p w14:paraId="3E0D3061">
            <w:pPr>
              <w:pStyle w:val="44"/>
              <w:bidi w:val="0"/>
            </w:pPr>
            <w:r>
              <w:rPr>
                <w:rFonts w:hint="eastAsia"/>
              </w:rPr>
              <w:t>天然气供应</w:t>
            </w:r>
          </w:p>
        </w:tc>
        <w:tc>
          <w:tcPr>
            <w:tcW w:w="2476" w:type="pct"/>
            <w:tcBorders>
              <w:top w:val="nil"/>
              <w:left w:val="nil"/>
              <w:bottom w:val="nil"/>
              <w:right w:val="nil"/>
            </w:tcBorders>
            <w:shd w:val="clear" w:color="auto" w:fill="FFFFFF"/>
            <w:vAlign w:val="center"/>
          </w:tcPr>
          <w:p w14:paraId="1B05DC99">
            <w:pPr>
              <w:pStyle w:val="44"/>
              <w:bidi w:val="0"/>
            </w:pPr>
            <w:r>
              <w:rPr>
                <w:rFonts w:hint="eastAsia"/>
              </w:rPr>
              <w:t>公共供气能力（万立方米）</w:t>
            </w:r>
          </w:p>
        </w:tc>
        <w:tc>
          <w:tcPr>
            <w:tcW w:w="512" w:type="pct"/>
            <w:tcBorders>
              <w:top w:val="nil"/>
              <w:left w:val="nil"/>
              <w:bottom w:val="nil"/>
              <w:right w:val="nil"/>
            </w:tcBorders>
            <w:shd w:val="clear" w:color="auto" w:fill="FFFFFF"/>
            <w:vAlign w:val="center"/>
          </w:tcPr>
          <w:p w14:paraId="4AEC9E84">
            <w:pPr>
              <w:pStyle w:val="44"/>
              <w:bidi w:val="0"/>
            </w:pPr>
            <w:r>
              <w:rPr>
                <w:rFonts w:hint="eastAsia"/>
              </w:rPr>
              <w:t>正项</w:t>
            </w:r>
          </w:p>
        </w:tc>
        <w:tc>
          <w:tcPr>
            <w:tcW w:w="476" w:type="pct"/>
            <w:tcBorders>
              <w:top w:val="nil"/>
              <w:left w:val="nil"/>
              <w:bottom w:val="nil"/>
              <w:right w:val="nil"/>
            </w:tcBorders>
            <w:shd w:val="clear" w:color="auto" w:fill="FFFFFF"/>
            <w:vAlign w:val="center"/>
          </w:tcPr>
          <w:p w14:paraId="728A0BFC">
            <w:pPr>
              <w:pStyle w:val="44"/>
              <w:bidi w:val="0"/>
            </w:pPr>
            <w:r>
              <w:rPr>
                <w:rFonts w:hint="eastAsia"/>
              </w:rPr>
              <w:t>0.214</w:t>
            </w:r>
          </w:p>
        </w:tc>
      </w:tr>
      <w:tr w14:paraId="3C64CFA4">
        <w:tblPrEx>
          <w:tblCellMar>
            <w:top w:w="0" w:type="dxa"/>
            <w:left w:w="108" w:type="dxa"/>
            <w:bottom w:w="0" w:type="dxa"/>
            <w:right w:w="108" w:type="dxa"/>
          </w:tblCellMar>
        </w:tblPrEx>
        <w:trPr>
          <w:trHeight w:val="454" w:hRule="atLeast"/>
          <w:jc w:val="center"/>
        </w:trPr>
        <w:tc>
          <w:tcPr>
            <w:tcW w:w="512" w:type="pct"/>
            <w:vMerge w:val="continue"/>
            <w:tcBorders>
              <w:left w:val="nil"/>
              <w:right w:val="nil"/>
            </w:tcBorders>
            <w:shd w:val="clear" w:color="auto" w:fill="FFFFFF"/>
            <w:vAlign w:val="center"/>
          </w:tcPr>
          <w:p w14:paraId="12D1B44A">
            <w:pPr>
              <w:pStyle w:val="44"/>
              <w:bidi w:val="0"/>
            </w:pPr>
          </w:p>
        </w:tc>
        <w:tc>
          <w:tcPr>
            <w:tcW w:w="1024" w:type="pct"/>
            <w:tcBorders>
              <w:top w:val="nil"/>
              <w:left w:val="nil"/>
              <w:bottom w:val="nil"/>
              <w:right w:val="nil"/>
            </w:tcBorders>
            <w:shd w:val="clear" w:color="auto" w:fill="FFFFFF"/>
            <w:vAlign w:val="center"/>
          </w:tcPr>
          <w:p w14:paraId="11FE45AA">
            <w:pPr>
              <w:pStyle w:val="44"/>
              <w:bidi w:val="0"/>
            </w:pPr>
            <w:r>
              <w:rPr>
                <w:rFonts w:hint="eastAsia"/>
              </w:rPr>
              <w:t>电力供应</w:t>
            </w:r>
          </w:p>
        </w:tc>
        <w:tc>
          <w:tcPr>
            <w:tcW w:w="2476" w:type="pct"/>
            <w:tcBorders>
              <w:top w:val="nil"/>
              <w:left w:val="nil"/>
              <w:bottom w:val="nil"/>
              <w:right w:val="nil"/>
            </w:tcBorders>
            <w:shd w:val="clear" w:color="auto" w:fill="FFFFFF"/>
            <w:vAlign w:val="center"/>
          </w:tcPr>
          <w:p w14:paraId="62C348DF">
            <w:pPr>
              <w:pStyle w:val="44"/>
              <w:bidi w:val="0"/>
            </w:pPr>
            <w:r>
              <w:rPr>
                <w:rFonts w:hint="eastAsia"/>
              </w:rPr>
              <w:t>工业供电能力（万千瓦时）</w:t>
            </w:r>
          </w:p>
        </w:tc>
        <w:tc>
          <w:tcPr>
            <w:tcW w:w="512" w:type="pct"/>
            <w:tcBorders>
              <w:top w:val="nil"/>
              <w:left w:val="nil"/>
              <w:bottom w:val="nil"/>
              <w:right w:val="nil"/>
            </w:tcBorders>
            <w:shd w:val="clear" w:color="auto" w:fill="FFFFFF"/>
            <w:vAlign w:val="center"/>
          </w:tcPr>
          <w:p w14:paraId="78CF831A">
            <w:pPr>
              <w:pStyle w:val="44"/>
              <w:bidi w:val="0"/>
            </w:pPr>
            <w:r>
              <w:rPr>
                <w:rFonts w:hint="eastAsia"/>
              </w:rPr>
              <w:t>正项</w:t>
            </w:r>
          </w:p>
        </w:tc>
        <w:tc>
          <w:tcPr>
            <w:tcW w:w="476" w:type="pct"/>
            <w:tcBorders>
              <w:top w:val="nil"/>
              <w:left w:val="nil"/>
              <w:bottom w:val="nil"/>
              <w:right w:val="nil"/>
            </w:tcBorders>
            <w:shd w:val="clear" w:color="auto" w:fill="FFFFFF"/>
            <w:vAlign w:val="center"/>
          </w:tcPr>
          <w:p w14:paraId="4BE57275">
            <w:pPr>
              <w:pStyle w:val="44"/>
              <w:bidi w:val="0"/>
            </w:pPr>
            <w:r>
              <w:rPr>
                <w:rFonts w:hint="eastAsia"/>
              </w:rPr>
              <w:t>0.008</w:t>
            </w:r>
          </w:p>
        </w:tc>
      </w:tr>
      <w:tr w14:paraId="276C8012">
        <w:tblPrEx>
          <w:tblCellMar>
            <w:top w:w="0" w:type="dxa"/>
            <w:left w:w="108" w:type="dxa"/>
            <w:bottom w:w="0" w:type="dxa"/>
            <w:right w:w="108" w:type="dxa"/>
          </w:tblCellMar>
        </w:tblPrEx>
        <w:trPr>
          <w:trHeight w:val="454" w:hRule="atLeast"/>
          <w:jc w:val="center"/>
        </w:trPr>
        <w:tc>
          <w:tcPr>
            <w:tcW w:w="512" w:type="pct"/>
            <w:vMerge w:val="continue"/>
            <w:tcBorders>
              <w:left w:val="nil"/>
              <w:bottom w:val="nil"/>
              <w:right w:val="nil"/>
            </w:tcBorders>
            <w:shd w:val="clear" w:color="auto" w:fill="FFFFFF"/>
            <w:vAlign w:val="center"/>
          </w:tcPr>
          <w:p w14:paraId="027E97F4">
            <w:pPr>
              <w:pStyle w:val="44"/>
              <w:bidi w:val="0"/>
            </w:pPr>
          </w:p>
        </w:tc>
        <w:tc>
          <w:tcPr>
            <w:tcW w:w="1024" w:type="pct"/>
            <w:tcBorders>
              <w:top w:val="nil"/>
              <w:left w:val="nil"/>
              <w:bottom w:val="nil"/>
              <w:right w:val="nil"/>
            </w:tcBorders>
            <w:shd w:val="clear" w:color="auto" w:fill="FFFFFF"/>
            <w:vAlign w:val="center"/>
          </w:tcPr>
          <w:p w14:paraId="4D982928">
            <w:pPr>
              <w:pStyle w:val="44"/>
              <w:bidi w:val="0"/>
            </w:pPr>
            <w:r>
              <w:rPr>
                <w:rFonts w:hint="eastAsia"/>
              </w:rPr>
              <w:t>医疗服务</w:t>
            </w:r>
          </w:p>
        </w:tc>
        <w:tc>
          <w:tcPr>
            <w:tcW w:w="2476" w:type="pct"/>
            <w:tcBorders>
              <w:top w:val="nil"/>
              <w:left w:val="nil"/>
              <w:bottom w:val="nil"/>
              <w:right w:val="nil"/>
            </w:tcBorders>
            <w:shd w:val="clear" w:color="auto" w:fill="FFFFFF"/>
            <w:vAlign w:val="center"/>
          </w:tcPr>
          <w:p w14:paraId="616FC23E">
            <w:pPr>
              <w:pStyle w:val="44"/>
              <w:bidi w:val="0"/>
            </w:pPr>
            <w:r>
              <w:rPr>
                <w:rFonts w:hint="eastAsia"/>
              </w:rPr>
              <w:t>医院床位数（张/万人）</w:t>
            </w:r>
          </w:p>
        </w:tc>
        <w:tc>
          <w:tcPr>
            <w:tcW w:w="512" w:type="pct"/>
            <w:tcBorders>
              <w:top w:val="nil"/>
              <w:left w:val="nil"/>
              <w:bottom w:val="nil"/>
              <w:right w:val="nil"/>
            </w:tcBorders>
            <w:shd w:val="clear" w:color="auto" w:fill="FFFFFF"/>
            <w:vAlign w:val="center"/>
          </w:tcPr>
          <w:p w14:paraId="177BA5C8">
            <w:pPr>
              <w:pStyle w:val="44"/>
              <w:bidi w:val="0"/>
            </w:pPr>
            <w:r>
              <w:rPr>
                <w:rFonts w:hint="eastAsia"/>
              </w:rPr>
              <w:t>正项</w:t>
            </w:r>
          </w:p>
        </w:tc>
        <w:tc>
          <w:tcPr>
            <w:tcW w:w="476" w:type="pct"/>
            <w:tcBorders>
              <w:top w:val="nil"/>
              <w:left w:val="nil"/>
              <w:bottom w:val="nil"/>
              <w:right w:val="nil"/>
            </w:tcBorders>
            <w:shd w:val="clear" w:color="auto" w:fill="FFFFFF"/>
            <w:vAlign w:val="center"/>
          </w:tcPr>
          <w:p w14:paraId="7D93BAA6">
            <w:pPr>
              <w:pStyle w:val="44"/>
              <w:bidi w:val="0"/>
            </w:pPr>
            <w:r>
              <w:rPr>
                <w:rFonts w:hint="eastAsia"/>
              </w:rPr>
              <w:t>0.007</w:t>
            </w:r>
          </w:p>
        </w:tc>
      </w:tr>
      <w:tr w14:paraId="3DA9B2E6">
        <w:tblPrEx>
          <w:tblCellMar>
            <w:top w:w="0" w:type="dxa"/>
            <w:left w:w="108" w:type="dxa"/>
            <w:bottom w:w="0" w:type="dxa"/>
            <w:right w:w="108" w:type="dxa"/>
          </w:tblCellMar>
        </w:tblPrEx>
        <w:trPr>
          <w:trHeight w:val="454" w:hRule="atLeast"/>
          <w:jc w:val="center"/>
        </w:trPr>
        <w:tc>
          <w:tcPr>
            <w:tcW w:w="512" w:type="pct"/>
            <w:tcBorders>
              <w:top w:val="nil"/>
              <w:left w:val="nil"/>
              <w:bottom w:val="single" w:color="000000" w:sz="12" w:space="0"/>
              <w:right w:val="nil"/>
            </w:tcBorders>
            <w:shd w:val="clear" w:color="auto" w:fill="FFFFFF"/>
            <w:vAlign w:val="center"/>
          </w:tcPr>
          <w:p w14:paraId="0879FF7E">
            <w:pPr>
              <w:pStyle w:val="44"/>
              <w:bidi w:val="0"/>
            </w:pPr>
            <w:r>
              <w:rPr>
                <w:rFonts w:hint="eastAsia"/>
              </w:rPr>
              <w:t>创新环境</w:t>
            </w:r>
          </w:p>
        </w:tc>
        <w:tc>
          <w:tcPr>
            <w:tcW w:w="1024" w:type="pct"/>
            <w:tcBorders>
              <w:top w:val="nil"/>
              <w:left w:val="nil"/>
              <w:bottom w:val="single" w:color="000000" w:sz="12" w:space="0"/>
              <w:right w:val="nil"/>
            </w:tcBorders>
            <w:shd w:val="clear" w:color="auto" w:fill="FFFFFF"/>
            <w:vAlign w:val="center"/>
          </w:tcPr>
          <w:p w14:paraId="4B4B4D27">
            <w:pPr>
              <w:pStyle w:val="44"/>
              <w:bidi w:val="0"/>
            </w:pPr>
            <w:r>
              <w:rPr>
                <w:rFonts w:hint="eastAsia"/>
              </w:rPr>
              <w:t>创新投入</w:t>
            </w:r>
          </w:p>
        </w:tc>
        <w:tc>
          <w:tcPr>
            <w:tcW w:w="2476" w:type="pct"/>
            <w:tcBorders>
              <w:top w:val="nil"/>
              <w:left w:val="nil"/>
              <w:bottom w:val="single" w:color="000000" w:sz="12" w:space="0"/>
              <w:right w:val="nil"/>
            </w:tcBorders>
            <w:shd w:val="clear" w:color="auto" w:fill="FFFFFF"/>
            <w:vAlign w:val="center"/>
          </w:tcPr>
          <w:p w14:paraId="22DBBCD8">
            <w:pPr>
              <w:pStyle w:val="44"/>
              <w:bidi w:val="0"/>
            </w:pPr>
            <w:r>
              <w:rPr>
                <w:rFonts w:hint="eastAsia"/>
              </w:rPr>
              <w:t>地方财政科学费用支出（万元）</w:t>
            </w:r>
          </w:p>
        </w:tc>
        <w:tc>
          <w:tcPr>
            <w:tcW w:w="512" w:type="pct"/>
            <w:tcBorders>
              <w:top w:val="nil"/>
              <w:left w:val="nil"/>
              <w:bottom w:val="single" w:color="000000" w:sz="12" w:space="0"/>
              <w:right w:val="nil"/>
            </w:tcBorders>
            <w:shd w:val="clear" w:color="auto" w:fill="FFFFFF"/>
            <w:vAlign w:val="center"/>
          </w:tcPr>
          <w:p w14:paraId="62E85E9E">
            <w:pPr>
              <w:pStyle w:val="44"/>
              <w:bidi w:val="0"/>
            </w:pPr>
            <w:r>
              <w:rPr>
                <w:rFonts w:hint="eastAsia"/>
              </w:rPr>
              <w:t>正项</w:t>
            </w:r>
          </w:p>
        </w:tc>
        <w:tc>
          <w:tcPr>
            <w:tcW w:w="476" w:type="pct"/>
            <w:tcBorders>
              <w:top w:val="nil"/>
              <w:left w:val="nil"/>
              <w:bottom w:val="single" w:color="000000" w:sz="12" w:space="0"/>
              <w:right w:val="nil"/>
            </w:tcBorders>
            <w:shd w:val="clear" w:color="auto" w:fill="FFFFFF"/>
            <w:vAlign w:val="center"/>
          </w:tcPr>
          <w:p w14:paraId="0782BD6D">
            <w:pPr>
              <w:pStyle w:val="44"/>
              <w:bidi w:val="0"/>
            </w:pPr>
            <w:r>
              <w:rPr>
                <w:rFonts w:hint="eastAsia"/>
              </w:rPr>
              <w:t>0.213</w:t>
            </w:r>
          </w:p>
        </w:tc>
      </w:tr>
    </w:tbl>
    <w:p w14:paraId="3240F327">
      <w:pPr>
        <w:pStyle w:val="3"/>
      </w:pPr>
      <w:bookmarkStart w:id="50" w:name="_Toc228914713"/>
      <w:r>
        <w:rPr>
          <w:rFonts w:hint="eastAsia"/>
        </w:rPr>
        <w:t>基于</w:t>
      </w:r>
      <w:r>
        <w:rPr>
          <w:rFonts w:ascii="Times New Roman" w:hAnsi="Times New Roman" w:cs="Times New Roman"/>
        </w:rPr>
        <w:t>DML</w:t>
      </w:r>
      <w:r>
        <w:rPr>
          <w:rFonts w:hint="eastAsia"/>
        </w:rPr>
        <w:t>的中介效应检验模型</w:t>
      </w:r>
      <w:bookmarkEnd w:id="50"/>
    </w:p>
    <w:p w14:paraId="2DD38198">
      <w:pPr>
        <w:ind w:firstLine="420" w:firstLineChars="0"/>
        <w:rPr>
          <w:rFonts w:hint="eastAsia"/>
        </w:rPr>
      </w:pPr>
    </w:p>
    <w:p w14:paraId="3660E3A2">
      <w:pPr>
        <w:ind w:firstLine="420" w:firstLineChars="0"/>
        <w:rPr>
          <w:rFonts w:hint="eastAsia"/>
        </w:rPr>
      </w:pPr>
      <w:r>
        <w:rPr>
          <w:rFonts w:hint="eastAsia"/>
        </w:rPr>
        <w:t>传统中介效应检验通常采用温忠麟等提出的“三步法”，即依次检验总效应、自变量对中介变量的影响，以及在同时纳入中介变量后的直接效应。然而，江艇（2022）指出，传统“三步法”在因果识别与机制解释层面存在一定局限，尤其是在总效应与中介路径均显著的情况下，继续引入第三步“同时回归”不仅并非必要，还可能因“坏控制”（bad control）问题而导致估计偏误。因此，江艇（2022）主张，在研究重点为“机制存在性”而非精确分解直接效应与间接效应时，只需检验“自变量影响中介变量”与“中介变量影响因变量”两条路径即可判定机制成立。</w:t>
      </w:r>
    </w:p>
    <w:p w14:paraId="5F88631F">
      <w:pPr>
        <w:ind w:firstLine="420" w:firstLineChars="0"/>
        <w:rPr>
          <w:rFonts w:hint="eastAsia"/>
        </w:rPr>
      </w:pPr>
      <w:r>
        <w:rPr>
          <w:rFonts w:hint="eastAsia"/>
        </w:rPr>
        <w:t>与此同时，考虑到本文控制变量维度较高，且变量之间可能存在复杂非线性关系，传统线性回归容易产生函数形式误设与高维正则偏误问题。为提高机制识别的稳健性，本文进一步将双重机器学习（Double Machine Learning，DML）引入中介效应检验框架，通过机器学习方法对高维控制变量进行非参数拟合，并利用交叉拟合（cross-fitting）与正交化（orthogonalization）构建去偏估计量，从而实现更加稳健的因果识别。</w:t>
      </w:r>
    </w:p>
    <w:p w14:paraId="5BBEF860">
      <w:pPr>
        <w:ind w:firstLine="420" w:firstLineChars="0"/>
        <w:rPr>
          <w:rFonts w:hint="eastAsia"/>
          <w:lang w:val="en-US" w:eastAsia="zh-CN"/>
        </w:rPr>
      </w:pPr>
      <w:r>
        <w:rPr>
          <w:rFonts w:hint="default" w:eastAsia="宋体"/>
          <w:lang w:val="en-US" w:eastAsia="zh-CN"/>
        </w:rPr>
        <w:t>第一步，检验公共数据开放对营商环境的影响</w:t>
      </w:r>
      <w:r>
        <w:rPr>
          <w:rFonts w:hint="eastAsia"/>
          <w:lang w:val="en-US" w:eastAsia="zh-CN"/>
        </w:rPr>
        <w:t>：</w:t>
      </w:r>
    </w:p>
    <w:tbl>
      <w:tblPr>
        <w:tblStyle w:val="2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010"/>
        <w:gridCol w:w="1416"/>
      </w:tblGrid>
      <w:tr w14:paraId="165429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atLeast"/>
        </w:trPr>
        <w:tc>
          <w:tcPr>
            <w:tcW w:w="7010" w:type="dxa"/>
            <w:vAlign w:val="center"/>
          </w:tcPr>
          <w:p w14:paraId="3ED9BCF9">
            <w:pPr>
              <w:spacing w:line="240" w:lineRule="auto"/>
              <w:ind w:firstLine="480"/>
              <w:jc w:val="center"/>
            </w:pPr>
            <m:oMathPara>
              <m:oMath>
                <m:sSub>
                  <m:sSubPr>
                    <m:ctrlPr>
                      <w:rPr>
                        <w:rFonts w:hint="eastAsia" w:ascii="Cambria Math" w:hAnsi="Cambria Math" w:cs="宋体"/>
                      </w:rPr>
                    </m:ctrlPr>
                  </m:sSubPr>
                  <m:e>
                    <m:r>
                      <m:rPr/>
                      <w:rPr>
                        <w:rFonts w:ascii="Cambria Math" w:hAnsi="Cambria Math" w:cs="宋体"/>
                      </w:rPr>
                      <m:t>env</m:t>
                    </m:r>
                    <m:ctrlPr>
                      <w:rPr>
                        <w:rFonts w:hint="eastAsia" w:ascii="Cambria Math" w:hAnsi="Cambria Math" w:cs="宋体"/>
                      </w:rPr>
                    </m:ctrlPr>
                  </m:e>
                  <m:sub>
                    <m:r>
                      <m:rPr/>
                      <w:rPr>
                        <w:rFonts w:hint="eastAsia" w:ascii="Cambria Math" w:hAnsi="Cambria Math" w:cs="宋体"/>
                      </w:rPr>
                      <m:t>it</m:t>
                    </m:r>
                    <m:ctrlPr>
                      <w:rPr>
                        <w:rFonts w:hint="eastAsia" w:ascii="Cambria Math" w:hAnsi="Cambria Math" w:cs="宋体"/>
                      </w:rPr>
                    </m:ctrlPr>
                  </m:sub>
                </m:sSub>
                <m:r>
                  <m:rPr>
                    <m:sty m:val="p"/>
                  </m:rPr>
                  <w:rPr>
                    <w:rFonts w:hint="eastAsia" w:ascii="Cambria Math" w:hAnsi="Cambria Math" w:cs="宋体"/>
                  </w:rPr>
                  <m:t>=</m:t>
                </m:r>
                <m:sSub>
                  <m:sSubPr>
                    <m:ctrlPr>
                      <w:rPr>
                        <w:rFonts w:hint="eastAsia" w:ascii="Cambria Math" w:hAnsi="Cambria Math" w:cs="宋体"/>
                      </w:rPr>
                    </m:ctrlPr>
                  </m:sSubPr>
                  <m:e>
                    <m:r>
                      <m:rPr/>
                      <w:rPr>
                        <w:rFonts w:hint="eastAsia" w:ascii="Cambria Math" w:hAnsi="Cambria Math" w:cs="宋体"/>
                      </w:rPr>
                      <m:t>g</m:t>
                    </m:r>
                    <m:ctrlPr>
                      <w:rPr>
                        <w:rFonts w:hint="eastAsia" w:ascii="Cambria Math" w:hAnsi="Cambria Math" w:cs="宋体"/>
                      </w:rPr>
                    </m:ctrlPr>
                  </m:e>
                  <m:sub>
                    <m:r>
                      <m:rPr/>
                      <w:rPr>
                        <w:rFonts w:hint="eastAsia" w:ascii="Cambria Math" w:hAnsi="Cambria Math" w:cs="宋体"/>
                      </w:rPr>
                      <m:t>1</m:t>
                    </m:r>
                    <m:ctrlPr>
                      <w:rPr>
                        <w:rFonts w:hint="eastAsia" w:ascii="Cambria Math" w:hAnsi="Cambria Math" w:cs="宋体"/>
                      </w:rPr>
                    </m:ctrlPr>
                  </m:sub>
                </m:sSub>
                <m:r>
                  <m:rPr>
                    <m:sty m:val="p"/>
                  </m:rPr>
                  <w:rPr>
                    <w:rFonts w:hint="eastAsia" w:ascii="Cambria Math" w:hAnsi="Cambria Math" w:cs="宋体"/>
                  </w:rPr>
                  <m:t>(</m:t>
                </m:r>
                <m:sSub>
                  <m:sSubPr>
                    <m:ctrlPr>
                      <w:rPr>
                        <w:rFonts w:hint="eastAsia" w:ascii="Cambria Math" w:hAnsi="Cambria Math" w:cs="宋体"/>
                      </w:rPr>
                    </m:ctrlPr>
                  </m:sSubPr>
                  <m:e>
                    <m:r>
                      <m:rPr/>
                      <w:rPr>
                        <w:rFonts w:hint="eastAsia" w:ascii="Cambria Math" w:hAnsi="Cambria Math" w:cs="宋体"/>
                      </w:rPr>
                      <m:t>W</m:t>
                    </m:r>
                    <m:ctrlPr>
                      <w:rPr>
                        <w:rFonts w:hint="eastAsia" w:ascii="Cambria Math" w:hAnsi="Cambria Math" w:cs="宋体"/>
                      </w:rPr>
                    </m:ctrlPr>
                  </m:e>
                  <m:sub>
                    <m:r>
                      <m:rPr/>
                      <w:rPr>
                        <w:rFonts w:hint="eastAsia" w:ascii="Cambria Math" w:hAnsi="Cambria Math" w:cs="宋体"/>
                      </w:rPr>
                      <m:t>it</m:t>
                    </m:r>
                    <m:ctrlPr>
                      <w:rPr>
                        <w:rFonts w:hint="eastAsia" w:ascii="Cambria Math" w:hAnsi="Cambria Math" w:cs="宋体"/>
                      </w:rPr>
                    </m:ctrlPr>
                  </m:sub>
                </m:sSub>
                <m:r>
                  <m:rPr>
                    <m:sty m:val="p"/>
                  </m:rPr>
                  <w:rPr>
                    <w:rFonts w:hint="eastAsia" w:ascii="Cambria Math" w:hAnsi="Cambria Math" w:cs="宋体"/>
                  </w:rPr>
                  <m:t>)+</m:t>
                </m:r>
                <m:sSub>
                  <m:sSubPr>
                    <m:ctrlPr>
                      <w:rPr>
                        <w:rFonts w:hint="eastAsia" w:ascii="Cambria Math" w:hAnsi="Cambria Math" w:cs="宋体"/>
                      </w:rPr>
                    </m:ctrlPr>
                  </m:sSubPr>
                  <m:e>
                    <m:r>
                      <m:rPr/>
                      <w:rPr>
                        <w:rFonts w:hint="eastAsia" w:ascii="Cambria Math" w:hAnsi="Cambria Math" w:cs="宋体"/>
                      </w:rPr>
                      <m:t>β</m:t>
                    </m:r>
                    <m:ctrlPr>
                      <w:rPr>
                        <w:rFonts w:hint="eastAsia" w:ascii="Cambria Math" w:hAnsi="Cambria Math" w:cs="宋体"/>
                      </w:rPr>
                    </m:ctrlPr>
                  </m:e>
                  <m:sub>
                    <m:r>
                      <m:rPr/>
                      <w:rPr>
                        <w:rFonts w:hint="eastAsia" w:ascii="Cambria Math" w:hAnsi="Cambria Math" w:cs="宋体"/>
                      </w:rPr>
                      <m:t>1</m:t>
                    </m:r>
                    <m:ctrlPr>
                      <w:rPr>
                        <w:rFonts w:hint="eastAsia" w:ascii="Cambria Math" w:hAnsi="Cambria Math" w:cs="宋体"/>
                      </w:rPr>
                    </m:ctrlPr>
                  </m:sub>
                </m:sSub>
                <m:r>
                  <m:rPr>
                    <m:sty m:val="p"/>
                  </m:rPr>
                  <w:rPr>
                    <w:rFonts w:hint="eastAsia" w:ascii="Cambria Math" w:hAnsi="Cambria Math" w:cs="宋体"/>
                  </w:rPr>
                  <m:t>⋅</m:t>
                </m:r>
                <m:sSub>
                  <m:sSubPr>
                    <m:ctrlPr>
                      <w:rPr>
                        <w:rFonts w:hint="eastAsia" w:ascii="Cambria Math" w:hAnsi="Cambria Math" w:cs="宋体"/>
                      </w:rPr>
                    </m:ctrlPr>
                  </m:sSubPr>
                  <m:e>
                    <m:r>
                      <m:rPr>
                        <m:sty m:val="p"/>
                      </m:rPr>
                      <w:rPr>
                        <w:rFonts w:hint="eastAsia" w:ascii="Cambria Math" w:hAnsi="Cambria Math" w:cs="宋体"/>
                      </w:rPr>
                      <m:t>post</m:t>
                    </m:r>
                    <m:ctrlPr>
                      <w:rPr>
                        <w:rFonts w:hint="eastAsia" w:ascii="Cambria Math" w:hAnsi="Cambria Math" w:cs="宋体"/>
                      </w:rPr>
                    </m:ctrlPr>
                  </m:e>
                  <m:sub>
                    <m:r>
                      <m:rPr/>
                      <w:rPr>
                        <w:rFonts w:hint="eastAsia" w:ascii="Cambria Math" w:hAnsi="Cambria Math" w:cs="宋体"/>
                      </w:rPr>
                      <m:t>it</m:t>
                    </m:r>
                    <m:ctrlPr>
                      <w:rPr>
                        <w:rFonts w:hint="eastAsia" w:ascii="Cambria Math" w:hAnsi="Cambria Math" w:cs="宋体"/>
                      </w:rPr>
                    </m:ctrlPr>
                  </m:sub>
                </m:sSub>
                <m:r>
                  <m:rPr>
                    <m:sty m:val="p"/>
                  </m:rPr>
                  <w:rPr>
                    <w:rFonts w:hint="eastAsia" w:ascii="Cambria Math" w:hAnsi="Cambria Math" w:cs="宋体"/>
                  </w:rPr>
                  <m:t>+</m:t>
                </m:r>
                <m:sSub>
                  <m:sSubPr>
                    <m:ctrlPr>
                      <w:rPr>
                        <w:rFonts w:hint="eastAsia" w:ascii="Cambria Math" w:hAnsi="Cambria Math" w:cs="宋体"/>
                      </w:rPr>
                    </m:ctrlPr>
                  </m:sSubPr>
                  <m:e>
                    <m:r>
                      <m:rPr/>
                      <w:rPr>
                        <w:rFonts w:hint="eastAsia" w:ascii="Cambria Math" w:hAnsi="Cambria Math" w:cs="宋体"/>
                      </w:rPr>
                      <m:t>ϵ</m:t>
                    </m:r>
                    <m:ctrlPr>
                      <w:rPr>
                        <w:rFonts w:hint="eastAsia" w:ascii="Cambria Math" w:hAnsi="Cambria Math" w:cs="宋体"/>
                      </w:rPr>
                    </m:ctrlPr>
                  </m:e>
                  <m:sub>
                    <m:r>
                      <m:rPr/>
                      <w:rPr>
                        <w:rFonts w:hint="eastAsia" w:ascii="Cambria Math" w:hAnsi="Cambria Math" w:cs="宋体"/>
                      </w:rPr>
                      <m:t>it</m:t>
                    </m:r>
                    <m:ctrlPr>
                      <w:rPr>
                        <w:rFonts w:hint="eastAsia" w:ascii="Cambria Math" w:hAnsi="Cambria Math" w:cs="宋体"/>
                      </w:rPr>
                    </m:ctrlPr>
                  </m:sub>
                </m:sSub>
              </m:oMath>
            </m:oMathPara>
          </w:p>
        </w:tc>
        <w:tc>
          <w:tcPr>
            <w:tcW w:w="1296" w:type="dxa"/>
            <w:vAlign w:val="center"/>
          </w:tcPr>
          <w:p w14:paraId="48B94CD8">
            <w:pPr>
              <w:ind w:firstLine="480"/>
              <w:jc w:val="right"/>
            </w:pPr>
            <w:r>
              <w:rPr>
                <w:rFonts w:hint="eastAsia"/>
              </w:rPr>
              <w:t>（1</w:t>
            </w:r>
            <w:r>
              <w:rPr>
                <w:rFonts w:hint="eastAsia"/>
                <w:lang w:val="en-US" w:eastAsia="zh-CN"/>
              </w:rPr>
              <w:t>4</w:t>
            </w:r>
            <w:r>
              <w:rPr>
                <w:rFonts w:hint="eastAsia"/>
              </w:rPr>
              <w:t>）</w:t>
            </w:r>
          </w:p>
        </w:tc>
      </w:tr>
    </w:tbl>
    <w:p w14:paraId="18552608">
      <w:pPr>
        <w:ind w:firstLine="420" w:firstLineChars="0"/>
        <w:rPr>
          <w:rFonts w:hint="default"/>
          <w:lang w:val="en-US" w:eastAsia="zh-CN"/>
        </w:rPr>
      </w:pPr>
      <w:r>
        <w:rPr>
          <w:rFonts w:hint="default"/>
          <w:lang w:val="en-US" w:eastAsia="zh-CN"/>
        </w:rPr>
        <w:t>其中，</w:t>
      </w:r>
      <m:oMath>
        <m:sSub>
          <m:sSubPr>
            <m:ctrlPr>
              <w:rPr>
                <w:rFonts w:hint="eastAsia" w:ascii="Cambria Math" w:hAnsi="Cambria Math" w:cs="宋体"/>
              </w:rPr>
            </m:ctrlPr>
          </m:sSubPr>
          <m:e>
            <m:r>
              <m:rPr>
                <m:sty m:val="p"/>
              </m:rPr>
              <w:rPr>
                <w:rFonts w:hint="eastAsia" w:ascii="Cambria Math" w:hAnsi="Cambria Math" w:cs="宋体"/>
              </w:rPr>
              <m:t>post</m:t>
            </m:r>
            <m:ctrlPr>
              <w:rPr>
                <w:rFonts w:hint="eastAsia" w:ascii="Cambria Math" w:hAnsi="Cambria Math" w:cs="宋体"/>
              </w:rPr>
            </m:ctrlPr>
          </m:e>
          <m:sub>
            <m:r>
              <m:rPr/>
              <w:rPr>
                <w:rFonts w:hint="eastAsia" w:ascii="Cambria Math" w:hAnsi="Cambria Math" w:cs="宋体"/>
              </w:rPr>
              <m:t>it</m:t>
            </m:r>
            <m:ctrlPr>
              <w:rPr>
                <w:rFonts w:hint="eastAsia" w:ascii="Cambria Math" w:hAnsi="Cambria Math" w:cs="宋体"/>
              </w:rPr>
            </m:ctrlPr>
          </m:sub>
        </m:sSub>
      </m:oMath>
      <w:r>
        <w:rPr>
          <w:rFonts w:ascii="宋体" w:hAnsi="宋体" w:eastAsia="宋体" w:cs="宋体"/>
          <w:sz w:val="24"/>
          <w:szCs w:val="24"/>
        </w:rPr>
        <w:t>表示公共数据开放政策变量，</w:t>
      </w:r>
      <m:oMath>
        <m:sSub>
          <m:sSubPr>
            <m:ctrlPr>
              <w:rPr>
                <w:rFonts w:hint="eastAsia" w:ascii="Cambria Math" w:hAnsi="Cambria Math" w:cs="宋体"/>
              </w:rPr>
            </m:ctrlPr>
          </m:sSubPr>
          <m:e>
            <m:r>
              <m:rPr/>
              <w:rPr>
                <w:rFonts w:ascii="Cambria Math" w:hAnsi="Cambria Math" w:cs="宋体"/>
              </w:rPr>
              <m:t>env</m:t>
            </m:r>
            <m:ctrlPr>
              <w:rPr>
                <w:rFonts w:hint="eastAsia" w:ascii="Cambria Math" w:hAnsi="Cambria Math" w:cs="宋体"/>
              </w:rPr>
            </m:ctrlPr>
          </m:e>
          <m:sub>
            <m:r>
              <m:rPr/>
              <w:rPr>
                <w:rFonts w:hint="eastAsia" w:ascii="Cambria Math" w:hAnsi="Cambria Math" w:cs="宋体"/>
              </w:rPr>
              <m:t>it</m:t>
            </m:r>
            <m:ctrlPr>
              <w:rPr>
                <w:rFonts w:hint="eastAsia" w:ascii="Cambria Math" w:hAnsi="Cambria Math" w:cs="宋体"/>
              </w:rPr>
            </m:ctrlPr>
          </m:sub>
        </m:sSub>
      </m:oMath>
      <w:r>
        <w:rPr>
          <w:rFonts w:ascii="宋体" w:hAnsi="宋体" w:eastAsia="宋体" w:cs="宋体"/>
          <w:sz w:val="24"/>
          <w:szCs w:val="24"/>
        </w:rPr>
        <w:t>表示营商环境指标，</w:t>
      </w:r>
      <m:oMath>
        <m:sSub>
          <m:sSubPr>
            <m:ctrlPr>
              <w:rPr>
                <w:rFonts w:ascii="Cambria Math" w:hAnsi="Cambria Math"/>
              </w:rPr>
            </m:ctrlPr>
          </m:sSubPr>
          <m:e>
            <m:r>
              <m:rPr>
                <m:sty m:val="p"/>
              </m:rPr>
              <w:rPr>
                <w:rFonts w:ascii="Cambria Math" w:hAnsi="Cambria Math"/>
              </w:rPr>
              <m:t>W</m:t>
            </m:r>
            <m:ctrlPr>
              <w:rPr>
                <w:rFonts w:ascii="Cambria Math" w:hAnsi="Cambria Math"/>
              </w:rPr>
            </m:ctrlPr>
          </m:e>
          <m:sub>
            <m:r>
              <m:rPr>
                <m:sty m:val="p"/>
              </m:rPr>
              <w:rPr>
                <w:rFonts w:ascii="Cambria Math" w:hAnsi="Cambria Math"/>
              </w:rPr>
              <m:t>it</m:t>
            </m:r>
            <m:ctrlPr>
              <w:rPr>
                <w:rFonts w:ascii="Cambria Math" w:hAnsi="Cambria Math"/>
              </w:rPr>
            </m:ctrlPr>
          </m:sub>
        </m:sSub>
      </m:oMath>
      <w:r>
        <w:rPr>
          <w:rFonts w:ascii="宋体" w:hAnsi="宋体" w:eastAsia="宋体" w:cs="宋体"/>
          <w:sz w:val="24"/>
          <w:szCs w:val="24"/>
        </w:rPr>
        <w:t>为控制变量集合。</w:t>
      </w:r>
      <m:oMath>
        <m:sSub>
          <m:sSubPr>
            <m:ctrlPr>
              <w:rPr>
                <w:rFonts w:ascii="Cambria Math" w:hAnsi="Cambria Math"/>
              </w:rPr>
            </m:ctrlPr>
          </m:sSubPr>
          <m:e>
            <m:r>
              <m:rPr>
                <m:sty m:val="p"/>
              </m:rPr>
              <w:rPr>
                <w:rFonts w:ascii="Cambria Math" w:hAnsi="Cambria Math"/>
              </w:rPr>
              <m:t>g</m:t>
            </m:r>
            <m:ctrlPr>
              <w:rPr>
                <w:rFonts w:ascii="Cambria Math" w:hAnsi="Cambria Math"/>
              </w:rPr>
            </m:ctrlPr>
          </m:e>
          <m:sub>
            <m:r>
              <m:rPr>
                <m:sty m:val="p"/>
              </m:rPr>
              <w:rPr>
                <w:rFonts w:ascii="Cambria Math" w:hAnsi="Cambria Math"/>
              </w:rPr>
              <m:t>1</m:t>
            </m:r>
            <m:ctrlPr>
              <w:rPr>
                <w:rFonts w:ascii="Cambria Math" w:hAnsi="Cambria Math"/>
              </w:rPr>
            </m:ctrlPr>
          </m:sub>
        </m:sSub>
      </m:oMath>
      <w:r>
        <w:rPr>
          <w:rFonts w:hint="default"/>
          <w:lang w:val="en-US" w:eastAsia="zh-CN"/>
        </w:rPr>
        <w:t>为机器学习模型对高维控制变量的非参数拟合函数。本文采用随机森林（Random Forest）作为核心学习器，以捕捉控制变量与营商环境之间可能存在的复杂非线性关系。DML通过交叉拟合构造如下正交矩条件：</w:t>
      </w:r>
    </w:p>
    <w:tbl>
      <w:tblPr>
        <w:tblStyle w:val="2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010"/>
        <w:gridCol w:w="1416"/>
      </w:tblGrid>
      <w:tr w14:paraId="53551B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atLeast"/>
        </w:trPr>
        <w:tc>
          <w:tcPr>
            <w:tcW w:w="7010" w:type="dxa"/>
            <w:vAlign w:val="center"/>
          </w:tcPr>
          <w:p w14:paraId="6253995A">
            <w:pPr>
              <w:spacing w:line="240" w:lineRule="auto"/>
              <w:ind w:firstLine="480"/>
              <w:jc w:val="center"/>
            </w:pPr>
            <m:oMathPara>
              <m:oMath>
                <m:r>
                  <m:rPr/>
                  <w:rPr>
                    <w:rFonts w:hint="eastAsia" w:ascii="Cambria Math" w:hAnsi="Cambria Math" w:cs="宋体"/>
                  </w:rPr>
                  <m:t>E</m:t>
                </m:r>
                <m:d>
                  <m:dPr>
                    <m:begChr m:val="["/>
                    <m:endChr m:val="]"/>
                    <m:ctrlPr>
                      <w:rPr>
                        <w:rFonts w:hint="eastAsia" w:ascii="Cambria Math" w:hAnsi="Cambria Math" w:cs="宋体"/>
                      </w:rPr>
                    </m:ctrlPr>
                  </m:dPr>
                  <m:e>
                    <m:d>
                      <m:dPr>
                        <m:ctrlPr>
                          <w:rPr>
                            <w:rFonts w:hint="eastAsia" w:ascii="Cambria Math" w:hAnsi="Cambria Math" w:cs="宋体"/>
                          </w:rPr>
                        </m:ctrlPr>
                      </m:dPr>
                      <m:e>
                        <m:sSub>
                          <m:sSubPr>
                            <m:ctrlPr>
                              <w:rPr>
                                <w:rFonts w:hint="eastAsia" w:ascii="Cambria Math" w:hAnsi="Cambria Math" w:cs="宋体"/>
                              </w:rPr>
                            </m:ctrlPr>
                          </m:sSubPr>
                          <m:e>
                            <m:r>
                              <m:rPr/>
                              <w:rPr>
                                <w:rFonts w:ascii="Cambria Math" w:hAnsi="Cambria Math" w:cs="宋体"/>
                              </w:rPr>
                              <m:t>env</m:t>
                            </m:r>
                            <m:ctrlPr>
                              <w:rPr>
                                <w:rFonts w:hint="eastAsia" w:ascii="Cambria Math" w:hAnsi="Cambria Math" w:cs="宋体"/>
                              </w:rPr>
                            </m:ctrlPr>
                          </m:e>
                          <m:sub>
                            <m:r>
                              <m:rPr/>
                              <w:rPr>
                                <w:rFonts w:hint="eastAsia" w:ascii="Cambria Math" w:hAnsi="Cambria Math" w:cs="宋体"/>
                              </w:rPr>
                              <m:t>it</m:t>
                            </m:r>
                            <m:ctrlPr>
                              <w:rPr>
                                <w:rFonts w:hint="eastAsia" w:ascii="Cambria Math" w:hAnsi="Cambria Math" w:cs="宋体"/>
                              </w:rPr>
                            </m:ctrlPr>
                          </m:sub>
                        </m:sSub>
                        <m:r>
                          <m:rPr>
                            <m:sty m:val="p"/>
                          </m:rPr>
                          <w:rPr>
                            <w:rFonts w:hint="eastAsia" w:ascii="Cambria Math" w:hAnsi="Cambria Math" w:cs="宋体"/>
                          </w:rPr>
                          <m:t>−</m:t>
                        </m:r>
                        <m:sSub>
                          <m:sSubPr>
                            <m:ctrlPr>
                              <w:rPr>
                                <w:rFonts w:hint="eastAsia" w:ascii="Cambria Math" w:hAnsi="Cambria Math" w:cs="宋体"/>
                              </w:rPr>
                            </m:ctrlPr>
                          </m:sSubPr>
                          <m:e>
                            <m:r>
                              <m:rPr/>
                              <w:rPr>
                                <w:rFonts w:hint="eastAsia" w:ascii="Cambria Math" w:hAnsi="Cambria Math" w:cs="宋体"/>
                              </w:rPr>
                              <m:t>g</m:t>
                            </m:r>
                            <m:ctrlPr>
                              <w:rPr>
                                <w:rFonts w:hint="eastAsia" w:ascii="Cambria Math" w:hAnsi="Cambria Math" w:cs="宋体"/>
                              </w:rPr>
                            </m:ctrlPr>
                          </m:e>
                          <m:sub>
                            <m:r>
                              <m:rPr/>
                              <w:rPr>
                                <w:rFonts w:hint="eastAsia" w:ascii="Cambria Math" w:hAnsi="Cambria Math" w:cs="宋体"/>
                              </w:rPr>
                              <m:t>1</m:t>
                            </m:r>
                            <m:ctrlPr>
                              <w:rPr>
                                <w:rFonts w:hint="eastAsia" w:ascii="Cambria Math" w:hAnsi="Cambria Math" w:cs="宋体"/>
                              </w:rPr>
                            </m:ctrlPr>
                          </m:sub>
                        </m:sSub>
                        <m:r>
                          <m:rPr>
                            <m:sty m:val="p"/>
                          </m:rPr>
                          <w:rPr>
                            <w:rFonts w:hint="eastAsia" w:ascii="Cambria Math" w:hAnsi="Cambria Math" w:cs="宋体"/>
                          </w:rPr>
                          <m:t>(</m:t>
                        </m:r>
                        <m:sSub>
                          <m:sSubPr>
                            <m:ctrlPr>
                              <w:rPr>
                                <w:rFonts w:hint="eastAsia" w:ascii="Cambria Math" w:hAnsi="Cambria Math" w:cs="宋体"/>
                              </w:rPr>
                            </m:ctrlPr>
                          </m:sSubPr>
                          <m:e>
                            <m:r>
                              <m:rPr/>
                              <w:rPr>
                                <w:rFonts w:ascii="Cambria Math" w:hAnsi="Cambria Math" w:cs="宋体"/>
                              </w:rPr>
                              <m:t>X</m:t>
                            </m:r>
                            <m:ctrlPr>
                              <w:rPr>
                                <w:rFonts w:hint="eastAsia" w:ascii="Cambria Math" w:hAnsi="Cambria Math" w:cs="宋体"/>
                              </w:rPr>
                            </m:ctrlPr>
                          </m:e>
                          <m:sub>
                            <m:r>
                              <m:rPr/>
                              <w:rPr>
                                <w:rFonts w:hint="eastAsia" w:ascii="Cambria Math" w:hAnsi="Cambria Math" w:cs="宋体"/>
                              </w:rPr>
                              <m:t>it</m:t>
                            </m:r>
                            <m:ctrlPr>
                              <w:rPr>
                                <w:rFonts w:hint="eastAsia" w:ascii="Cambria Math" w:hAnsi="Cambria Math" w:cs="宋体"/>
                              </w:rPr>
                            </m:ctrlPr>
                          </m:sub>
                        </m:sSub>
                        <m:r>
                          <m:rPr>
                            <m:sty m:val="p"/>
                          </m:rPr>
                          <w:rPr>
                            <w:rFonts w:hint="eastAsia" w:ascii="Cambria Math" w:hAnsi="Cambria Math" w:cs="宋体"/>
                          </w:rPr>
                          <m:t>)−</m:t>
                        </m:r>
                        <m:sSub>
                          <m:sSubPr>
                            <m:ctrlPr>
                              <w:rPr>
                                <w:rFonts w:hint="eastAsia" w:ascii="Cambria Math" w:hAnsi="Cambria Math" w:cs="宋体"/>
                              </w:rPr>
                            </m:ctrlPr>
                          </m:sSubPr>
                          <m:e>
                            <m:r>
                              <m:rPr/>
                              <w:rPr>
                                <w:rFonts w:hint="eastAsia" w:ascii="Cambria Math" w:hAnsi="Cambria Math" w:cs="宋体"/>
                              </w:rPr>
                              <m:t>β</m:t>
                            </m:r>
                            <m:ctrlPr>
                              <w:rPr>
                                <w:rFonts w:hint="eastAsia" w:ascii="Cambria Math" w:hAnsi="Cambria Math" w:cs="宋体"/>
                              </w:rPr>
                            </m:ctrlPr>
                          </m:e>
                          <m:sub>
                            <m:r>
                              <m:rPr/>
                              <w:rPr>
                                <w:rFonts w:hint="eastAsia" w:ascii="Cambria Math" w:hAnsi="Cambria Math" w:cs="宋体"/>
                              </w:rPr>
                              <m:t>1</m:t>
                            </m:r>
                            <m:ctrlPr>
                              <w:rPr>
                                <w:rFonts w:hint="eastAsia" w:ascii="Cambria Math" w:hAnsi="Cambria Math" w:cs="宋体"/>
                              </w:rPr>
                            </m:ctrlPr>
                          </m:sub>
                        </m:sSub>
                        <m:sSub>
                          <m:sSubPr>
                            <m:ctrlPr>
                              <w:rPr>
                                <w:rFonts w:hint="eastAsia" w:ascii="Cambria Math" w:hAnsi="Cambria Math" w:cs="宋体"/>
                              </w:rPr>
                            </m:ctrlPr>
                          </m:sSubPr>
                          <m:e>
                            <m:r>
                              <m:rPr>
                                <m:sty m:val="p"/>
                              </m:rPr>
                              <w:rPr>
                                <w:rFonts w:hint="eastAsia" w:ascii="Cambria Math" w:hAnsi="Cambria Math" w:cs="宋体"/>
                              </w:rPr>
                              <m:t>post</m:t>
                            </m:r>
                            <m:ctrlPr>
                              <w:rPr>
                                <w:rFonts w:hint="eastAsia" w:ascii="Cambria Math" w:hAnsi="Cambria Math" w:cs="宋体"/>
                              </w:rPr>
                            </m:ctrlPr>
                          </m:e>
                          <m:sub>
                            <m:r>
                              <m:rPr/>
                              <w:rPr>
                                <w:rFonts w:hint="eastAsia" w:ascii="Cambria Math" w:hAnsi="Cambria Math" w:cs="宋体"/>
                              </w:rPr>
                              <m:t>it</m:t>
                            </m:r>
                            <m:ctrlPr>
                              <w:rPr>
                                <w:rFonts w:hint="eastAsia" w:ascii="Cambria Math" w:hAnsi="Cambria Math" w:cs="宋体"/>
                              </w:rPr>
                            </m:ctrlPr>
                          </m:sub>
                        </m:sSub>
                        <m:ctrlPr>
                          <w:rPr>
                            <w:rFonts w:hint="eastAsia" w:ascii="Cambria Math" w:hAnsi="Cambria Math" w:cs="宋体"/>
                          </w:rPr>
                        </m:ctrlPr>
                      </m:e>
                    </m:d>
                    <m:r>
                      <m:rPr>
                        <m:sty m:val="p"/>
                      </m:rPr>
                      <w:rPr>
                        <w:rFonts w:hint="eastAsia" w:ascii="Cambria Math" w:hAnsi="Cambria Math" w:cs="宋体"/>
                      </w:rPr>
                      <m:t>⋅</m:t>
                    </m:r>
                    <m:d>
                      <m:dPr>
                        <m:ctrlPr>
                          <w:rPr>
                            <w:rFonts w:hint="eastAsia" w:ascii="Cambria Math" w:hAnsi="Cambria Math" w:cs="宋体"/>
                          </w:rPr>
                        </m:ctrlPr>
                      </m:dPr>
                      <m:e>
                        <m:sSub>
                          <m:sSubPr>
                            <m:ctrlPr>
                              <w:rPr>
                                <w:rFonts w:hint="eastAsia" w:ascii="Cambria Math" w:hAnsi="Cambria Math" w:cs="宋体"/>
                              </w:rPr>
                            </m:ctrlPr>
                          </m:sSubPr>
                          <m:e>
                            <m:r>
                              <m:rPr>
                                <m:sty m:val="p"/>
                              </m:rPr>
                              <w:rPr>
                                <w:rFonts w:hint="eastAsia" w:ascii="Cambria Math" w:hAnsi="Cambria Math" w:cs="宋体"/>
                              </w:rPr>
                              <m:t>post</m:t>
                            </m:r>
                            <m:ctrlPr>
                              <w:rPr>
                                <w:rFonts w:hint="eastAsia" w:ascii="Cambria Math" w:hAnsi="Cambria Math" w:cs="宋体"/>
                              </w:rPr>
                            </m:ctrlPr>
                          </m:e>
                          <m:sub>
                            <m:r>
                              <m:rPr/>
                              <w:rPr>
                                <w:rFonts w:hint="eastAsia" w:ascii="Cambria Math" w:hAnsi="Cambria Math" w:cs="宋体"/>
                              </w:rPr>
                              <m:t>it</m:t>
                            </m:r>
                            <m:ctrlPr>
                              <w:rPr>
                                <w:rFonts w:hint="eastAsia" w:ascii="Cambria Math" w:hAnsi="Cambria Math" w:cs="宋体"/>
                              </w:rPr>
                            </m:ctrlPr>
                          </m:sub>
                        </m:sSub>
                        <m:r>
                          <m:rPr>
                            <m:sty m:val="p"/>
                          </m:rPr>
                          <w:rPr>
                            <w:rFonts w:hint="eastAsia" w:ascii="Cambria Math" w:hAnsi="Cambria Math" w:cs="宋体"/>
                          </w:rPr>
                          <m:t>−</m:t>
                        </m:r>
                        <m:r>
                          <m:rPr/>
                          <w:rPr>
                            <w:rFonts w:hint="eastAsia" w:ascii="Cambria Math" w:hAnsi="Cambria Math" w:cs="宋体"/>
                          </w:rPr>
                          <m:t>E</m:t>
                        </m:r>
                        <m:r>
                          <m:rPr>
                            <m:sty m:val="p"/>
                          </m:rPr>
                          <w:rPr>
                            <w:rFonts w:hint="eastAsia" w:ascii="Cambria Math" w:hAnsi="Cambria Math" w:cs="宋体"/>
                          </w:rPr>
                          <m:t>[</m:t>
                        </m:r>
                        <m:sSub>
                          <m:sSubPr>
                            <m:ctrlPr>
                              <w:rPr>
                                <w:rFonts w:hint="eastAsia" w:ascii="Cambria Math" w:hAnsi="Cambria Math" w:cs="宋体"/>
                              </w:rPr>
                            </m:ctrlPr>
                          </m:sSubPr>
                          <m:e>
                            <m:r>
                              <m:rPr>
                                <m:sty m:val="p"/>
                              </m:rPr>
                              <w:rPr>
                                <w:rFonts w:hint="eastAsia" w:ascii="Cambria Math" w:hAnsi="Cambria Math" w:cs="宋体"/>
                              </w:rPr>
                              <m:t>post</m:t>
                            </m:r>
                            <m:ctrlPr>
                              <w:rPr>
                                <w:rFonts w:hint="eastAsia" w:ascii="Cambria Math" w:hAnsi="Cambria Math" w:cs="宋体"/>
                              </w:rPr>
                            </m:ctrlPr>
                          </m:e>
                          <m:sub>
                            <m:r>
                              <m:rPr/>
                              <w:rPr>
                                <w:rFonts w:hint="eastAsia" w:ascii="Cambria Math" w:hAnsi="Cambria Math" w:cs="宋体"/>
                              </w:rPr>
                              <m:t>it</m:t>
                            </m:r>
                            <m:ctrlPr>
                              <w:rPr>
                                <w:rFonts w:hint="eastAsia" w:ascii="Cambria Math" w:hAnsi="Cambria Math" w:cs="宋体"/>
                              </w:rPr>
                            </m:ctrlPr>
                          </m:sub>
                        </m:sSub>
                        <m:r>
                          <m:rPr>
                            <m:sty m:val="p"/>
                          </m:rPr>
                          <w:rPr>
                            <w:rFonts w:hint="eastAsia" w:ascii="Cambria Math" w:hAnsi="Cambria Math" w:cs="宋体"/>
                          </w:rPr>
                          <m:t>∣</m:t>
                        </m:r>
                        <m:sSub>
                          <m:sSubPr>
                            <m:ctrlPr>
                              <w:rPr>
                                <w:rFonts w:hint="eastAsia" w:ascii="Cambria Math" w:hAnsi="Cambria Math" w:cs="宋体"/>
                              </w:rPr>
                            </m:ctrlPr>
                          </m:sSubPr>
                          <m:e>
                            <m:r>
                              <m:rPr/>
                              <w:rPr>
                                <w:rFonts w:ascii="Cambria Math" w:hAnsi="Cambria Math" w:cs="宋体"/>
                              </w:rPr>
                              <m:t>X</m:t>
                            </m:r>
                            <m:ctrlPr>
                              <w:rPr>
                                <w:rFonts w:hint="eastAsia" w:ascii="Cambria Math" w:hAnsi="Cambria Math" w:cs="宋体"/>
                              </w:rPr>
                            </m:ctrlPr>
                          </m:e>
                          <m:sub>
                            <m:r>
                              <m:rPr/>
                              <w:rPr>
                                <w:rFonts w:hint="eastAsia" w:ascii="Cambria Math" w:hAnsi="Cambria Math" w:cs="宋体"/>
                              </w:rPr>
                              <m:t>it</m:t>
                            </m:r>
                            <m:ctrlPr>
                              <w:rPr>
                                <w:rFonts w:hint="eastAsia" w:ascii="Cambria Math" w:hAnsi="Cambria Math" w:cs="宋体"/>
                              </w:rPr>
                            </m:ctrlPr>
                          </m:sub>
                        </m:sSub>
                        <m:r>
                          <m:rPr>
                            <m:sty m:val="p"/>
                          </m:rPr>
                          <w:rPr>
                            <w:rFonts w:hint="eastAsia" w:ascii="Cambria Math" w:hAnsi="Cambria Math" w:cs="宋体"/>
                          </w:rPr>
                          <m:t>]</m:t>
                        </m:r>
                        <m:ctrlPr>
                          <w:rPr>
                            <w:rFonts w:hint="eastAsia" w:ascii="Cambria Math" w:hAnsi="Cambria Math" w:cs="宋体"/>
                          </w:rPr>
                        </m:ctrlPr>
                      </m:e>
                    </m:d>
                    <m:ctrlPr>
                      <w:rPr>
                        <w:rFonts w:hint="eastAsia" w:ascii="Cambria Math" w:hAnsi="Cambria Math" w:cs="宋体"/>
                      </w:rPr>
                    </m:ctrlPr>
                  </m:e>
                </m:d>
                <m:r>
                  <m:rPr>
                    <m:sty m:val="p"/>
                  </m:rPr>
                  <w:rPr>
                    <w:rFonts w:hint="eastAsia" w:ascii="Cambria Math" w:hAnsi="Cambria Math" w:cs="宋体"/>
                  </w:rPr>
                  <m:t>=</m:t>
                </m:r>
                <m:r>
                  <m:rPr/>
                  <w:rPr>
                    <w:rFonts w:hint="eastAsia" w:ascii="Cambria Math" w:hAnsi="Cambria Math" w:cs="宋体"/>
                  </w:rPr>
                  <m:t>0</m:t>
                </m:r>
              </m:oMath>
            </m:oMathPara>
          </w:p>
        </w:tc>
        <w:tc>
          <w:tcPr>
            <w:tcW w:w="1296" w:type="dxa"/>
            <w:vAlign w:val="center"/>
          </w:tcPr>
          <w:p w14:paraId="621228C9">
            <w:pPr>
              <w:ind w:firstLine="480"/>
              <w:jc w:val="right"/>
            </w:pPr>
            <w:r>
              <w:rPr>
                <w:rFonts w:hint="eastAsia"/>
              </w:rPr>
              <w:t>（1</w:t>
            </w:r>
            <w:r>
              <w:rPr>
                <w:rFonts w:hint="eastAsia"/>
                <w:lang w:val="en-US" w:eastAsia="zh-CN"/>
              </w:rPr>
              <w:t>5</w:t>
            </w:r>
            <w:r>
              <w:rPr>
                <w:rFonts w:hint="eastAsia"/>
              </w:rPr>
              <w:t>）</w:t>
            </w:r>
          </w:p>
        </w:tc>
      </w:tr>
    </w:tbl>
    <w:p w14:paraId="5B4649B3">
      <w:pPr>
        <w:ind w:firstLine="420" w:firstLineChars="0"/>
        <w:rPr>
          <w:rFonts w:hint="eastAsia"/>
        </w:rPr>
      </w:pPr>
      <w:r>
        <w:rPr>
          <w:rFonts w:hint="eastAsia"/>
        </w:rPr>
        <w:t>其中，</w:t>
      </w:r>
      <m:oMath>
        <m:sSub>
          <m:sSubPr>
            <m:ctrlPr>
              <w:rPr>
                <w:rFonts w:ascii="Cambria Math" w:hAnsi="Cambria Math"/>
              </w:rPr>
            </m:ctrlPr>
          </m:sSubPr>
          <m:e>
            <m:r>
              <m:rPr/>
              <w:rPr>
                <w:rFonts w:ascii="Cambria Math" w:hAnsi="Cambria Math"/>
              </w:rPr>
              <m:t>β</m:t>
            </m:r>
            <m:ctrlPr>
              <w:rPr>
                <w:rFonts w:ascii="Cambria Math" w:hAnsi="Cambria Math"/>
              </w:rPr>
            </m:ctrlPr>
          </m:e>
          <m:sub>
            <m:r>
              <m:rPr/>
              <w:rPr>
                <w:rFonts w:ascii="Cambria Math" w:hAnsi="Cambria Math"/>
              </w:rPr>
              <m:t>1</m:t>
            </m:r>
            <m:ctrlPr>
              <w:rPr>
                <w:rFonts w:ascii="Cambria Math" w:hAnsi="Cambria Math"/>
              </w:rPr>
            </m:ctrlPr>
          </m:sub>
        </m:sSub>
      </m:oMath>
      <w:r>
        <w:rPr>
          <w:rFonts w:hint="eastAsia"/>
        </w:rPr>
        <w:t>表示公共数据开放对营商环境的平均因果效应。若该系数显著，则说明公共数据开放能够有效改善地区营商环境。</w:t>
      </w:r>
    </w:p>
    <w:p w14:paraId="43D6A2F9">
      <w:pPr>
        <w:ind w:firstLine="420" w:firstLineChars="0"/>
        <w:rPr>
          <w:rFonts w:hint="eastAsia" w:eastAsia="宋体"/>
          <w:lang w:eastAsia="zh-CN"/>
        </w:rPr>
      </w:pPr>
      <w:r>
        <w:rPr>
          <w:rFonts w:ascii="宋体" w:hAnsi="宋体" w:eastAsia="宋体" w:cs="宋体"/>
          <w:sz w:val="24"/>
          <w:szCs w:val="24"/>
        </w:rPr>
        <w:t>第二步，检验营商环境对企业诉求的影响</w:t>
      </w:r>
      <w:r>
        <w:rPr>
          <w:rFonts w:hint="eastAsia" w:ascii="宋体" w:hAnsi="宋体" w:cs="宋体"/>
          <w:sz w:val="24"/>
          <w:szCs w:val="24"/>
          <w:lang w:eastAsia="zh-CN"/>
        </w:rPr>
        <w:t>：</w:t>
      </w:r>
    </w:p>
    <w:tbl>
      <w:tblPr>
        <w:tblStyle w:val="2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010"/>
        <w:gridCol w:w="1416"/>
      </w:tblGrid>
      <w:tr w14:paraId="4F60EB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atLeast"/>
        </w:trPr>
        <w:tc>
          <w:tcPr>
            <w:tcW w:w="7010" w:type="dxa"/>
            <w:vAlign w:val="center"/>
          </w:tcPr>
          <w:p w14:paraId="51EF3356">
            <w:pPr>
              <w:spacing w:line="240" w:lineRule="auto"/>
              <w:ind w:firstLine="480"/>
              <w:jc w:val="center"/>
            </w:pPr>
            <m:oMathPara>
              <m:oMath>
                <m:sSub>
                  <m:sSubPr>
                    <m:ctrlPr>
                      <w:rPr>
                        <w:rFonts w:hint="eastAsia" w:ascii="Cambria Math" w:hAnsi="Cambria Math" w:cs="宋体"/>
                      </w:rPr>
                    </m:ctrlPr>
                  </m:sSubPr>
                  <m:e>
                    <m:r>
                      <m:rPr/>
                      <w:rPr>
                        <w:rFonts w:hint="eastAsia" w:ascii="Cambria Math" w:hAnsi="Cambria Math" w:cs="宋体"/>
                      </w:rPr>
                      <m:t>Y</m:t>
                    </m:r>
                    <m:ctrlPr>
                      <w:rPr>
                        <w:rFonts w:hint="eastAsia" w:ascii="Cambria Math" w:hAnsi="Cambria Math" w:cs="宋体"/>
                      </w:rPr>
                    </m:ctrlPr>
                  </m:e>
                  <m:sub>
                    <m:r>
                      <m:rPr/>
                      <w:rPr>
                        <w:rFonts w:hint="eastAsia" w:ascii="Cambria Math" w:hAnsi="Cambria Math" w:cs="宋体"/>
                      </w:rPr>
                      <m:t>it</m:t>
                    </m:r>
                    <m:ctrlPr>
                      <w:rPr>
                        <w:rFonts w:hint="eastAsia" w:ascii="Cambria Math" w:hAnsi="Cambria Math" w:cs="宋体"/>
                      </w:rPr>
                    </m:ctrlPr>
                  </m:sub>
                </m:sSub>
                <m:r>
                  <m:rPr>
                    <m:sty m:val="p"/>
                  </m:rPr>
                  <w:rPr>
                    <w:rFonts w:hint="eastAsia" w:ascii="Cambria Math" w:hAnsi="Cambria Math" w:cs="宋体"/>
                  </w:rPr>
                  <m:t>=</m:t>
                </m:r>
                <m:sSub>
                  <m:sSubPr>
                    <m:ctrlPr>
                      <w:rPr>
                        <w:rFonts w:hint="eastAsia" w:ascii="Cambria Math" w:hAnsi="Cambria Math" w:cs="宋体"/>
                      </w:rPr>
                    </m:ctrlPr>
                  </m:sSubPr>
                  <m:e>
                    <m:r>
                      <m:rPr/>
                      <w:rPr>
                        <w:rFonts w:hint="eastAsia" w:ascii="Cambria Math" w:hAnsi="Cambria Math" w:cs="宋体"/>
                      </w:rPr>
                      <m:t>g</m:t>
                    </m:r>
                    <m:ctrlPr>
                      <w:rPr>
                        <w:rFonts w:hint="eastAsia" w:ascii="Cambria Math" w:hAnsi="Cambria Math" w:cs="宋体"/>
                      </w:rPr>
                    </m:ctrlPr>
                  </m:e>
                  <m:sub>
                    <m:r>
                      <m:rPr/>
                      <w:rPr>
                        <w:rFonts w:hint="eastAsia" w:ascii="Cambria Math" w:hAnsi="Cambria Math" w:cs="宋体"/>
                      </w:rPr>
                      <m:t>2</m:t>
                    </m:r>
                    <m:ctrlPr>
                      <w:rPr>
                        <w:rFonts w:hint="eastAsia" w:ascii="Cambria Math" w:hAnsi="Cambria Math" w:cs="宋体"/>
                      </w:rPr>
                    </m:ctrlPr>
                  </m:sub>
                </m:sSub>
                <m:r>
                  <m:rPr>
                    <m:sty m:val="p"/>
                  </m:rPr>
                  <w:rPr>
                    <w:rFonts w:hint="eastAsia" w:ascii="Cambria Math" w:hAnsi="Cambria Math" w:cs="宋体"/>
                  </w:rPr>
                  <m:t>(</m:t>
                </m:r>
                <m:sSub>
                  <m:sSubPr>
                    <m:ctrlPr>
                      <w:rPr>
                        <w:rFonts w:hint="eastAsia" w:ascii="Cambria Math" w:hAnsi="Cambria Math" w:cs="宋体"/>
                      </w:rPr>
                    </m:ctrlPr>
                  </m:sSubPr>
                  <m:e>
                    <m:r>
                      <m:rPr>
                        <m:sty m:val="p"/>
                      </m:rPr>
                      <w:rPr>
                        <w:rFonts w:hint="default" w:ascii="Cambria Math" w:hAnsi="Cambria Math" w:cs="宋体"/>
                        <w:lang w:val="en-US" w:eastAsia="zh-CN"/>
                      </w:rPr>
                      <m:t>W</m:t>
                    </m:r>
                    <m:ctrlPr>
                      <w:rPr>
                        <w:rFonts w:hint="eastAsia" w:ascii="Cambria Math" w:hAnsi="Cambria Math" w:cs="宋体"/>
                      </w:rPr>
                    </m:ctrlPr>
                  </m:e>
                  <m:sub>
                    <m:r>
                      <m:rPr/>
                      <w:rPr>
                        <w:rFonts w:hint="eastAsia" w:ascii="Cambria Math" w:hAnsi="Cambria Math" w:cs="宋体"/>
                      </w:rPr>
                      <m:t>it</m:t>
                    </m:r>
                    <m:ctrlPr>
                      <w:rPr>
                        <w:rFonts w:hint="eastAsia" w:ascii="Cambria Math" w:hAnsi="Cambria Math" w:cs="宋体"/>
                      </w:rPr>
                    </m:ctrlPr>
                  </m:sub>
                </m:sSub>
                <m:r>
                  <m:rPr>
                    <m:sty m:val="p"/>
                  </m:rPr>
                  <w:rPr>
                    <w:rFonts w:hint="eastAsia" w:ascii="Cambria Math" w:hAnsi="Cambria Math" w:cs="宋体"/>
                  </w:rPr>
                  <m:t>,</m:t>
                </m:r>
                <m:sSub>
                  <m:sSubPr>
                    <m:ctrlPr>
                      <w:rPr>
                        <w:rFonts w:hint="eastAsia" w:ascii="Cambria Math" w:hAnsi="Cambria Math" w:cs="宋体"/>
                      </w:rPr>
                    </m:ctrlPr>
                  </m:sSubPr>
                  <m:e>
                    <m:r>
                      <m:rPr>
                        <m:sty m:val="p"/>
                      </m:rPr>
                      <w:rPr>
                        <w:rFonts w:ascii="Cambria Math" w:hAnsi="Cambria Math" w:cs="宋体"/>
                      </w:rPr>
                      <m:t>post</m:t>
                    </m:r>
                    <m:ctrlPr>
                      <w:rPr>
                        <w:rFonts w:hint="eastAsia" w:ascii="Cambria Math" w:hAnsi="Cambria Math" w:cs="宋体"/>
                      </w:rPr>
                    </m:ctrlPr>
                  </m:e>
                  <m:sub>
                    <m:r>
                      <m:rPr/>
                      <w:rPr>
                        <w:rFonts w:hint="eastAsia" w:ascii="Cambria Math" w:hAnsi="Cambria Math" w:cs="宋体"/>
                      </w:rPr>
                      <m:t>it</m:t>
                    </m:r>
                    <m:ctrlPr>
                      <w:rPr>
                        <w:rFonts w:hint="eastAsia" w:ascii="Cambria Math" w:hAnsi="Cambria Math" w:cs="宋体"/>
                      </w:rPr>
                    </m:ctrlPr>
                  </m:sub>
                </m:sSub>
                <m:r>
                  <m:rPr>
                    <m:sty m:val="p"/>
                  </m:rPr>
                  <w:rPr>
                    <w:rFonts w:hint="eastAsia" w:ascii="Cambria Math" w:hAnsi="Cambria Math" w:cs="宋体"/>
                  </w:rPr>
                  <m:t>)+</m:t>
                </m:r>
                <m:sSub>
                  <m:sSubPr>
                    <m:ctrlPr>
                      <w:rPr>
                        <w:rFonts w:hint="eastAsia" w:ascii="Cambria Math" w:hAnsi="Cambria Math" w:cs="宋体"/>
                      </w:rPr>
                    </m:ctrlPr>
                  </m:sSubPr>
                  <m:e>
                    <m:r>
                      <m:rPr/>
                      <w:rPr>
                        <w:rFonts w:hint="eastAsia" w:ascii="Cambria Math" w:hAnsi="Cambria Math" w:cs="宋体"/>
                      </w:rPr>
                      <m:t>γ</m:t>
                    </m:r>
                    <m:ctrlPr>
                      <w:rPr>
                        <w:rFonts w:hint="eastAsia" w:ascii="Cambria Math" w:hAnsi="Cambria Math" w:cs="宋体"/>
                      </w:rPr>
                    </m:ctrlPr>
                  </m:e>
                  <m:sub>
                    <m:r>
                      <m:rPr>
                        <m:sty m:val="p"/>
                      </m:rPr>
                      <w:rPr>
                        <w:rFonts w:hint="default" w:ascii="Cambria Math" w:hAnsi="Cambria Math" w:cs="宋体"/>
                        <w:lang w:val="en-US" w:eastAsia="zh-CN"/>
                      </w:rPr>
                      <m:t>1</m:t>
                    </m:r>
                    <m:ctrlPr>
                      <w:rPr>
                        <w:rFonts w:hint="eastAsia" w:ascii="Cambria Math" w:hAnsi="Cambria Math" w:cs="宋体"/>
                      </w:rPr>
                    </m:ctrlPr>
                  </m:sub>
                </m:sSub>
                <m:r>
                  <m:rPr>
                    <m:sty m:val="p"/>
                  </m:rPr>
                  <w:rPr>
                    <w:rFonts w:hint="eastAsia" w:ascii="Cambria Math" w:hAnsi="Cambria Math" w:cs="宋体"/>
                  </w:rPr>
                  <m:t>⋅</m:t>
                </m:r>
                <m:sSub>
                  <m:sSubPr>
                    <m:ctrlPr>
                      <w:rPr>
                        <w:rFonts w:hint="eastAsia" w:ascii="Cambria Math" w:hAnsi="Cambria Math" w:cs="宋体"/>
                      </w:rPr>
                    </m:ctrlPr>
                  </m:sSubPr>
                  <m:e>
                    <m:r>
                      <m:rPr/>
                      <w:rPr>
                        <w:rFonts w:ascii="Cambria Math" w:hAnsi="Cambria Math" w:cs="宋体"/>
                      </w:rPr>
                      <m:t>env</m:t>
                    </m:r>
                    <m:ctrlPr>
                      <w:rPr>
                        <w:rFonts w:hint="eastAsia" w:ascii="Cambria Math" w:hAnsi="Cambria Math" w:cs="宋体"/>
                      </w:rPr>
                    </m:ctrlPr>
                  </m:e>
                  <m:sub>
                    <m:r>
                      <m:rPr/>
                      <w:rPr>
                        <w:rFonts w:hint="eastAsia" w:ascii="Cambria Math" w:hAnsi="Cambria Math" w:cs="宋体"/>
                      </w:rPr>
                      <m:t>it</m:t>
                    </m:r>
                    <m:ctrlPr>
                      <w:rPr>
                        <w:rFonts w:hint="eastAsia" w:ascii="Cambria Math" w:hAnsi="Cambria Math" w:cs="宋体"/>
                      </w:rPr>
                    </m:ctrlPr>
                  </m:sub>
                </m:sSub>
                <m:r>
                  <m:rPr>
                    <m:sty m:val="p"/>
                  </m:rPr>
                  <w:rPr>
                    <w:rFonts w:hint="eastAsia" w:ascii="Cambria Math" w:hAnsi="Cambria Math" w:cs="宋体"/>
                  </w:rPr>
                  <m:t>+</m:t>
                </m:r>
                <m:sSub>
                  <m:sSubPr>
                    <m:ctrlPr>
                      <w:rPr>
                        <w:rFonts w:hint="eastAsia" w:ascii="Cambria Math" w:hAnsi="Cambria Math" w:cs="宋体"/>
                      </w:rPr>
                    </m:ctrlPr>
                  </m:sSubPr>
                  <m:e>
                    <m:r>
                      <m:rPr/>
                      <w:rPr>
                        <w:rFonts w:hint="eastAsia" w:ascii="Cambria Math" w:hAnsi="Cambria Math" w:cs="宋体"/>
                      </w:rPr>
                      <m:t>η</m:t>
                    </m:r>
                    <m:ctrlPr>
                      <w:rPr>
                        <w:rFonts w:hint="eastAsia" w:ascii="Cambria Math" w:hAnsi="Cambria Math" w:cs="宋体"/>
                      </w:rPr>
                    </m:ctrlPr>
                  </m:e>
                  <m:sub>
                    <m:r>
                      <m:rPr/>
                      <w:rPr>
                        <w:rFonts w:hint="eastAsia" w:ascii="Cambria Math" w:hAnsi="Cambria Math" w:cs="宋体"/>
                      </w:rPr>
                      <m:t>it</m:t>
                    </m:r>
                    <m:ctrlPr>
                      <w:rPr>
                        <w:rFonts w:hint="eastAsia" w:ascii="Cambria Math" w:hAnsi="Cambria Math" w:cs="宋体"/>
                      </w:rPr>
                    </m:ctrlPr>
                  </m:sub>
                </m:sSub>
              </m:oMath>
            </m:oMathPara>
          </w:p>
        </w:tc>
        <w:tc>
          <w:tcPr>
            <w:tcW w:w="1296" w:type="dxa"/>
            <w:vAlign w:val="center"/>
          </w:tcPr>
          <w:p w14:paraId="01E95B5B">
            <w:pPr>
              <w:ind w:firstLine="480"/>
              <w:jc w:val="right"/>
            </w:pPr>
            <w:r>
              <w:rPr>
                <w:rFonts w:hint="eastAsia"/>
              </w:rPr>
              <w:t>（1</w:t>
            </w:r>
            <w:r>
              <w:rPr>
                <w:rFonts w:hint="eastAsia"/>
                <w:lang w:val="en-US" w:eastAsia="zh-CN"/>
              </w:rPr>
              <w:t>6</w:t>
            </w:r>
            <w:r>
              <w:rPr>
                <w:rFonts w:hint="eastAsia"/>
              </w:rPr>
              <w:t>）</w:t>
            </w:r>
          </w:p>
        </w:tc>
      </w:tr>
    </w:tbl>
    <w:p w14:paraId="6888468B">
      <w:pPr>
        <w:ind w:firstLine="420" w:firstLineChars="0"/>
        <w:rPr>
          <w:rFonts w:hint="eastAsia"/>
        </w:rPr>
      </w:pPr>
      <w:r>
        <w:rPr>
          <w:rFonts w:hint="eastAsia"/>
        </w:rPr>
        <w:t>其中，</w:t>
      </w:r>
      <m:oMath>
        <m:sSub>
          <m:sSubPr>
            <m:ctrlPr>
              <w:rPr>
                <w:rFonts w:hint="eastAsia" w:ascii="Cambria Math" w:hAnsi="Cambria Math" w:cs="宋体"/>
              </w:rPr>
            </m:ctrlPr>
          </m:sSubPr>
          <m:e>
            <m:r>
              <m:rPr/>
              <w:rPr>
                <w:rFonts w:hint="eastAsia" w:ascii="Cambria Math" w:hAnsi="Cambria Math" w:cs="宋体"/>
              </w:rPr>
              <m:t>Y</m:t>
            </m:r>
            <m:ctrlPr>
              <w:rPr>
                <w:rFonts w:hint="eastAsia" w:ascii="Cambria Math" w:hAnsi="Cambria Math" w:cs="宋体"/>
              </w:rPr>
            </m:ctrlPr>
          </m:e>
          <m:sub>
            <m:r>
              <m:rPr/>
              <w:rPr>
                <w:rFonts w:hint="eastAsia" w:ascii="Cambria Math" w:hAnsi="Cambria Math" w:cs="宋体"/>
              </w:rPr>
              <m:t>it</m:t>
            </m:r>
            <m:ctrlPr>
              <w:rPr>
                <w:rFonts w:hint="eastAsia" w:ascii="Cambria Math" w:hAnsi="Cambria Math" w:cs="宋体"/>
              </w:rPr>
            </m:ctrlPr>
          </m:sub>
        </m:sSub>
      </m:oMath>
      <w:r>
        <w:rPr>
          <w:rFonts w:hint="eastAsia"/>
        </w:rPr>
        <w:t>表示企业诉求</w:t>
      </w:r>
      <w:r>
        <w:rPr>
          <w:rFonts w:hint="eastAsia"/>
          <w:lang w:eastAsia="zh-CN"/>
        </w:rPr>
        <w:t>，</w:t>
      </w:r>
      <m:oMath>
        <m:sSub>
          <m:sSubPr>
            <m:ctrlPr>
              <w:rPr>
                <w:rFonts w:ascii="Cambria Math" w:hAnsi="Cambria Math"/>
              </w:rPr>
            </m:ctrlPr>
          </m:sSubPr>
          <m:e>
            <m:r>
              <m:rPr>
                <m:sty m:val="p"/>
              </m:rPr>
              <w:rPr>
                <w:rFonts w:ascii="Cambria Math" w:hAnsi="Cambria Math"/>
              </w:rPr>
              <m:t>g</m:t>
            </m:r>
            <m:ctrlPr>
              <w:rPr>
                <w:rFonts w:ascii="Cambria Math" w:hAnsi="Cambria Math"/>
              </w:rPr>
            </m:ctrlPr>
          </m:e>
          <m:sub>
            <m:r>
              <m:rPr>
                <m:sty m:val="p"/>
              </m:rPr>
              <w:rPr>
                <w:rFonts w:ascii="Cambria Math" w:hAnsi="Cambria Math"/>
              </w:rPr>
              <m:t>2</m:t>
            </m:r>
            <m:ctrlPr>
              <w:rPr>
                <w:rFonts w:ascii="Cambria Math" w:hAnsi="Cambria Math"/>
              </w:rPr>
            </m:ctrlPr>
          </m:sub>
        </m:sSub>
      </m:oMath>
      <w:r>
        <w:rPr>
          <w:rFonts w:hint="eastAsia"/>
        </w:rPr>
        <w:t>用于拟合控制变量及政策变量对企业诉求的非线性影响，中介变量</w:t>
      </w:r>
      <m:oMath>
        <m:sSub>
          <m:sSubPr>
            <m:ctrlPr>
              <w:rPr>
                <w:rFonts w:hint="eastAsia" w:ascii="Cambria Math" w:hAnsi="Cambria Math" w:cs="宋体"/>
              </w:rPr>
            </m:ctrlPr>
          </m:sSubPr>
          <m:e>
            <m:r>
              <m:rPr/>
              <w:rPr>
                <w:rFonts w:ascii="Cambria Math" w:hAnsi="Cambria Math" w:cs="宋体"/>
              </w:rPr>
              <m:t>env</m:t>
            </m:r>
            <m:ctrlPr>
              <w:rPr>
                <w:rFonts w:hint="eastAsia" w:ascii="Cambria Math" w:hAnsi="Cambria Math" w:cs="宋体"/>
              </w:rPr>
            </m:ctrlPr>
          </m:e>
          <m:sub>
            <m:r>
              <m:rPr/>
              <w:rPr>
                <w:rFonts w:hint="eastAsia" w:ascii="Cambria Math" w:hAnsi="Cambria Math" w:cs="宋体"/>
              </w:rPr>
              <m:t>it</m:t>
            </m:r>
            <m:ctrlPr>
              <w:rPr>
                <w:rFonts w:hint="eastAsia" w:ascii="Cambria Math" w:hAnsi="Cambria Math" w:cs="宋体"/>
              </w:rPr>
            </m:ctrlPr>
          </m:sub>
        </m:sSub>
      </m:oMath>
      <w:r>
        <w:rPr>
          <w:rFonts w:hint="eastAsia"/>
        </w:rPr>
        <w:t>不进入机器学习部分，以保留其结构性解释效应。对应的正交矩条件为：</w:t>
      </w:r>
    </w:p>
    <w:tbl>
      <w:tblPr>
        <w:tblStyle w:val="2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71"/>
        <w:gridCol w:w="935"/>
      </w:tblGrid>
      <w:tr w14:paraId="07A715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atLeast"/>
          <w:jc w:val="center"/>
        </w:trPr>
        <w:tc>
          <w:tcPr>
            <w:tcW w:w="7371" w:type="dxa"/>
            <w:noWrap/>
            <w:tcMar>
              <w:left w:w="0" w:type="dxa"/>
              <w:right w:w="0" w:type="dxa"/>
            </w:tcMar>
            <w:vAlign w:val="center"/>
          </w:tcPr>
          <w:p w14:paraId="3A5B778A">
            <w:pPr>
              <w:adjustRightInd w:val="0"/>
              <w:spacing w:line="240" w:lineRule="auto"/>
              <w:ind w:firstLine="0" w:firstLineChars="0"/>
              <w:jc w:val="center"/>
              <w:rPr>
                <w:rFonts w:cs="Times New Roman"/>
              </w:rPr>
            </w:pPr>
            <m:oMathPara>
              <m:oMath>
                <m:r>
                  <m:rPr/>
                  <w:rPr>
                    <w:rFonts w:ascii="Cambria Math" w:hAnsi="Cambria Math" w:cs="Times New Roman"/>
                  </w:rPr>
                  <m:t>E</m:t>
                </m:r>
                <m:d>
                  <m:dPr>
                    <m:begChr m:val="["/>
                    <m:endChr m:val="]"/>
                    <m:ctrlPr>
                      <w:rPr>
                        <w:rFonts w:ascii="Cambria Math" w:hAnsi="Cambria Math" w:cs="Times New Roman"/>
                      </w:rPr>
                    </m:ctrlPr>
                  </m:dPr>
                  <m:e>
                    <m:d>
                      <m:dPr>
                        <m:ctrlPr>
                          <w:rPr>
                            <w:rFonts w:ascii="Cambria Math" w:hAnsi="Cambria Math" w:cs="Times New Roman"/>
                          </w:rPr>
                        </m:ctrlPr>
                      </m:dPr>
                      <m:e>
                        <m:sSub>
                          <m:sSubPr>
                            <m:ctrlPr>
                              <w:rPr>
                                <w:rFonts w:ascii="Cambria Math" w:hAnsi="Cambria Math" w:cs="Times New Roman"/>
                              </w:rPr>
                            </m:ctrlPr>
                          </m:sSubPr>
                          <m:e>
                            <m:r>
                              <m:rPr/>
                              <w:rPr>
                                <w:rFonts w:ascii="Cambria Math" w:hAnsi="Cambria Math" w:cs="Times New Roman"/>
                              </w:rPr>
                              <m:t>Y</m:t>
                            </m:r>
                            <m:ctrlPr>
                              <w:rPr>
                                <w:rFonts w:ascii="Cambria Math" w:hAnsi="Cambria Math" w:cs="Times New Roman"/>
                              </w:rPr>
                            </m:ctrlPr>
                          </m:e>
                          <m:sub>
                            <m:r>
                              <m:rPr/>
                              <w:rPr>
                                <w:rFonts w:ascii="Cambria Math" w:hAnsi="Cambria Math" w:cs="Times New Roman"/>
                              </w:rPr>
                              <m:t>it</m:t>
                            </m:r>
                            <m:ctrlPr>
                              <w:rPr>
                                <w:rFonts w:ascii="Cambria Math" w:hAnsi="Cambria Math" w:cs="Times New Roman"/>
                              </w:rPr>
                            </m:ctrlPr>
                          </m:sub>
                        </m:sSub>
                        <m:r>
                          <m:rPr>
                            <m:sty m:val="p"/>
                          </m:rPr>
                          <w:rPr>
                            <w:rFonts w:ascii="Cambria Math" w:hAnsi="Cambria Math" w:cs="Times New Roman"/>
                          </w:rPr>
                          <m:t>−</m:t>
                        </m:r>
                        <m:sSub>
                          <m:sSubPr>
                            <m:ctrlPr>
                              <w:rPr>
                                <w:rFonts w:ascii="Cambria Math" w:hAnsi="Cambria Math" w:cs="Times New Roman"/>
                              </w:rPr>
                            </m:ctrlPr>
                          </m:sSubPr>
                          <m:e>
                            <m:r>
                              <m:rPr/>
                              <w:rPr>
                                <w:rFonts w:ascii="Cambria Math" w:hAnsi="Cambria Math" w:cs="Times New Roman"/>
                              </w:rPr>
                              <m:t>g</m:t>
                            </m:r>
                            <m:ctrlPr>
                              <w:rPr>
                                <w:rFonts w:ascii="Cambria Math" w:hAnsi="Cambria Math" w:cs="Times New Roman"/>
                              </w:rPr>
                            </m:ctrlPr>
                          </m:e>
                          <m:sub>
                            <m:r>
                              <m:rPr/>
                              <w:rPr>
                                <w:rFonts w:ascii="Cambria Math" w:hAnsi="Cambria Math" w:cs="Times New Roman"/>
                              </w:rPr>
                              <m:t>2</m:t>
                            </m:r>
                            <m:ctrlPr>
                              <w:rPr>
                                <w:rFonts w:ascii="Cambria Math" w:hAnsi="Cambria Math" w:cs="Times New Roman"/>
                              </w:rPr>
                            </m:ctrlPr>
                          </m:sub>
                        </m:sSub>
                        <m:r>
                          <m:rPr>
                            <m:sty m:val="p"/>
                          </m:rPr>
                          <w:rPr>
                            <w:rFonts w:ascii="Cambria Math" w:hAnsi="Cambria Math" w:cs="Times New Roman"/>
                          </w:rPr>
                          <m:t>(</m:t>
                        </m:r>
                        <m:sSub>
                          <m:sSubPr>
                            <m:ctrlPr>
                              <w:rPr>
                                <w:rFonts w:ascii="Cambria Math" w:hAnsi="Cambria Math" w:cs="Times New Roman"/>
                              </w:rPr>
                            </m:ctrlPr>
                          </m:sSubPr>
                          <m:e>
                            <m:r>
                              <m:rPr/>
                              <w:rPr>
                                <w:rFonts w:ascii="Cambria Math" w:hAnsi="Cambria Math" w:cs="Times New Roman"/>
                              </w:rPr>
                              <m:t>X</m:t>
                            </m:r>
                            <m:ctrlPr>
                              <w:rPr>
                                <w:rFonts w:ascii="Cambria Math" w:hAnsi="Cambria Math" w:cs="Times New Roman"/>
                              </w:rPr>
                            </m:ctrlPr>
                          </m:e>
                          <m:sub>
                            <m:r>
                              <m:rPr/>
                              <w:rPr>
                                <w:rFonts w:ascii="Cambria Math" w:hAnsi="Cambria Math" w:cs="Times New Roman"/>
                              </w:rPr>
                              <m:t>it</m:t>
                            </m:r>
                            <m:ctrlPr>
                              <w:rPr>
                                <w:rFonts w:ascii="Cambria Math" w:hAnsi="Cambria Math" w:cs="Times New Roman"/>
                              </w:rPr>
                            </m:ctrlP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post</m:t>
                            </m:r>
                            <m:ctrlPr>
                              <w:rPr>
                                <w:rFonts w:ascii="Cambria Math" w:hAnsi="Cambria Math" w:cs="Times New Roman"/>
                              </w:rPr>
                            </m:ctrlPr>
                          </m:e>
                          <m:sub>
                            <m:r>
                              <m:rPr/>
                              <w:rPr>
                                <w:rFonts w:ascii="Cambria Math" w:hAnsi="Cambria Math" w:cs="Times New Roman"/>
                              </w:rPr>
                              <m:t>it</m:t>
                            </m:r>
                            <m:ctrlPr>
                              <w:rPr>
                                <w:rFonts w:ascii="Cambria Math" w:hAnsi="Cambria Math" w:cs="Times New Roman"/>
                              </w:rPr>
                            </m:ctrlPr>
                          </m:sub>
                        </m:sSub>
                        <m:r>
                          <m:rPr>
                            <m:sty m:val="p"/>
                          </m:rPr>
                          <w:rPr>
                            <w:rFonts w:ascii="Cambria Math" w:hAnsi="Cambria Math" w:cs="Times New Roman"/>
                          </w:rPr>
                          <m:t>)−</m:t>
                        </m:r>
                        <m:sSub>
                          <m:sSubPr>
                            <m:ctrlPr>
                              <w:rPr>
                                <w:rFonts w:ascii="Cambria Math" w:hAnsi="Cambria Math" w:cs="Times New Roman"/>
                              </w:rPr>
                            </m:ctrlPr>
                          </m:sSubPr>
                          <m:e>
                            <m:r>
                              <m:rPr/>
                              <w:rPr>
                                <w:rFonts w:ascii="Cambria Math" w:hAnsi="Cambria Math" w:cs="Times New Roman"/>
                              </w:rPr>
                              <m:t>γ</m:t>
                            </m:r>
                            <m:ctrlPr>
                              <w:rPr>
                                <w:rFonts w:ascii="Cambria Math" w:hAnsi="Cambria Math" w:cs="Times New Roman"/>
                              </w:rPr>
                            </m:ctrlPr>
                          </m:e>
                          <m:sub>
                            <m:r>
                              <m:rPr>
                                <m:sty m:val="p"/>
                              </m:rPr>
                              <w:rPr>
                                <w:rFonts w:hint="default" w:ascii="Cambria Math" w:hAnsi="Cambria Math" w:cs="Times New Roman"/>
                                <w:lang w:val="en-US" w:eastAsia="zh-CN"/>
                              </w:rPr>
                              <m:t>1</m:t>
                            </m:r>
                            <m:ctrlPr>
                              <w:rPr>
                                <w:rFonts w:ascii="Cambria Math" w:hAnsi="Cambria Math" w:cs="Times New Roman"/>
                              </w:rPr>
                            </m:ctrlPr>
                          </m:sub>
                        </m:sSub>
                        <m:sSub>
                          <m:sSubPr>
                            <m:ctrlPr>
                              <w:rPr>
                                <w:rFonts w:ascii="Cambria Math" w:hAnsi="Cambria Math" w:cs="Times New Roman"/>
                              </w:rPr>
                            </m:ctrlPr>
                          </m:sSubPr>
                          <m:e>
                            <m:r>
                              <m:rPr/>
                              <w:rPr>
                                <w:rFonts w:ascii="Cambria Math" w:hAnsi="Cambria Math" w:cs="Times New Roman"/>
                              </w:rPr>
                              <m:t>env</m:t>
                            </m:r>
                            <m:ctrlPr>
                              <w:rPr>
                                <w:rFonts w:ascii="Cambria Math" w:hAnsi="Cambria Math" w:cs="Times New Roman"/>
                              </w:rPr>
                            </m:ctrlPr>
                          </m:e>
                          <m:sub>
                            <m:r>
                              <m:rPr/>
                              <w:rPr>
                                <w:rFonts w:ascii="Cambria Math" w:hAnsi="Cambria Math" w:cs="Times New Roman"/>
                              </w:rPr>
                              <m:t>it</m:t>
                            </m:r>
                            <m:ctrlPr>
                              <w:rPr>
                                <w:rFonts w:ascii="Cambria Math" w:hAnsi="Cambria Math" w:cs="Times New Roman"/>
                              </w:rPr>
                            </m:ctrlPr>
                          </m:sub>
                        </m:sSub>
                        <m:ctrlPr>
                          <w:rPr>
                            <w:rFonts w:ascii="Cambria Math" w:hAnsi="Cambria Math" w:cs="Times New Roman"/>
                          </w:rPr>
                        </m:ctrlPr>
                      </m:e>
                    </m:d>
                    <m:r>
                      <m:rPr>
                        <m:sty m:val="p"/>
                      </m:rPr>
                      <w:rPr>
                        <w:rFonts w:ascii="Cambria Math" w:hAnsi="Cambria Math" w:cs="Times New Roman"/>
                      </w:rPr>
                      <m:t>⋅</m:t>
                    </m:r>
                    <m:d>
                      <m:dPr>
                        <m:ctrlPr>
                          <w:rPr>
                            <w:rFonts w:ascii="Cambria Math" w:hAnsi="Cambria Math" w:cs="Times New Roman"/>
                          </w:rPr>
                        </m:ctrlPr>
                      </m:dPr>
                      <m:e>
                        <m:sSub>
                          <m:sSubPr>
                            <m:ctrlPr>
                              <w:rPr>
                                <w:rFonts w:ascii="Cambria Math" w:hAnsi="Cambria Math" w:cs="Times New Roman"/>
                              </w:rPr>
                            </m:ctrlPr>
                          </m:sSubPr>
                          <m:e>
                            <m:r>
                              <m:rPr/>
                              <w:rPr>
                                <w:rFonts w:ascii="Cambria Math" w:hAnsi="Cambria Math" w:cs="Times New Roman"/>
                              </w:rPr>
                              <m:t>env</m:t>
                            </m:r>
                            <m:ctrlPr>
                              <w:rPr>
                                <w:rFonts w:ascii="Cambria Math" w:hAnsi="Cambria Math" w:cs="Times New Roman"/>
                              </w:rPr>
                            </m:ctrlPr>
                          </m:e>
                          <m:sub>
                            <m:r>
                              <m:rPr/>
                              <w:rPr>
                                <w:rFonts w:ascii="Cambria Math" w:hAnsi="Cambria Math" w:cs="Times New Roman"/>
                              </w:rPr>
                              <m:t>it</m:t>
                            </m:r>
                            <m:ctrlPr>
                              <w:rPr>
                                <w:rFonts w:ascii="Cambria Math" w:hAnsi="Cambria Math" w:cs="Times New Roman"/>
                              </w:rPr>
                            </m:ctrlPr>
                          </m:sub>
                        </m:sSub>
                        <m:r>
                          <m:rPr>
                            <m:sty m:val="p"/>
                          </m:rPr>
                          <w:rPr>
                            <w:rFonts w:ascii="Cambria Math" w:hAnsi="Cambria Math" w:cs="Times New Roman"/>
                          </w:rPr>
                          <m:t>−</m:t>
                        </m:r>
                        <m:r>
                          <m:rP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r>
                              <m:rPr/>
                              <w:rPr>
                                <w:rFonts w:ascii="Cambria Math" w:hAnsi="Cambria Math" w:cs="Times New Roman"/>
                              </w:rPr>
                              <m:t>env</m:t>
                            </m:r>
                            <m:ctrlPr>
                              <w:rPr>
                                <w:rFonts w:ascii="Cambria Math" w:hAnsi="Cambria Math" w:cs="Times New Roman"/>
                              </w:rPr>
                            </m:ctrlPr>
                          </m:e>
                          <m:sub>
                            <m:r>
                              <m:rPr/>
                              <w:rPr>
                                <w:rFonts w:ascii="Cambria Math" w:hAnsi="Cambria Math" w:cs="Times New Roman"/>
                              </w:rPr>
                              <m:t>it</m:t>
                            </m:r>
                            <m:ctrlPr>
                              <w:rPr>
                                <w:rFonts w:ascii="Cambria Math" w:hAnsi="Cambria Math" w:cs="Times New Roman"/>
                              </w:rPr>
                            </m:ctrlPr>
                          </m:sub>
                        </m:sSub>
                        <m:r>
                          <m:rPr>
                            <m:sty m:val="p"/>
                          </m:rPr>
                          <w:rPr>
                            <w:rFonts w:ascii="Cambria Math" w:hAnsi="Cambria Math" w:cs="Times New Roman"/>
                          </w:rPr>
                          <m:t>∣</m:t>
                        </m:r>
                        <m:sSub>
                          <m:sSubPr>
                            <m:ctrlPr>
                              <w:rPr>
                                <w:rFonts w:ascii="Cambria Math" w:hAnsi="Cambria Math" w:cs="Times New Roman"/>
                              </w:rPr>
                            </m:ctrlPr>
                          </m:sSubPr>
                          <m:e>
                            <m:r>
                              <m:rPr>
                                <m:sty m:val="p"/>
                              </m:rPr>
                              <w:rPr>
                                <w:rFonts w:hint="default" w:ascii="Cambria Math" w:hAnsi="Cambria Math" w:cs="Times New Roman"/>
                                <w:lang w:val="en-US" w:eastAsia="zh-CN"/>
                              </w:rPr>
                              <m:t>W</m:t>
                            </m:r>
                            <m:ctrlPr>
                              <w:rPr>
                                <w:rFonts w:ascii="Cambria Math" w:hAnsi="Cambria Math" w:cs="Times New Roman"/>
                              </w:rPr>
                            </m:ctrlPr>
                          </m:e>
                          <m:sub>
                            <m:r>
                              <m:rPr/>
                              <w:rPr>
                                <w:rFonts w:ascii="Cambria Math" w:hAnsi="Cambria Math" w:cs="Times New Roman"/>
                              </w:rPr>
                              <m:t>it</m:t>
                            </m:r>
                            <m:ctrlPr>
                              <w:rPr>
                                <w:rFonts w:ascii="Cambria Math" w:hAnsi="Cambria Math" w:cs="Times New Roman"/>
                              </w:rPr>
                            </m:ctrlP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post</m:t>
                            </m:r>
                            <m:ctrlPr>
                              <w:rPr>
                                <w:rFonts w:ascii="Cambria Math" w:hAnsi="Cambria Math" w:cs="Times New Roman"/>
                              </w:rPr>
                            </m:ctrlPr>
                          </m:e>
                          <m:sub>
                            <m:r>
                              <m:rPr/>
                              <w:rPr>
                                <w:rFonts w:ascii="Cambria Math" w:hAnsi="Cambria Math" w:cs="Times New Roman"/>
                              </w:rPr>
                              <m:t>it</m:t>
                            </m:r>
                            <m:ctrlPr>
                              <w:rPr>
                                <w:rFonts w:ascii="Cambria Math" w:hAnsi="Cambria Math" w:cs="Times New Roman"/>
                              </w:rPr>
                            </m:ctrlPr>
                          </m:sub>
                        </m:sSub>
                        <m:r>
                          <m:rPr>
                            <m:sty m:val="p"/>
                          </m:rPr>
                          <w:rPr>
                            <w:rFonts w:ascii="Cambria Math" w:hAnsi="Cambria Math" w:cs="Times New Roman"/>
                          </w:rPr>
                          <m:t>]</m:t>
                        </m:r>
                        <m:ctrlPr>
                          <w:rPr>
                            <w:rFonts w:ascii="Cambria Math" w:hAnsi="Cambria Math" w:cs="Times New Roman"/>
                          </w:rPr>
                        </m:ctrlPr>
                      </m:e>
                    </m:d>
                    <m:ctrlPr>
                      <w:rPr>
                        <w:rFonts w:ascii="Cambria Math" w:hAnsi="Cambria Math" w:cs="Times New Roman"/>
                      </w:rPr>
                    </m:ctrlPr>
                  </m:e>
                </m:d>
                <m:r>
                  <m:rPr>
                    <m:sty m:val="p"/>
                  </m:rPr>
                  <w:rPr>
                    <w:rFonts w:ascii="Cambria Math" w:hAnsi="Cambria Math" w:cs="Times New Roman"/>
                  </w:rPr>
                  <m:t>=</m:t>
                </m:r>
                <m:r>
                  <m:rPr/>
                  <w:rPr>
                    <w:rFonts w:ascii="Cambria Math" w:hAnsi="Cambria Math" w:cs="Times New Roman"/>
                  </w:rPr>
                  <m:t>0</m:t>
                </m:r>
              </m:oMath>
            </m:oMathPara>
          </w:p>
        </w:tc>
        <w:tc>
          <w:tcPr>
            <w:tcW w:w="935" w:type="dxa"/>
            <w:noWrap/>
            <w:tcMar>
              <w:left w:w="0" w:type="dxa"/>
              <w:right w:w="108" w:type="dxa"/>
            </w:tcMar>
            <w:vAlign w:val="center"/>
          </w:tcPr>
          <w:p w14:paraId="51F83F13">
            <w:pPr>
              <w:adjustRightInd w:val="0"/>
              <w:snapToGrid w:val="0"/>
              <w:ind w:firstLine="0" w:firstLineChars="0"/>
              <w:jc w:val="right"/>
              <w:rPr>
                <w:rFonts w:cs="Times New Roman"/>
              </w:rPr>
            </w:pPr>
            <w:r>
              <w:rPr>
                <w:rFonts w:cs="Times New Roman"/>
              </w:rPr>
              <w:t>（1</w:t>
            </w:r>
            <w:r>
              <w:rPr>
                <w:rFonts w:hint="eastAsia" w:cs="Times New Roman"/>
                <w:lang w:val="en-US" w:eastAsia="zh-CN"/>
              </w:rPr>
              <w:t>7</w:t>
            </w:r>
            <w:r>
              <w:rPr>
                <w:rFonts w:cs="Times New Roman"/>
              </w:rPr>
              <w:t>）</w:t>
            </w:r>
          </w:p>
        </w:tc>
      </w:tr>
    </w:tbl>
    <w:p w14:paraId="38D25A15">
      <w:pPr>
        <w:ind w:firstLine="420" w:firstLineChars="0"/>
        <w:rPr>
          <w:rFonts w:hint="eastAsia"/>
        </w:rPr>
      </w:pPr>
      <w:r>
        <w:rPr>
          <w:rFonts w:hint="eastAsia"/>
        </w:rPr>
        <w:t>若</w:t>
      </w:r>
      <m:oMath>
        <m:sSub>
          <m:sSubPr>
            <m:ctrlPr>
              <w:rPr>
                <w:rFonts w:ascii="Cambria Math" w:hAnsi="Cambria Math" w:cs="Times New Roman"/>
              </w:rPr>
            </m:ctrlPr>
          </m:sSubPr>
          <m:e>
            <m:r>
              <m:rPr/>
              <w:rPr>
                <w:rFonts w:ascii="Cambria Math" w:hAnsi="Cambria Math" w:cs="Times New Roman"/>
              </w:rPr>
              <m:t>γ</m:t>
            </m:r>
            <m:ctrlPr>
              <w:rPr>
                <w:rFonts w:ascii="Cambria Math" w:hAnsi="Cambria Math" w:cs="Times New Roman"/>
              </w:rPr>
            </m:ctrlPr>
          </m:e>
          <m:sub>
            <m:r>
              <m:rPr>
                <m:sty m:val="p"/>
              </m:rPr>
              <w:rPr>
                <w:rFonts w:hint="default" w:ascii="Cambria Math" w:hAnsi="Cambria Math" w:cs="Times New Roman"/>
                <w:lang w:val="en-US" w:eastAsia="zh-CN"/>
              </w:rPr>
              <m:t>1</m:t>
            </m:r>
            <m:ctrlPr>
              <w:rPr>
                <w:rFonts w:ascii="Cambria Math" w:hAnsi="Cambria Math" w:cs="Times New Roman"/>
              </w:rPr>
            </m:ctrlPr>
          </m:sub>
        </m:sSub>
      </m:oMath>
      <w:r>
        <w:rPr>
          <w:rFonts w:hint="eastAsia"/>
        </w:rPr>
        <w:t>显著，则说明在控制公共数据开放与其他高维特征后，营商环境仍会显著影响企业诉求。</w:t>
      </w:r>
    </w:p>
    <w:p w14:paraId="757D2785">
      <w:pPr>
        <w:ind w:firstLine="420" w:firstLineChars="0"/>
        <w:rPr>
          <w:rFonts w:hint="eastAsia"/>
        </w:rPr>
      </w:pPr>
      <w:r>
        <w:rPr>
          <w:rFonts w:hint="eastAsia"/>
        </w:rPr>
        <w:t>依据江艇（2022）的机制识别逻辑，当第一步中的</w:t>
      </w:r>
      <m:oMath>
        <m:sSub>
          <m:sSubPr>
            <m:ctrlPr>
              <w:rPr>
                <w:rFonts w:hint="eastAsia" w:ascii="Cambria Math" w:hAnsi="Cambria Math" w:cs="宋体"/>
              </w:rPr>
            </m:ctrlPr>
          </m:sSubPr>
          <m:e>
            <m:r>
              <m:rPr/>
              <w:rPr>
                <w:rFonts w:hint="eastAsia" w:ascii="Cambria Math" w:hAnsi="Cambria Math" w:cs="宋体"/>
              </w:rPr>
              <m:t>β</m:t>
            </m:r>
            <m:ctrlPr>
              <w:rPr>
                <w:rFonts w:hint="eastAsia" w:ascii="Cambria Math" w:hAnsi="Cambria Math" w:cs="宋体"/>
              </w:rPr>
            </m:ctrlPr>
          </m:e>
          <m:sub>
            <m:r>
              <m:rPr/>
              <w:rPr>
                <w:rFonts w:hint="eastAsia" w:ascii="Cambria Math" w:hAnsi="Cambria Math" w:cs="宋体"/>
              </w:rPr>
              <m:t>1</m:t>
            </m:r>
            <m:ctrlPr>
              <w:rPr>
                <w:rFonts w:hint="eastAsia" w:ascii="Cambria Math" w:hAnsi="Cambria Math" w:cs="宋体"/>
              </w:rPr>
            </m:ctrlPr>
          </m:sub>
        </m:sSub>
      </m:oMath>
      <w:r>
        <w:rPr>
          <w:rFonts w:hint="eastAsia"/>
        </w:rPr>
        <w:t>与第二步中的</w:t>
      </w:r>
      <m:oMath>
        <m:sSub>
          <m:sSubPr>
            <m:ctrlPr>
              <w:rPr>
                <w:rFonts w:ascii="Cambria Math" w:hAnsi="Cambria Math" w:cs="Times New Roman"/>
              </w:rPr>
            </m:ctrlPr>
          </m:sSubPr>
          <m:e>
            <m:r>
              <m:rPr/>
              <w:rPr>
                <w:rFonts w:ascii="Cambria Math" w:hAnsi="Cambria Math" w:cs="Times New Roman"/>
              </w:rPr>
              <m:t>γ</m:t>
            </m:r>
            <m:ctrlPr>
              <w:rPr>
                <w:rFonts w:ascii="Cambria Math" w:hAnsi="Cambria Math" w:cs="Times New Roman"/>
              </w:rPr>
            </m:ctrlPr>
          </m:e>
          <m:sub>
            <m:r>
              <m:rPr>
                <m:sty m:val="p"/>
              </m:rPr>
              <w:rPr>
                <w:rFonts w:hint="default" w:ascii="Cambria Math" w:hAnsi="Cambria Math" w:cs="Times New Roman"/>
                <w:lang w:val="en-US" w:eastAsia="zh-CN"/>
              </w:rPr>
              <m:t>1</m:t>
            </m:r>
            <m:ctrlPr>
              <w:rPr>
                <w:rFonts w:ascii="Cambria Math" w:hAnsi="Cambria Math" w:cs="Times New Roman"/>
              </w:rPr>
            </m:ctrlPr>
          </m:sub>
        </m:sSub>
      </m:oMath>
      <w:r>
        <w:rPr>
          <w:rFonts w:hint="eastAsia"/>
        </w:rPr>
        <w:t>同时显著时，即可认为营商环境在公共数据开放影响企业诉求过程中发挥了显著中介作用，而无需进一步进行传统“三步法”中的直接效应检验。</w:t>
      </w:r>
    </w:p>
    <w:p w14:paraId="41B07436">
      <w:pPr>
        <w:ind w:firstLine="480"/>
        <w:jc w:val="left"/>
        <w:rPr>
          <w:rFonts w:hint="eastAsia" w:ascii="宋体" w:hAnsi="宋体" w:cs="宋体"/>
        </w:rPr>
      </w:pPr>
      <w:r>
        <w:rPr>
          <w:rFonts w:hint="eastAsia" w:ascii="宋体" w:hAnsi="宋体" w:cs="宋体"/>
        </w:rPr>
        <w:t>表</w:t>
      </w:r>
      <w:r>
        <w:rPr>
          <w:rFonts w:hint="default" w:ascii="Times New Roman Regular" w:hAnsi="Times New Roman Regular" w:cs="Times New Roman Regular"/>
        </w:rPr>
        <w:t>6</w:t>
      </w:r>
      <w:r>
        <w:rPr>
          <w:rFonts w:hint="eastAsia" w:ascii="宋体" w:hAnsi="宋体" w:cs="宋体"/>
        </w:rPr>
        <w:t>汇报了公共数据开放对企业创业及营商环境影响的回归结果。从列</w:t>
      </w:r>
      <w:r>
        <w:rPr>
          <w:rFonts w:hint="eastAsia" w:ascii="Times New Roman Regular" w:hAnsi="Times New Roman Regular" w:cs="Times New Roman Regular"/>
        </w:rPr>
        <w:t>（1）</w:t>
      </w:r>
      <w:r>
        <w:rPr>
          <w:rFonts w:hint="eastAsia" w:ascii="宋体" w:hAnsi="宋体" w:cs="宋体"/>
        </w:rPr>
        <w:t>可以看出，公共数据开放</w:t>
      </w:r>
      <w:r>
        <w:rPr>
          <w:rFonts w:hint="eastAsia" w:ascii="Times New Roman Regular" w:hAnsi="Times New Roman Regular" w:cs="Times New Roman Regular"/>
        </w:rPr>
        <w:t>（post）</w:t>
      </w:r>
      <w:r>
        <w:rPr>
          <w:rFonts w:hint="eastAsia" w:ascii="宋体" w:hAnsi="宋体" w:cs="宋体"/>
        </w:rPr>
        <w:t>对企业创业的系数为7.644，在1%的水平上显著，说明数据开放平台上线后，企业的创业活跃度显著提升。从列</w:t>
      </w:r>
      <w:r>
        <w:rPr>
          <w:rFonts w:hint="eastAsia" w:ascii="Times New Roman Regular" w:hAnsi="Times New Roman Regular" w:cs="Times New Roman Regular"/>
        </w:rPr>
        <w:t>（2）</w:t>
      </w:r>
      <w:r>
        <w:rPr>
          <w:rFonts w:hint="eastAsia" w:ascii="宋体" w:hAnsi="宋体" w:cs="宋体"/>
        </w:rPr>
        <w:t>可以看出，公共数据开放对营商环境</w:t>
      </w:r>
      <w:r>
        <w:rPr>
          <w:rFonts w:hint="eastAsia" w:ascii="Times New Roman Regular" w:hAnsi="Times New Roman Regular" w:cs="Times New Roman Regular"/>
        </w:rPr>
        <w:t>（env）</w:t>
      </w:r>
      <w:r>
        <w:rPr>
          <w:rFonts w:hint="eastAsia" w:ascii="宋体" w:hAnsi="宋体" w:cs="宋体"/>
        </w:rPr>
        <w:t>的系数为</w:t>
      </w:r>
      <w:r>
        <w:rPr>
          <w:rFonts w:hint="eastAsia" w:ascii="Times New Roman Regular" w:hAnsi="Times New Roman Regular" w:cs="Times New Roman Regular"/>
        </w:rPr>
        <w:t>0.103</w:t>
      </w:r>
      <w:r>
        <w:rPr>
          <w:rFonts w:hint="eastAsia" w:ascii="宋体" w:hAnsi="宋体" w:cs="宋体"/>
        </w:rPr>
        <w:t>，同样在</w:t>
      </w:r>
      <w:r>
        <w:rPr>
          <w:rFonts w:hint="eastAsia" w:ascii="Times New Roman Regular" w:hAnsi="Times New Roman Regular" w:cs="Times New Roman Regular"/>
        </w:rPr>
        <w:t>1%</w:t>
      </w:r>
      <w:r>
        <w:rPr>
          <w:rFonts w:hint="eastAsia" w:ascii="宋体" w:hAnsi="宋体" w:cs="宋体"/>
        </w:rPr>
        <w:t>的水平上显著。这说明，公共数据开放不仅直接促进了企业创业，还通过优化营商环境这一中介渠道间接发挥作用。</w:t>
      </w:r>
    </w:p>
    <w:p w14:paraId="29671250">
      <w:pPr>
        <w:pStyle w:val="52"/>
      </w:pPr>
      <w:bookmarkStart w:id="51" w:name="_Toc11584"/>
      <w:r>
        <w:rPr>
          <w:rFonts w:hint="eastAsia"/>
        </w:rPr>
        <w:t>表</w:t>
      </w:r>
      <w:r>
        <w:rPr>
          <w:rFonts w:hint="eastAsia"/>
          <w:lang w:val="en-US" w:eastAsia="zh-CN"/>
        </w:rPr>
        <w:t>8</w:t>
      </w:r>
      <w:r>
        <w:rPr>
          <w:rFonts w:hint="eastAsia"/>
        </w:rPr>
        <w:t xml:space="preserve"> 公共数据开放对企业创业及营商环境影响的回归结果</w:t>
      </w:r>
      <w:bookmarkEnd w:id="51"/>
    </w:p>
    <w:tbl>
      <w:tblPr>
        <w:tblStyle w:val="53"/>
        <w:tblW w:w="0" w:type="auto"/>
        <w:jc w:val="center"/>
        <w:tblBorders>
          <w:top w:val="none" w:color="auto" w:sz="0"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01"/>
        <w:gridCol w:w="2769"/>
        <w:gridCol w:w="1976"/>
      </w:tblGrid>
      <w:tr w14:paraId="31DE7097">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2201" w:type="dxa"/>
            <w:tcBorders>
              <w:top w:val="single" w:color="auto" w:sz="12" w:space="0"/>
              <w:left w:val="nil"/>
              <w:bottom w:val="single" w:color="auto" w:sz="6" w:space="0"/>
              <w:right w:val="nil"/>
              <w:insideH w:val="single" w:sz="6" w:space="0"/>
              <w:insideV w:val="nil"/>
              <w:tl2br w:val="nil"/>
              <w:tr2bl w:val="nil"/>
            </w:tcBorders>
            <w:vAlign w:val="center"/>
          </w:tcPr>
          <w:p w14:paraId="7236409B">
            <w:pPr>
              <w:spacing w:line="240" w:lineRule="auto"/>
              <w:ind w:firstLine="0" w:firstLineChars="0"/>
              <w:jc w:val="center"/>
              <w:rPr>
                <w:rFonts w:hint="eastAsia" w:cs="Times New Roman" w:asciiTheme="minorHAnsi" w:hAnsiTheme="minorHAnsi" w:eastAsiaTheme="minorEastAsia"/>
                <w:b/>
                <w:bCs/>
                <w:szCs w:val="24"/>
              </w:rPr>
            </w:pPr>
            <w:r>
              <w:rPr>
                <w:rFonts w:ascii="Times New Roman" w:hAnsi="Times New Roman" w:eastAsia="宋体" w:cs="Times New Roman"/>
                <w:szCs w:val="24"/>
              </w:rPr>
              <w:t>Var</w:t>
            </w:r>
          </w:p>
        </w:tc>
        <w:tc>
          <w:tcPr>
            <w:tcW w:w="2769" w:type="dxa"/>
            <w:tcBorders>
              <w:top w:val="single" w:color="auto" w:sz="12" w:space="0"/>
              <w:bottom w:val="single" w:color="auto" w:sz="6" w:space="0"/>
              <w:right w:val="nil"/>
              <w:insideH w:val="single" w:sz="6" w:space="0"/>
              <w:insideV w:val="nil"/>
              <w:tl2br w:val="nil"/>
              <w:tr2bl w:val="nil"/>
            </w:tcBorders>
            <w:vAlign w:val="center"/>
          </w:tcPr>
          <w:p w14:paraId="26596755">
            <w:pPr>
              <w:spacing w:line="240" w:lineRule="auto"/>
              <w:ind w:firstLine="0" w:firstLineChars="0"/>
              <w:jc w:val="center"/>
              <w:rPr>
                <w:rFonts w:hint="eastAsia" w:eastAsia="宋体" w:cs="Times New Roman" w:asciiTheme="minorHAnsi" w:hAnsiTheme="minorHAnsi"/>
                <w:b/>
                <w:bCs/>
                <w:szCs w:val="24"/>
                <w:lang w:val="en-US" w:eastAsia="zh-CN"/>
              </w:rPr>
            </w:pPr>
            <w:r>
              <w:rPr>
                <w:rFonts w:ascii="Times New Roman" w:hAnsi="Times New Roman" w:eastAsia="宋体" w:cs="Times New Roman"/>
                <w:szCs w:val="24"/>
              </w:rPr>
              <w:t>(1)</w:t>
            </w:r>
            <w:r>
              <w:rPr>
                <w:rFonts w:hint="eastAsia" w:cs="Times New Roman"/>
                <w:szCs w:val="24"/>
                <w:lang w:val="en-US" w:eastAsia="zh-CN"/>
              </w:rPr>
              <w:t>post</w:t>
            </w:r>
          </w:p>
        </w:tc>
        <w:tc>
          <w:tcPr>
            <w:tcW w:w="1976" w:type="dxa"/>
            <w:tcBorders>
              <w:top w:val="single" w:color="auto" w:sz="12" w:space="0"/>
              <w:bottom w:val="single" w:color="auto" w:sz="6" w:space="0"/>
              <w:right w:val="nil"/>
              <w:insideH w:val="single" w:sz="6" w:space="0"/>
              <w:insideV w:val="nil"/>
              <w:tl2br w:val="nil"/>
              <w:tr2bl w:val="nil"/>
            </w:tcBorders>
            <w:vAlign w:val="center"/>
          </w:tcPr>
          <w:p w14:paraId="4EDDE672">
            <w:pPr>
              <w:spacing w:line="240" w:lineRule="auto"/>
              <w:ind w:firstLine="0" w:firstLineChars="0"/>
              <w:jc w:val="center"/>
              <w:rPr>
                <w:rFonts w:hint="eastAsia" w:cs="Times New Roman" w:asciiTheme="minorHAnsi" w:hAnsiTheme="minorHAnsi" w:eastAsiaTheme="minorEastAsia"/>
                <w:b/>
                <w:bCs/>
                <w:szCs w:val="24"/>
              </w:rPr>
            </w:pPr>
            <w:r>
              <w:rPr>
                <w:rFonts w:ascii="Times New Roman" w:hAnsi="Times New Roman" w:eastAsia="宋体" w:cs="Times New Roman"/>
                <w:szCs w:val="24"/>
              </w:rPr>
              <w:t>(2)env</w:t>
            </w:r>
          </w:p>
        </w:tc>
      </w:tr>
      <w:tr w14:paraId="5BCF8A67">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2201" w:type="dxa"/>
            <w:vAlign w:val="center"/>
          </w:tcPr>
          <w:p w14:paraId="3D922E24">
            <w:pPr>
              <w:adjustRightInd w:val="0"/>
              <w:snapToGrid w:val="0"/>
              <w:spacing w:line="240" w:lineRule="auto"/>
              <w:ind w:firstLine="0" w:firstLineChars="0"/>
              <w:jc w:val="center"/>
              <w:rPr>
                <w:rFonts w:hint="eastAsia" w:cs="Times New Roman" w:asciiTheme="minorHAnsi" w:hAnsiTheme="minorHAnsi" w:eastAsiaTheme="minorEastAsia"/>
                <w:szCs w:val="24"/>
              </w:rPr>
            </w:pPr>
            <w:r>
              <w:rPr>
                <w:rFonts w:ascii="Times New Roman" w:hAnsi="Times New Roman" w:eastAsia="宋体" w:cs="Times New Roman"/>
                <w:szCs w:val="24"/>
              </w:rPr>
              <w:t>系数值</w:t>
            </w:r>
          </w:p>
        </w:tc>
        <w:tc>
          <w:tcPr>
            <w:tcW w:w="2769" w:type="dxa"/>
            <w:vAlign w:val="center"/>
          </w:tcPr>
          <w:p w14:paraId="2C00FA63">
            <w:pPr>
              <w:adjustRightInd w:val="0"/>
              <w:snapToGrid w:val="0"/>
              <w:spacing w:line="240" w:lineRule="auto"/>
              <w:ind w:firstLine="0" w:firstLineChars="0"/>
              <w:jc w:val="center"/>
              <w:rPr>
                <w:rFonts w:hint="eastAsia" w:cs="Times New Roman" w:asciiTheme="minorHAnsi" w:hAnsiTheme="minorHAnsi" w:eastAsiaTheme="minorEastAsia"/>
                <w:szCs w:val="24"/>
              </w:rPr>
            </w:pPr>
            <w:r>
              <w:rPr>
                <w:rFonts w:ascii="Times New Roman" w:hAnsi="Times New Roman" w:eastAsia="宋体" w:cs="Times New Roman"/>
                <w:szCs w:val="24"/>
              </w:rPr>
              <w:t>7.644***</w:t>
            </w:r>
          </w:p>
        </w:tc>
        <w:tc>
          <w:tcPr>
            <w:tcW w:w="1976" w:type="dxa"/>
            <w:vAlign w:val="center"/>
          </w:tcPr>
          <w:p w14:paraId="3C92839A">
            <w:pPr>
              <w:adjustRightInd w:val="0"/>
              <w:snapToGrid w:val="0"/>
              <w:spacing w:line="240" w:lineRule="auto"/>
              <w:ind w:firstLine="0" w:firstLineChars="0"/>
              <w:jc w:val="center"/>
              <w:rPr>
                <w:rFonts w:hint="eastAsia" w:cs="Times New Roman" w:asciiTheme="minorHAnsi" w:hAnsiTheme="minorHAnsi" w:eastAsiaTheme="minorEastAsia"/>
                <w:szCs w:val="24"/>
              </w:rPr>
            </w:pPr>
            <w:r>
              <w:rPr>
                <w:rFonts w:ascii="Times New Roman" w:hAnsi="Times New Roman" w:eastAsia="宋体" w:cs="Times New Roman"/>
                <w:szCs w:val="24"/>
              </w:rPr>
              <w:t>0.103***</w:t>
            </w:r>
          </w:p>
        </w:tc>
      </w:tr>
      <w:tr w14:paraId="59EBAE8B">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2201" w:type="dxa"/>
            <w:vAlign w:val="center"/>
          </w:tcPr>
          <w:p w14:paraId="43FD7AFE">
            <w:pPr>
              <w:adjustRightInd w:val="0"/>
              <w:snapToGrid w:val="0"/>
              <w:spacing w:line="240" w:lineRule="auto"/>
              <w:ind w:firstLine="0" w:firstLineChars="0"/>
              <w:jc w:val="center"/>
              <w:rPr>
                <w:rFonts w:hint="eastAsia" w:cs="Times New Roman" w:asciiTheme="minorHAnsi" w:hAnsiTheme="minorHAnsi" w:eastAsiaTheme="minorEastAsia"/>
                <w:szCs w:val="24"/>
              </w:rPr>
            </w:pPr>
            <w:r>
              <w:rPr>
                <w:rFonts w:ascii="Times New Roman" w:hAnsi="Times New Roman" w:eastAsia="宋体" w:cs="Times New Roman"/>
                <w:szCs w:val="24"/>
              </w:rPr>
              <w:t>p</w:t>
            </w:r>
          </w:p>
        </w:tc>
        <w:tc>
          <w:tcPr>
            <w:tcW w:w="2769" w:type="dxa"/>
            <w:vAlign w:val="center"/>
          </w:tcPr>
          <w:p w14:paraId="6E64397D">
            <w:pPr>
              <w:adjustRightInd w:val="0"/>
              <w:snapToGrid w:val="0"/>
              <w:spacing w:line="240" w:lineRule="auto"/>
              <w:ind w:firstLine="0" w:firstLineChars="0"/>
              <w:jc w:val="center"/>
              <w:rPr>
                <w:rFonts w:hint="eastAsia" w:cs="Times New Roman" w:asciiTheme="minorHAnsi" w:hAnsiTheme="minorHAnsi" w:eastAsiaTheme="minorEastAsia"/>
                <w:szCs w:val="24"/>
              </w:rPr>
            </w:pPr>
            <w:r>
              <w:rPr>
                <w:rFonts w:ascii="Times New Roman" w:hAnsi="Times New Roman" w:eastAsia="宋体" w:cs="Times New Roman"/>
                <w:szCs w:val="24"/>
              </w:rPr>
              <w:t>0.00***</w:t>
            </w:r>
          </w:p>
        </w:tc>
        <w:tc>
          <w:tcPr>
            <w:tcW w:w="1976" w:type="dxa"/>
            <w:vAlign w:val="center"/>
          </w:tcPr>
          <w:p w14:paraId="15FE5ABC">
            <w:pPr>
              <w:adjustRightInd w:val="0"/>
              <w:snapToGrid w:val="0"/>
              <w:spacing w:line="240" w:lineRule="auto"/>
              <w:ind w:firstLine="0" w:firstLineChars="0"/>
              <w:jc w:val="center"/>
              <w:rPr>
                <w:rFonts w:hint="eastAsia" w:cs="Times New Roman" w:asciiTheme="minorHAnsi" w:hAnsiTheme="minorHAnsi" w:eastAsiaTheme="minorEastAsia"/>
                <w:szCs w:val="24"/>
              </w:rPr>
            </w:pPr>
            <w:r>
              <w:rPr>
                <w:rFonts w:ascii="Times New Roman" w:hAnsi="Times New Roman" w:eastAsia="宋体" w:cs="Times New Roman"/>
                <w:szCs w:val="24"/>
              </w:rPr>
              <w:t>0.0***</w:t>
            </w:r>
          </w:p>
        </w:tc>
      </w:tr>
      <w:tr w14:paraId="6E50090A">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2201" w:type="dxa"/>
            <w:vAlign w:val="center"/>
          </w:tcPr>
          <w:p w14:paraId="4193F8F1">
            <w:pPr>
              <w:adjustRightInd w:val="0"/>
              <w:snapToGrid w:val="0"/>
              <w:spacing w:line="240" w:lineRule="auto"/>
              <w:ind w:firstLine="0" w:firstLineChars="0"/>
              <w:jc w:val="center"/>
              <w:rPr>
                <w:rFonts w:hint="eastAsia" w:cs="Times New Roman" w:asciiTheme="minorHAnsi" w:hAnsiTheme="minorHAnsi" w:eastAsiaTheme="minorEastAsia"/>
                <w:szCs w:val="24"/>
              </w:rPr>
            </w:pPr>
            <w:r>
              <w:rPr>
                <w:rFonts w:ascii="Times New Roman" w:hAnsi="Times New Roman" w:eastAsia="宋体" w:cs="Times New Roman"/>
                <w:szCs w:val="24"/>
              </w:rPr>
              <w:t>std</w:t>
            </w:r>
          </w:p>
        </w:tc>
        <w:tc>
          <w:tcPr>
            <w:tcW w:w="2769" w:type="dxa"/>
            <w:vAlign w:val="center"/>
          </w:tcPr>
          <w:p w14:paraId="64C20559">
            <w:pPr>
              <w:adjustRightInd w:val="0"/>
              <w:snapToGrid w:val="0"/>
              <w:spacing w:line="240" w:lineRule="auto"/>
              <w:ind w:firstLine="0" w:firstLineChars="0"/>
              <w:jc w:val="center"/>
              <w:rPr>
                <w:rFonts w:hint="eastAsia" w:cs="Times New Roman" w:asciiTheme="minorHAnsi" w:hAnsiTheme="minorHAnsi" w:eastAsiaTheme="minorEastAsia"/>
                <w:szCs w:val="24"/>
              </w:rPr>
            </w:pPr>
            <w:r>
              <w:rPr>
                <w:rFonts w:ascii="Times New Roman" w:hAnsi="Times New Roman" w:eastAsia="宋体" w:cs="Times New Roman"/>
                <w:szCs w:val="24"/>
              </w:rPr>
              <w:t>0.015</w:t>
            </w:r>
          </w:p>
        </w:tc>
        <w:tc>
          <w:tcPr>
            <w:tcW w:w="1976" w:type="dxa"/>
            <w:vAlign w:val="center"/>
          </w:tcPr>
          <w:p w14:paraId="02541255">
            <w:pPr>
              <w:adjustRightInd w:val="0"/>
              <w:snapToGrid w:val="0"/>
              <w:spacing w:line="240" w:lineRule="auto"/>
              <w:ind w:firstLine="0" w:firstLineChars="0"/>
              <w:jc w:val="center"/>
              <w:rPr>
                <w:rFonts w:hint="eastAsia" w:cs="Times New Roman" w:asciiTheme="minorHAnsi" w:hAnsiTheme="minorHAnsi" w:eastAsiaTheme="minorEastAsia"/>
                <w:szCs w:val="24"/>
              </w:rPr>
            </w:pPr>
            <w:r>
              <w:rPr>
                <w:rFonts w:ascii="Times New Roman" w:hAnsi="Times New Roman" w:eastAsia="宋体" w:cs="Times New Roman"/>
                <w:szCs w:val="24"/>
              </w:rPr>
              <w:t>0.006</w:t>
            </w:r>
          </w:p>
        </w:tc>
      </w:tr>
      <w:tr w14:paraId="1E169AA4">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2201" w:type="dxa"/>
            <w:vAlign w:val="center"/>
          </w:tcPr>
          <w:p w14:paraId="0F77AD63">
            <w:pPr>
              <w:adjustRightInd w:val="0"/>
              <w:snapToGrid w:val="0"/>
              <w:spacing w:line="240" w:lineRule="auto"/>
              <w:ind w:firstLine="0" w:firstLineChars="0"/>
              <w:jc w:val="center"/>
              <w:rPr>
                <w:rFonts w:hint="eastAsia" w:cs="Times New Roman" w:asciiTheme="minorHAnsi" w:hAnsiTheme="minorHAnsi" w:eastAsiaTheme="minorEastAsia"/>
                <w:szCs w:val="24"/>
              </w:rPr>
            </w:pPr>
            <w:r>
              <w:rPr>
                <w:rFonts w:ascii="Times New Roman" w:hAnsi="Times New Roman" w:eastAsia="宋体" w:cs="Times New Roman"/>
                <w:szCs w:val="24"/>
              </w:rPr>
              <w:t>省份固定效应</w:t>
            </w:r>
          </w:p>
        </w:tc>
        <w:tc>
          <w:tcPr>
            <w:tcW w:w="2769" w:type="dxa"/>
            <w:vAlign w:val="center"/>
          </w:tcPr>
          <w:p w14:paraId="7D4376F8">
            <w:pPr>
              <w:adjustRightInd w:val="0"/>
              <w:snapToGrid w:val="0"/>
              <w:spacing w:line="240" w:lineRule="auto"/>
              <w:ind w:firstLine="0" w:firstLineChars="0"/>
              <w:jc w:val="center"/>
              <w:rPr>
                <w:rFonts w:hint="eastAsia" w:cs="Times New Roman" w:asciiTheme="minorHAnsi" w:hAnsiTheme="minorHAnsi" w:eastAsiaTheme="minorEastAsia"/>
                <w:szCs w:val="24"/>
              </w:rPr>
            </w:pPr>
            <w:r>
              <w:rPr>
                <w:rFonts w:ascii="Times New Roman" w:hAnsi="Times New Roman" w:eastAsia="宋体" w:cs="Times New Roman"/>
                <w:szCs w:val="24"/>
              </w:rPr>
              <w:t>控制</w:t>
            </w:r>
          </w:p>
        </w:tc>
        <w:tc>
          <w:tcPr>
            <w:tcW w:w="1976" w:type="dxa"/>
            <w:vAlign w:val="center"/>
          </w:tcPr>
          <w:p w14:paraId="2037F74A">
            <w:pPr>
              <w:adjustRightInd w:val="0"/>
              <w:snapToGrid w:val="0"/>
              <w:spacing w:line="240" w:lineRule="auto"/>
              <w:ind w:firstLine="0" w:firstLineChars="0"/>
              <w:jc w:val="center"/>
              <w:rPr>
                <w:rFonts w:hint="eastAsia" w:cs="Times New Roman" w:asciiTheme="minorHAnsi" w:hAnsiTheme="minorHAnsi" w:eastAsiaTheme="minorEastAsia"/>
                <w:szCs w:val="24"/>
              </w:rPr>
            </w:pPr>
            <w:r>
              <w:rPr>
                <w:rFonts w:ascii="Times New Roman" w:hAnsi="Times New Roman" w:eastAsia="宋体" w:cs="Times New Roman"/>
                <w:szCs w:val="24"/>
              </w:rPr>
              <w:t>控制</w:t>
            </w:r>
          </w:p>
        </w:tc>
      </w:tr>
      <w:tr w14:paraId="144E1F9B">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2201" w:type="dxa"/>
            <w:vAlign w:val="center"/>
          </w:tcPr>
          <w:p w14:paraId="6437475D">
            <w:pPr>
              <w:adjustRightInd w:val="0"/>
              <w:snapToGrid w:val="0"/>
              <w:spacing w:line="240" w:lineRule="auto"/>
              <w:ind w:firstLine="0" w:firstLineChars="0"/>
              <w:jc w:val="center"/>
              <w:rPr>
                <w:rFonts w:hint="eastAsia" w:cs="Times New Roman" w:asciiTheme="minorHAnsi" w:hAnsiTheme="minorHAnsi" w:eastAsiaTheme="minorEastAsia"/>
                <w:szCs w:val="24"/>
              </w:rPr>
            </w:pPr>
            <w:r>
              <w:rPr>
                <w:rFonts w:ascii="Times New Roman" w:hAnsi="Times New Roman" w:eastAsia="宋体" w:cs="Times New Roman"/>
                <w:szCs w:val="24"/>
              </w:rPr>
              <w:t>年份固定效应</w:t>
            </w:r>
          </w:p>
        </w:tc>
        <w:tc>
          <w:tcPr>
            <w:tcW w:w="2769" w:type="dxa"/>
            <w:vAlign w:val="center"/>
          </w:tcPr>
          <w:p w14:paraId="37B9A70F">
            <w:pPr>
              <w:adjustRightInd w:val="0"/>
              <w:snapToGrid w:val="0"/>
              <w:spacing w:line="240" w:lineRule="auto"/>
              <w:ind w:firstLine="0" w:firstLineChars="0"/>
              <w:jc w:val="center"/>
              <w:rPr>
                <w:rFonts w:hint="eastAsia" w:cs="Times New Roman" w:asciiTheme="minorHAnsi" w:hAnsiTheme="minorHAnsi" w:eastAsiaTheme="minorEastAsia"/>
                <w:szCs w:val="24"/>
              </w:rPr>
            </w:pPr>
            <w:r>
              <w:rPr>
                <w:rFonts w:ascii="Times New Roman" w:hAnsi="Times New Roman" w:eastAsia="宋体" w:cs="Times New Roman"/>
                <w:szCs w:val="24"/>
              </w:rPr>
              <w:t>控制</w:t>
            </w:r>
          </w:p>
        </w:tc>
        <w:tc>
          <w:tcPr>
            <w:tcW w:w="1976" w:type="dxa"/>
            <w:vAlign w:val="center"/>
          </w:tcPr>
          <w:p w14:paraId="684AAFFB">
            <w:pPr>
              <w:adjustRightInd w:val="0"/>
              <w:snapToGrid w:val="0"/>
              <w:spacing w:line="240" w:lineRule="auto"/>
              <w:ind w:firstLine="0" w:firstLineChars="0"/>
              <w:jc w:val="center"/>
              <w:rPr>
                <w:rFonts w:hint="eastAsia" w:cs="Times New Roman" w:asciiTheme="minorHAnsi" w:hAnsiTheme="minorHAnsi" w:eastAsiaTheme="minorEastAsia"/>
                <w:szCs w:val="24"/>
              </w:rPr>
            </w:pPr>
            <w:r>
              <w:rPr>
                <w:rFonts w:ascii="Times New Roman" w:hAnsi="Times New Roman" w:eastAsia="宋体" w:cs="Times New Roman"/>
                <w:szCs w:val="24"/>
              </w:rPr>
              <w:t>控制</w:t>
            </w:r>
          </w:p>
        </w:tc>
      </w:tr>
      <w:tr w14:paraId="62C531DD">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2201" w:type="dxa"/>
            <w:vAlign w:val="center"/>
          </w:tcPr>
          <w:p w14:paraId="141F349C">
            <w:pPr>
              <w:adjustRightInd w:val="0"/>
              <w:snapToGrid w:val="0"/>
              <w:spacing w:line="240" w:lineRule="auto"/>
              <w:ind w:firstLine="0" w:firstLineChars="0"/>
              <w:jc w:val="center"/>
              <w:rPr>
                <w:rFonts w:hint="eastAsia" w:cs="Times New Roman" w:asciiTheme="minorHAnsi" w:hAnsiTheme="minorHAnsi" w:eastAsiaTheme="minorEastAsia"/>
                <w:szCs w:val="24"/>
              </w:rPr>
            </w:pPr>
            <w:r>
              <w:rPr>
                <w:rFonts w:ascii="Times New Roman" w:hAnsi="Times New Roman" w:eastAsia="宋体" w:cs="Times New Roman"/>
                <w:szCs w:val="24"/>
              </w:rPr>
              <w:t>样本量</w:t>
            </w:r>
          </w:p>
        </w:tc>
        <w:tc>
          <w:tcPr>
            <w:tcW w:w="2769" w:type="dxa"/>
            <w:vAlign w:val="center"/>
          </w:tcPr>
          <w:p w14:paraId="0C31FA19">
            <w:pPr>
              <w:adjustRightInd w:val="0"/>
              <w:snapToGrid w:val="0"/>
              <w:spacing w:line="240" w:lineRule="auto"/>
              <w:ind w:firstLine="0" w:firstLineChars="0"/>
              <w:jc w:val="center"/>
              <w:rPr>
                <w:rFonts w:hint="eastAsia" w:cs="Times New Roman" w:asciiTheme="minorHAnsi" w:hAnsiTheme="minorHAnsi" w:eastAsiaTheme="minorEastAsia"/>
                <w:szCs w:val="24"/>
              </w:rPr>
            </w:pPr>
            <w:r>
              <w:rPr>
                <w:rFonts w:ascii="Times New Roman" w:hAnsi="Times New Roman" w:eastAsia="宋体" w:cs="Times New Roman"/>
                <w:szCs w:val="24"/>
              </w:rPr>
              <w:t>4658</w:t>
            </w:r>
          </w:p>
        </w:tc>
        <w:tc>
          <w:tcPr>
            <w:tcW w:w="1976" w:type="dxa"/>
            <w:vAlign w:val="center"/>
          </w:tcPr>
          <w:p w14:paraId="7454581C">
            <w:pPr>
              <w:adjustRightInd w:val="0"/>
              <w:snapToGrid w:val="0"/>
              <w:spacing w:line="240" w:lineRule="auto"/>
              <w:ind w:firstLine="0" w:firstLineChars="0"/>
              <w:jc w:val="center"/>
              <w:rPr>
                <w:rFonts w:hint="eastAsia" w:cs="Times New Roman" w:asciiTheme="minorHAnsi" w:hAnsiTheme="minorHAnsi" w:eastAsiaTheme="minorEastAsia"/>
                <w:szCs w:val="24"/>
              </w:rPr>
            </w:pPr>
            <w:r>
              <w:rPr>
                <w:rFonts w:ascii="Times New Roman" w:hAnsi="Times New Roman" w:eastAsia="宋体" w:cs="Times New Roman"/>
                <w:szCs w:val="24"/>
              </w:rPr>
              <w:t>4658</w:t>
            </w:r>
          </w:p>
        </w:tc>
      </w:tr>
    </w:tbl>
    <w:p w14:paraId="4216E9B0">
      <w:pPr>
        <w:pStyle w:val="2"/>
        <w:rPr>
          <w:rFonts w:hint="eastAsia"/>
        </w:rPr>
      </w:pPr>
      <w:bookmarkStart w:id="52" w:name="_Toc228914714"/>
      <w:r>
        <w:rPr>
          <w:rFonts w:hint="eastAsia"/>
        </w:rPr>
        <w:t>研究结论和展望</w:t>
      </w:r>
      <w:bookmarkEnd w:id="52"/>
    </w:p>
    <w:p w14:paraId="040FEF31">
      <w:pPr>
        <w:pStyle w:val="3"/>
      </w:pPr>
      <w:bookmarkStart w:id="53" w:name="_Toc228914715"/>
      <w:r>
        <w:rPr>
          <w:rFonts w:hint="eastAsia"/>
        </w:rPr>
        <w:t>结论</w:t>
      </w:r>
      <w:bookmarkEnd w:id="53"/>
    </w:p>
    <w:p w14:paraId="7257CDA4">
      <w:pPr>
        <w:ind w:firstLine="480"/>
      </w:pPr>
      <w:r>
        <w:rPr>
          <w:rFonts w:hint="eastAsia"/>
        </w:rPr>
        <w:t>本文基于我国</w:t>
      </w:r>
      <w:r>
        <w:rPr>
          <w:rFonts w:hint="eastAsia" w:ascii="Times New Roman Regular" w:hAnsi="Times New Roman Regular" w:cs="Times New Roman Regular"/>
        </w:rPr>
        <w:t>2011—2023</w:t>
      </w:r>
      <w:r>
        <w:rPr>
          <w:rFonts w:hint="eastAsia"/>
        </w:rPr>
        <w:t>年城市层面面板数据，运用双重机器学习方法，系统考察了公共数据开放对企业诉求行为的影响及其机制，并得出以下结论：</w:t>
      </w:r>
    </w:p>
    <w:p w14:paraId="2D78F82D">
      <w:pPr>
        <w:numPr>
          <w:ilvl w:val="0"/>
          <w:numId w:val="0"/>
        </w:numPr>
        <w:ind w:firstLine="420" w:firstLineChars="0"/>
        <w:rPr>
          <w:rFonts w:hint="eastAsia"/>
        </w:rPr>
      </w:pPr>
      <w:r>
        <w:rPr>
          <w:rFonts w:hint="eastAsia"/>
          <w:lang w:val="en-US" w:eastAsia="zh-CN"/>
        </w:rPr>
        <w:t>第一，</w:t>
      </w:r>
      <w:r>
        <w:rPr>
          <w:rFonts w:hint="eastAsia"/>
        </w:rPr>
        <w:t>公共数据开放对企业诉求产生了显著的正向驱动效应。基准估计结果表明，公共数据平台的开放显著提升了企业通过领导留言板反映诉求的活跃度。这一结论在调整研究样本、剔除异常值观测以及引入省份—时间交互固定效应等一系列稳健性检验后依然成立，表明公共数据平台的开放稳健地降低了企业与政府沟通的信息门槛，提升了企业通过反映诉求的积极性。</w:t>
      </w:r>
    </w:p>
    <w:p w14:paraId="18297F2B">
      <w:pPr>
        <w:numPr>
          <w:ilvl w:val="0"/>
          <w:numId w:val="0"/>
        </w:numPr>
        <w:ind w:firstLine="420" w:firstLineChars="0"/>
        <w:rPr>
          <w:rFonts w:hint="eastAsia"/>
        </w:rPr>
      </w:pPr>
      <w:r>
        <w:rPr>
          <w:rFonts w:hint="eastAsia"/>
        </w:rPr>
        <w:t>第</w:t>
      </w:r>
      <w:r>
        <w:rPr>
          <w:rFonts w:hint="eastAsia"/>
          <w:lang w:val="en-US" w:eastAsia="zh-CN"/>
        </w:rPr>
        <w:t>二</w:t>
      </w:r>
      <w:r>
        <w:rPr>
          <w:rFonts w:hint="eastAsia"/>
        </w:rPr>
        <w:t>，公共数据开放对企业诉求的影响存在显著的区域异质性。从区域分组估计结果看，东北地区与中部地区的企业诉求表达行为对公共数据开放政策的响应最为显著，西部地区次之，东部地区的边际效应则相对有限。这一差异格局反映出不同区域在初始营商环境基础、数字化设施完备程度以及替代性诉求渠道可得性等方面的分化，在制度环境改善空间较大的地区，公共数据开放带来的信息红利更为突出。</w:t>
      </w:r>
    </w:p>
    <w:p w14:paraId="14D5A9E5">
      <w:pPr>
        <w:ind w:firstLine="480"/>
      </w:pPr>
      <w:r>
        <w:rPr>
          <w:rFonts w:hint="eastAsia"/>
        </w:rPr>
        <w:t>第</w:t>
      </w:r>
      <w:r>
        <w:rPr>
          <w:rFonts w:hint="eastAsia"/>
          <w:lang w:val="en-US" w:eastAsia="zh-CN"/>
        </w:rPr>
        <w:t>三</w:t>
      </w:r>
      <w:r>
        <w:rPr>
          <w:rFonts w:hint="eastAsia"/>
        </w:rPr>
        <w:t>，公共数据开放通过优化地区营商环境，进而缓解企业诉求。本文基于五个维度构建的营商环境指标开展中介效应检验，结果表明，公共数据开放通过优化金融服务、人力要素、市场环境、社会服务与创新环境，部分消减了企业因信息不对称和制度性交易成本引致的经营困难，从而间接降低了诉求数量。</w:t>
      </w:r>
    </w:p>
    <w:p w14:paraId="296493BF">
      <w:pPr>
        <w:pStyle w:val="3"/>
      </w:pPr>
      <w:bookmarkStart w:id="54" w:name="_Toc228914716"/>
      <w:r>
        <w:rPr>
          <w:rFonts w:hint="eastAsia"/>
        </w:rPr>
        <w:t>建议</w:t>
      </w:r>
      <w:bookmarkEnd w:id="54"/>
    </w:p>
    <w:p w14:paraId="1284DB82">
      <w:pPr>
        <w:ind w:firstLine="480"/>
      </w:pPr>
      <w:r>
        <w:rPr>
          <w:rFonts w:hint="eastAsia"/>
        </w:rPr>
        <w:t>对应上述结论，本文提出三点政策建议。</w:t>
      </w:r>
    </w:p>
    <w:p w14:paraId="0DE5CAE5">
      <w:pPr>
        <w:ind w:firstLine="480"/>
      </w:pPr>
      <w:r>
        <w:rPr>
          <w:rFonts w:hint="eastAsia"/>
        </w:rPr>
        <w:t>其一，持续深化公共数据开放平台建设，强化政企沟通的制度化保障。鉴于公共数据开放能够显著提升企业诉求表达水平，应将其作为优化营商环境的基础性制度安排，在拓展数据覆盖广度与更新频次的同时，配套提升政府对诉求的分流、回应与办理能力，实现企业表达意愿与政府回应效能的动态均衡。</w:t>
      </w:r>
    </w:p>
    <w:p w14:paraId="655A524E">
      <w:pPr>
        <w:ind w:firstLine="480"/>
      </w:pPr>
      <w:r>
        <w:rPr>
          <w:rFonts w:hint="eastAsia"/>
        </w:rPr>
        <w:t>其</w:t>
      </w:r>
      <w:r>
        <w:rPr>
          <w:rFonts w:hint="eastAsia"/>
          <w:lang w:val="en-US" w:eastAsia="zh-CN"/>
        </w:rPr>
        <w:t>二</w:t>
      </w:r>
      <w:r>
        <w:rPr>
          <w:rFonts w:hint="eastAsia"/>
        </w:rPr>
        <w:t>，依据区域差异制定梯度化的数据开放策略。对于东北和中部等公共数据开放边际效应较强的地区，应在扩大数据开放的同时着力加强基层诉求响应体系建设，确保企业诉求从表达环节顺畅过渡至解决环节；对于东部等效应已趋于平稳的地区，则应侧重数据开放的纵深发展与智能化应用，探索基于企业画像的精准政策服务，释放数据要素的赋能潜力。</w:t>
      </w:r>
    </w:p>
    <w:p w14:paraId="43A55D4D">
      <w:pPr>
        <w:ind w:firstLine="480"/>
      </w:pPr>
      <w:r>
        <w:rPr>
          <w:rFonts w:hint="eastAsia"/>
        </w:rPr>
        <w:t>其</w:t>
      </w:r>
      <w:r>
        <w:rPr>
          <w:rFonts w:hint="eastAsia"/>
          <w:lang w:val="en-US" w:eastAsia="zh-CN"/>
        </w:rPr>
        <w:t>三</w:t>
      </w:r>
      <w:r>
        <w:rPr>
          <w:rFonts w:hint="eastAsia"/>
        </w:rPr>
        <w:t>，以营商环境关键领域为重点推进数据精准开放，从源头缓解企业经营困境。机制分析表明，营商环境改善是公共数据开放间接减少企业诉求的核心通道，因此应优先推进企业信用、用工监测、审批进度、知识产权等与经营成本直接相关的数据开放，切实降低企业的信息搜寻成本与制度性交易摩擦，使数据开放的红利精准作用于营商环境短板环节。</w:t>
      </w:r>
    </w:p>
    <w:p w14:paraId="27B1B3CE">
      <w:pPr>
        <w:widowControl/>
        <w:ind w:firstLine="480"/>
        <w:jc w:val="left"/>
        <w:rPr>
          <w:szCs w:val="24"/>
        </w:rPr>
      </w:pPr>
      <w:r>
        <w:rPr>
          <w:szCs w:val="24"/>
        </w:rPr>
        <w:br w:type="page"/>
      </w:r>
    </w:p>
    <w:p w14:paraId="674BAB98">
      <w:pPr>
        <w:pStyle w:val="2"/>
        <w:numPr>
          <w:ilvl w:val="0"/>
          <w:numId w:val="0"/>
        </w:numPr>
        <w:rPr>
          <w:rFonts w:hint="eastAsia" w:ascii="黑体" w:hAnsi="黑体"/>
          <w:bCs w:val="0"/>
          <w:color w:val="000000" w:themeColor="text1"/>
          <w:sz w:val="28"/>
          <w:szCs w:val="28"/>
          <w14:textFill>
            <w14:solidFill>
              <w14:schemeClr w14:val="tx1"/>
            </w14:solidFill>
          </w14:textFill>
        </w:rPr>
      </w:pPr>
      <w:bookmarkStart w:id="55" w:name="_Toc228914717"/>
      <w:r>
        <w:rPr>
          <w:rFonts w:hint="eastAsia" w:ascii="黑体" w:hAnsi="黑体"/>
          <w:bCs w:val="0"/>
          <w:color w:val="000000" w:themeColor="text1"/>
          <w:sz w:val="28"/>
          <w:szCs w:val="28"/>
          <w14:textFill>
            <w14:solidFill>
              <w14:schemeClr w14:val="tx1"/>
            </w14:solidFill>
          </w14:textFill>
        </w:rPr>
        <w:t>七、参考文献</w:t>
      </w:r>
      <w:bookmarkEnd w:id="55"/>
    </w:p>
    <w:p w14:paraId="51D14355">
      <w:pPr>
        <w:pStyle w:val="27"/>
        <w:numPr>
          <w:ilvl w:val="0"/>
          <w:numId w:val="4"/>
        </w:numPr>
        <w:wordWrap w:val="0"/>
        <w:ind w:left="442" w:hanging="442" w:firstLineChars="0"/>
        <w:rPr>
          <w:rFonts w:ascii="宋体" w:hAnsi="宋体"/>
          <w:color w:val="000000" w:themeColor="text1"/>
          <w:szCs w:val="24"/>
          <w:shd w:val="clear" w:color="auto" w:fill="FFFFFF"/>
          <w14:textFill>
            <w14:solidFill>
              <w14:schemeClr w14:val="tx1"/>
            </w14:solidFill>
          </w14:textFill>
        </w:rPr>
      </w:pPr>
      <w:bookmarkStart w:id="56" w:name="_Ref228913058"/>
      <w:r>
        <w:rPr>
          <w:rFonts w:hint="eastAsia" w:ascii="宋体" w:hAnsi="宋体"/>
          <w:color w:val="000000" w:themeColor="text1"/>
          <w:szCs w:val="24"/>
          <w:shd w:val="clear" w:color="auto" w:fill="FFFFFF"/>
          <w14:textFill>
            <w14:solidFill>
              <w14:schemeClr w14:val="tx1"/>
            </w14:solidFill>
          </w14:textFill>
        </w:rPr>
        <w:t>郑石明</w:t>
      </w:r>
      <w:r>
        <w:rPr>
          <w:rFonts w:ascii="宋体" w:hAnsi="宋体"/>
          <w:color w:val="000000" w:themeColor="text1"/>
          <w:szCs w:val="24"/>
          <w:shd w:val="clear" w:color="auto" w:fill="FFFFFF"/>
          <w14:textFill>
            <w14:solidFill>
              <w14:schemeClr w14:val="tx1"/>
            </w14:solidFill>
          </w14:textFill>
        </w:rPr>
        <w:t>.</w:t>
      </w:r>
      <w:r>
        <w:rPr>
          <w:rFonts w:hint="eastAsia" w:ascii="宋体" w:hAnsi="宋体"/>
          <w:color w:val="000000" w:themeColor="text1"/>
          <w:szCs w:val="24"/>
          <w:shd w:val="clear" w:color="auto" w:fill="FFFFFF"/>
          <w14:textFill>
            <w14:solidFill>
              <w14:schemeClr w14:val="tx1"/>
            </w14:solidFill>
          </w14:textFill>
        </w:rPr>
        <w:t>数据开放</w:t>
      </w:r>
      <w:r>
        <w:rPr>
          <w:rFonts w:hint="eastAsia" w:ascii="微软雅黑" w:hAnsi="微软雅黑" w:eastAsia="微软雅黑" w:cs="微软雅黑"/>
          <w:color w:val="000000" w:themeColor="text1"/>
          <w:szCs w:val="24"/>
          <w:shd w:val="clear" w:color="auto" w:fill="FFFFFF"/>
          <w14:textFill>
            <w14:solidFill>
              <w14:schemeClr w14:val="tx1"/>
            </w14:solidFill>
          </w14:textFill>
        </w:rPr>
        <w:t>､</w:t>
      </w:r>
      <w:r>
        <w:rPr>
          <w:rFonts w:hint="eastAsia" w:ascii="宋体" w:hAnsi="宋体" w:cs="宋体"/>
          <w:color w:val="000000" w:themeColor="text1"/>
          <w:szCs w:val="24"/>
          <w:shd w:val="clear" w:color="auto" w:fill="FFFFFF"/>
          <w14:textFill>
            <w14:solidFill>
              <w14:schemeClr w14:val="tx1"/>
            </w14:solidFill>
          </w14:textFill>
        </w:rPr>
        <w:t>公众参与和环境治理创新</w:t>
      </w:r>
      <w:r>
        <w:rPr>
          <w:rFonts w:ascii="宋体" w:hAnsi="宋体"/>
          <w:color w:val="000000" w:themeColor="text1"/>
          <w:szCs w:val="24"/>
          <w:shd w:val="clear" w:color="auto" w:fill="FFFFFF"/>
          <w14:textFill>
            <w14:solidFill>
              <w14:schemeClr w14:val="tx1"/>
            </w14:solidFill>
          </w14:textFill>
        </w:rPr>
        <w:t>[J].</w:t>
      </w:r>
      <w:r>
        <w:rPr>
          <w:rFonts w:hint="eastAsia" w:ascii="宋体" w:hAnsi="宋体"/>
          <w:color w:val="000000" w:themeColor="text1"/>
          <w:szCs w:val="24"/>
          <w:shd w:val="clear" w:color="auto" w:fill="FFFFFF"/>
          <w14:textFill>
            <w14:solidFill>
              <w14:schemeClr w14:val="tx1"/>
            </w14:solidFill>
          </w14:textFill>
        </w:rPr>
        <w:t>行政论坛</w:t>
      </w:r>
      <w:r>
        <w:rPr>
          <w:rFonts w:ascii="宋体" w:hAnsi="宋体"/>
          <w:color w:val="000000" w:themeColor="text1"/>
          <w:szCs w:val="24"/>
          <w:shd w:val="clear" w:color="auto" w:fill="FFFFFF"/>
          <w14:textFill>
            <w14:solidFill>
              <w14:schemeClr w14:val="tx1"/>
            </w14:solidFill>
          </w14:textFill>
        </w:rPr>
        <w:t>,2017,24(04):76-81.DOI:10.16637/j.cnki.23-1360/d.2017.04.012.</w:t>
      </w:r>
      <w:bookmarkEnd w:id="56"/>
    </w:p>
    <w:p w14:paraId="45AAC47F">
      <w:pPr>
        <w:pStyle w:val="27"/>
        <w:numPr>
          <w:ilvl w:val="0"/>
          <w:numId w:val="4"/>
        </w:numPr>
        <w:wordWrap w:val="0"/>
        <w:ind w:left="442" w:hanging="442" w:firstLineChars="0"/>
        <w:rPr>
          <w:rFonts w:ascii="宋体" w:hAnsi="宋体"/>
          <w:color w:val="000000" w:themeColor="text1"/>
          <w:szCs w:val="24"/>
          <w:shd w:val="clear" w:color="auto" w:fill="FFFFFF"/>
          <w14:textFill>
            <w14:solidFill>
              <w14:schemeClr w14:val="tx1"/>
            </w14:solidFill>
          </w14:textFill>
        </w:rPr>
      </w:pPr>
      <w:bookmarkStart w:id="57" w:name="_Ref228913116"/>
      <w:r>
        <w:rPr>
          <w:rFonts w:hint="eastAsia" w:ascii="宋体" w:hAnsi="宋体"/>
          <w:color w:val="000000" w:themeColor="text1"/>
          <w:szCs w:val="24"/>
          <w:shd w:val="clear" w:color="auto" w:fill="FFFFFF"/>
          <w14:textFill>
            <w14:solidFill>
              <w14:schemeClr w14:val="tx1"/>
            </w14:solidFill>
          </w14:textFill>
        </w:rPr>
        <w:t>蔡菲莹</w:t>
      </w:r>
      <w:r>
        <w:rPr>
          <w:rFonts w:ascii="宋体" w:hAnsi="宋体"/>
          <w:color w:val="000000" w:themeColor="text1"/>
          <w:szCs w:val="24"/>
          <w:shd w:val="clear" w:color="auto" w:fill="FFFFFF"/>
          <w14:textFill>
            <w14:solidFill>
              <w14:schemeClr w14:val="tx1"/>
            </w14:solidFill>
          </w14:textFill>
        </w:rPr>
        <w:t>,</w:t>
      </w:r>
      <w:r>
        <w:rPr>
          <w:rFonts w:hint="eastAsia" w:ascii="宋体" w:hAnsi="宋体"/>
          <w:color w:val="000000" w:themeColor="text1"/>
          <w:szCs w:val="24"/>
          <w:shd w:val="clear" w:color="auto" w:fill="FFFFFF"/>
          <w14:textFill>
            <w14:solidFill>
              <w14:schemeClr w14:val="tx1"/>
            </w14:solidFill>
          </w14:textFill>
        </w:rPr>
        <w:t>黄秀薷</w:t>
      </w:r>
      <w:r>
        <w:rPr>
          <w:rFonts w:ascii="宋体" w:hAnsi="宋体"/>
          <w:color w:val="000000" w:themeColor="text1"/>
          <w:szCs w:val="24"/>
          <w:shd w:val="clear" w:color="auto" w:fill="FFFFFF"/>
          <w14:textFill>
            <w14:solidFill>
              <w14:schemeClr w14:val="tx1"/>
            </w14:solidFill>
          </w14:textFill>
        </w:rPr>
        <w:t>.</w:t>
      </w:r>
      <w:r>
        <w:rPr>
          <w:rFonts w:hint="eastAsia" w:ascii="宋体" w:hAnsi="宋体"/>
          <w:color w:val="000000" w:themeColor="text1"/>
          <w:szCs w:val="24"/>
          <w:shd w:val="clear" w:color="auto" w:fill="FFFFFF"/>
          <w14:textFill>
            <w14:solidFill>
              <w14:schemeClr w14:val="tx1"/>
            </w14:solidFill>
          </w14:textFill>
        </w:rPr>
        <w:t>政府数据开放</w:t>
      </w:r>
      <w:r>
        <w:rPr>
          <w:rFonts w:hint="eastAsia" w:ascii="微软雅黑" w:hAnsi="微软雅黑" w:eastAsia="微软雅黑" w:cs="微软雅黑"/>
          <w:color w:val="000000" w:themeColor="text1"/>
          <w:szCs w:val="24"/>
          <w:shd w:val="clear" w:color="auto" w:fill="FFFFFF"/>
          <w14:textFill>
            <w14:solidFill>
              <w14:schemeClr w14:val="tx1"/>
            </w14:solidFill>
          </w14:textFill>
        </w:rPr>
        <w:t>､</w:t>
      </w:r>
      <w:r>
        <w:rPr>
          <w:rFonts w:hint="eastAsia" w:ascii="宋体" w:hAnsi="宋体" w:cs="宋体"/>
          <w:color w:val="000000" w:themeColor="text1"/>
          <w:szCs w:val="24"/>
          <w:shd w:val="clear" w:color="auto" w:fill="FFFFFF"/>
          <w14:textFill>
            <w14:solidFill>
              <w14:schemeClr w14:val="tx1"/>
            </w14:solidFill>
          </w14:textFill>
        </w:rPr>
        <w:t>企业数字化转型与企业创新</w:t>
      </w:r>
      <w:r>
        <w:rPr>
          <w:rFonts w:ascii="宋体" w:hAnsi="宋体"/>
          <w:color w:val="000000" w:themeColor="text1"/>
          <w:szCs w:val="24"/>
          <w:shd w:val="clear" w:color="auto" w:fill="FFFFFF"/>
          <w14:textFill>
            <w14:solidFill>
              <w14:schemeClr w14:val="tx1"/>
            </w14:solidFill>
          </w14:textFill>
        </w:rPr>
        <w:t>[J].</w:t>
      </w:r>
      <w:r>
        <w:rPr>
          <w:rFonts w:hint="eastAsia" w:ascii="宋体" w:hAnsi="宋体"/>
          <w:color w:val="000000" w:themeColor="text1"/>
          <w:szCs w:val="24"/>
          <w:shd w:val="clear" w:color="auto" w:fill="FFFFFF"/>
          <w14:textFill>
            <w14:solidFill>
              <w14:schemeClr w14:val="tx1"/>
            </w14:solidFill>
          </w14:textFill>
        </w:rPr>
        <w:t>统计与决策</w:t>
      </w:r>
      <w:r>
        <w:rPr>
          <w:rFonts w:ascii="宋体" w:hAnsi="宋体"/>
          <w:color w:val="000000" w:themeColor="text1"/>
          <w:szCs w:val="24"/>
          <w:shd w:val="clear" w:color="auto" w:fill="FFFFFF"/>
          <w14:textFill>
            <w14:solidFill>
              <w14:schemeClr w14:val="tx1"/>
            </w14:solidFill>
          </w14:textFill>
        </w:rPr>
        <w:t>,2022,38(23):175-179.DOI:10.13546/j.cnki.tjyjc.2022.23.033.</w:t>
      </w:r>
      <w:bookmarkEnd w:id="57"/>
    </w:p>
    <w:p w14:paraId="43410EC8">
      <w:pPr>
        <w:pStyle w:val="27"/>
        <w:numPr>
          <w:ilvl w:val="0"/>
          <w:numId w:val="4"/>
        </w:numPr>
        <w:wordWrap w:val="0"/>
        <w:ind w:left="442" w:hanging="442" w:firstLineChars="0"/>
        <w:rPr>
          <w:rFonts w:hint="eastAsia" w:ascii="宋体" w:hAnsi="宋体"/>
          <w:color w:val="000000" w:themeColor="text1"/>
          <w:szCs w:val="24"/>
          <w:shd w:val="clear" w:color="auto" w:fill="FFFFFF"/>
          <w14:textFill>
            <w14:solidFill>
              <w14:schemeClr w14:val="tx1"/>
            </w14:solidFill>
          </w14:textFill>
        </w:rPr>
      </w:pPr>
      <w:bookmarkStart w:id="58" w:name="_Ref228913122"/>
      <w:r>
        <w:rPr>
          <w:rFonts w:hint="eastAsia" w:ascii="宋体" w:hAnsi="宋体"/>
          <w:color w:val="000000" w:themeColor="text1"/>
          <w:szCs w:val="24"/>
          <w:shd w:val="clear" w:color="auto" w:fill="FFFFFF"/>
          <w14:textFill>
            <w14:solidFill>
              <w14:schemeClr w14:val="tx1"/>
            </w14:solidFill>
          </w14:textFill>
        </w:rPr>
        <w:t>黄先海,虞柳明.政府数据开放能提升城市创新水平吗——来自中国地级市的证据[J].浙江学刊,2023,(04):88-98.DOI:10.16235/j.cnki.33-1005/c.2023.04.005.</w:t>
      </w:r>
      <w:bookmarkEnd w:id="58"/>
    </w:p>
    <w:p w14:paraId="1E46AAA9">
      <w:pPr>
        <w:pStyle w:val="27"/>
        <w:numPr>
          <w:ilvl w:val="0"/>
          <w:numId w:val="4"/>
        </w:numPr>
        <w:wordWrap w:val="0"/>
        <w:ind w:left="442" w:hanging="442" w:firstLineChars="0"/>
        <w:rPr>
          <w:rFonts w:hint="eastAsia" w:ascii="宋体" w:hAnsi="宋体"/>
          <w:color w:val="000000" w:themeColor="text1"/>
          <w:szCs w:val="24"/>
          <w:shd w:val="clear" w:color="auto" w:fill="FFFFFF"/>
          <w14:textFill>
            <w14:solidFill>
              <w14:schemeClr w14:val="tx1"/>
            </w14:solidFill>
          </w14:textFill>
        </w:rPr>
      </w:pPr>
      <w:bookmarkStart w:id="59" w:name="_Ref228913128"/>
      <w:r>
        <w:rPr>
          <w:rFonts w:hint="eastAsia" w:ascii="宋体" w:hAnsi="宋体"/>
          <w:color w:val="000000" w:themeColor="text1"/>
          <w:szCs w:val="24"/>
          <w:shd w:val="clear" w:color="auto" w:fill="FFFFFF"/>
          <w14:textFill>
            <w14:solidFill>
              <w14:schemeClr w14:val="tx1"/>
            </w14:solidFill>
          </w14:textFill>
        </w:rPr>
        <w:t>章昌平,常继元,陈玲玲,等.数据开放对区域创新能力的作用机制分析——基于政务服务便捷性的中介作用[J].科技管理研究,2024,44(01):51-60.</w:t>
      </w:r>
      <w:bookmarkEnd w:id="59"/>
    </w:p>
    <w:p w14:paraId="683E1260">
      <w:pPr>
        <w:pStyle w:val="27"/>
        <w:numPr>
          <w:ilvl w:val="0"/>
          <w:numId w:val="4"/>
        </w:numPr>
        <w:wordWrap w:val="0"/>
        <w:ind w:left="442" w:hanging="442" w:firstLineChars="0"/>
        <w:rPr>
          <w:rFonts w:hint="eastAsia" w:ascii="宋体" w:hAnsi="宋体"/>
          <w:color w:val="000000" w:themeColor="text1"/>
          <w:szCs w:val="24"/>
          <w:shd w:val="clear" w:color="auto" w:fill="FFFFFF"/>
          <w14:textFill>
            <w14:solidFill>
              <w14:schemeClr w14:val="tx1"/>
            </w14:solidFill>
          </w14:textFill>
        </w:rPr>
      </w:pPr>
      <w:bookmarkStart w:id="60" w:name="_Ref228913290"/>
      <w:r>
        <w:rPr>
          <w:rFonts w:hint="eastAsia" w:ascii="宋体" w:hAnsi="宋体"/>
          <w:color w:val="000000" w:themeColor="text1"/>
          <w:szCs w:val="24"/>
          <w:shd w:val="clear" w:color="auto" w:fill="FFFFFF"/>
          <w14:textFill>
            <w14:solidFill>
              <w14:schemeClr w14:val="tx1"/>
            </w14:solidFill>
          </w14:textFill>
        </w:rPr>
        <w:t>张莉,林安然.中国地方政府数据开放与经济发展质量[J].公共行政评论,2023,16(02):120-137+198-199.</w:t>
      </w:r>
      <w:bookmarkEnd w:id="60"/>
    </w:p>
    <w:p w14:paraId="3053CE6F">
      <w:pPr>
        <w:pStyle w:val="27"/>
        <w:numPr>
          <w:ilvl w:val="0"/>
          <w:numId w:val="4"/>
        </w:numPr>
        <w:wordWrap w:val="0"/>
        <w:ind w:left="442" w:hanging="442" w:firstLineChars="0"/>
        <w:rPr>
          <w:rFonts w:hint="eastAsia" w:ascii="宋体" w:hAnsi="宋体"/>
          <w:color w:val="000000" w:themeColor="text1"/>
          <w:szCs w:val="24"/>
          <w:shd w:val="clear" w:color="auto" w:fill="FFFFFF"/>
          <w14:textFill>
            <w14:solidFill>
              <w14:schemeClr w14:val="tx1"/>
            </w14:solidFill>
          </w14:textFill>
        </w:rPr>
      </w:pPr>
      <w:bookmarkStart w:id="61" w:name="_Ref228913296"/>
      <w:r>
        <w:rPr>
          <w:rFonts w:hint="eastAsia" w:ascii="宋体" w:hAnsi="宋体"/>
          <w:color w:val="000000" w:themeColor="text1"/>
          <w:szCs w:val="24"/>
          <w:shd w:val="clear" w:color="auto" w:fill="FFFFFF"/>
          <w14:textFill>
            <w14:solidFill>
              <w14:schemeClr w14:val="tx1"/>
            </w14:solidFill>
          </w14:textFill>
        </w:rPr>
        <w:t>赵丽丽,郝文强.政府数据开放对数字经济的影响[J].统计与决策,2023,39(18):67-72.DOI:10.13546/j.cnki.tjyjc.2023.18.012.</w:t>
      </w:r>
      <w:bookmarkEnd w:id="61"/>
    </w:p>
    <w:p w14:paraId="49603BF0">
      <w:pPr>
        <w:pStyle w:val="27"/>
        <w:numPr>
          <w:ilvl w:val="0"/>
          <w:numId w:val="4"/>
        </w:numPr>
        <w:wordWrap w:val="0"/>
        <w:ind w:left="442" w:hanging="442" w:firstLineChars="0"/>
        <w:rPr>
          <w:rFonts w:hint="eastAsia" w:ascii="宋体" w:hAnsi="宋体"/>
          <w:color w:val="000000" w:themeColor="text1"/>
          <w:szCs w:val="24"/>
          <w:shd w:val="clear" w:color="auto" w:fill="FFFFFF"/>
          <w14:textFill>
            <w14:solidFill>
              <w14:schemeClr w14:val="tx1"/>
            </w14:solidFill>
          </w14:textFill>
        </w:rPr>
      </w:pPr>
      <w:bookmarkStart w:id="62" w:name="_Ref228913350"/>
      <w:r>
        <w:rPr>
          <w:rFonts w:hint="eastAsia" w:ascii="宋体" w:hAnsi="宋体"/>
          <w:color w:val="000000" w:themeColor="text1"/>
          <w:szCs w:val="24"/>
          <w:shd w:val="clear" w:color="auto" w:fill="FFFFFF"/>
          <w14:textFill>
            <w14:solidFill>
              <w14:schemeClr w14:val="tx1"/>
            </w14:solidFill>
          </w14:textFill>
        </w:rPr>
        <w:t>彭远怀.政府数据开放的价值创造作用:企业全要素生产率视角[J].数量经济技术经济研究,2023,40(09):50-70.DOI:10.13653/j.cnki.jqte.20230725.001.</w:t>
      </w:r>
      <w:bookmarkEnd w:id="62"/>
    </w:p>
    <w:p w14:paraId="0BE82FC5">
      <w:pPr>
        <w:pStyle w:val="27"/>
        <w:numPr>
          <w:ilvl w:val="0"/>
          <w:numId w:val="4"/>
        </w:numPr>
        <w:wordWrap w:val="0"/>
        <w:ind w:left="442" w:hanging="442" w:firstLineChars="0"/>
        <w:rPr>
          <w:rFonts w:hint="eastAsia" w:ascii="宋体" w:hAnsi="宋体"/>
          <w:color w:val="000000" w:themeColor="text1"/>
          <w:szCs w:val="24"/>
          <w:shd w:val="clear" w:color="auto" w:fill="FFFFFF"/>
          <w14:textFill>
            <w14:solidFill>
              <w14:schemeClr w14:val="tx1"/>
            </w14:solidFill>
          </w14:textFill>
        </w:rPr>
      </w:pPr>
      <w:bookmarkStart w:id="63" w:name="_Ref228913628"/>
      <w:r>
        <w:rPr>
          <w:rFonts w:hint="eastAsia" w:ascii="宋体" w:hAnsi="宋体"/>
          <w:color w:val="000000" w:themeColor="text1"/>
          <w:szCs w:val="24"/>
          <w:shd w:val="clear" w:color="auto" w:fill="FFFFFF"/>
          <w14:textFill>
            <w14:solidFill>
              <w14:schemeClr w14:val="tx1"/>
            </w14:solidFill>
          </w14:textFill>
        </w:rPr>
        <w:t>杨秀云,韩奇.公共数据开放能提升企业全要素生产率吗?[J].证券市场导报,2023,(12):18-30.</w:t>
      </w:r>
      <w:bookmarkEnd w:id="63"/>
    </w:p>
    <w:p w14:paraId="657D5A47">
      <w:pPr>
        <w:pStyle w:val="27"/>
        <w:numPr>
          <w:ilvl w:val="0"/>
          <w:numId w:val="4"/>
        </w:numPr>
        <w:wordWrap w:val="0"/>
        <w:ind w:left="442" w:hanging="442" w:firstLineChars="0"/>
        <w:rPr>
          <w:rFonts w:hint="eastAsia" w:ascii="宋体" w:hAnsi="宋体"/>
          <w:color w:val="000000" w:themeColor="text1"/>
          <w:szCs w:val="24"/>
          <w:shd w:val="clear" w:color="auto" w:fill="FFFFFF"/>
          <w14:textFill>
            <w14:solidFill>
              <w14:schemeClr w14:val="tx1"/>
            </w14:solidFill>
          </w14:textFill>
        </w:rPr>
      </w:pPr>
      <w:bookmarkStart w:id="64" w:name="_Ref228913358"/>
      <w:r>
        <w:rPr>
          <w:rFonts w:hint="eastAsia" w:ascii="宋体" w:hAnsi="宋体"/>
          <w:color w:val="000000" w:themeColor="text1"/>
          <w:szCs w:val="24"/>
          <w:shd w:val="clear" w:color="auto" w:fill="FFFFFF"/>
          <w14:textFill>
            <w14:solidFill>
              <w14:schemeClr w14:val="tx1"/>
            </w14:solidFill>
          </w14:textFill>
        </w:rPr>
        <w:t>吴武清,李祁恒,章柳漪,等.公共数据资源与企业全要素生产率——基于地方政府数据开放的准自然实验[J].系统工程理论与实践,2024,44(06):1815-1833.</w:t>
      </w:r>
      <w:bookmarkEnd w:id="64"/>
    </w:p>
    <w:p w14:paraId="14FD3B19">
      <w:pPr>
        <w:pStyle w:val="27"/>
        <w:numPr>
          <w:ilvl w:val="0"/>
          <w:numId w:val="4"/>
        </w:numPr>
        <w:wordWrap w:val="0"/>
        <w:ind w:left="442" w:hanging="442" w:firstLineChars="0"/>
        <w:rPr>
          <w:rFonts w:ascii="宋体" w:hAnsi="宋体"/>
          <w:color w:val="000000" w:themeColor="text1"/>
          <w:szCs w:val="24"/>
          <w:shd w:val="clear" w:color="auto" w:fill="FFFFFF"/>
          <w14:textFill>
            <w14:solidFill>
              <w14:schemeClr w14:val="tx1"/>
            </w14:solidFill>
          </w14:textFill>
        </w:rPr>
      </w:pPr>
      <w:bookmarkStart w:id="65" w:name="_Ref228913369"/>
      <w:r>
        <w:rPr>
          <w:rFonts w:hint="eastAsia" w:ascii="宋体" w:hAnsi="宋体"/>
          <w:color w:val="000000" w:themeColor="text1"/>
          <w:szCs w:val="24"/>
          <w:shd w:val="clear" w:color="auto" w:fill="FFFFFF"/>
          <w14:textFill>
            <w14:solidFill>
              <w14:schemeClr w14:val="tx1"/>
            </w14:solidFill>
          </w14:textFill>
        </w:rPr>
        <w:t>蔡运坤,周京奎,袁旺平.数据要素共享与城市创业活力——来自公共数据开放的经验证据[J].数量经济技术经济研究,2024,41(08):5-25.DOI:10.13653/j.cnki.jqte.20240619.004.</w:t>
      </w:r>
      <w:bookmarkEnd w:id="65"/>
    </w:p>
    <w:p w14:paraId="0C93176A">
      <w:pPr>
        <w:pStyle w:val="27"/>
        <w:numPr>
          <w:ilvl w:val="0"/>
          <w:numId w:val="4"/>
        </w:numPr>
        <w:wordWrap w:val="0"/>
        <w:ind w:left="442" w:hanging="442" w:firstLineChars="0"/>
        <w:rPr>
          <w:rFonts w:ascii="宋体" w:hAnsi="宋体"/>
          <w:color w:val="000000" w:themeColor="text1"/>
          <w:szCs w:val="24"/>
          <w:shd w:val="clear" w:color="auto" w:fill="FFFFFF"/>
          <w14:textFill>
            <w14:solidFill>
              <w14:schemeClr w14:val="tx1"/>
            </w14:solidFill>
          </w14:textFill>
        </w:rPr>
      </w:pPr>
      <w:bookmarkStart w:id="66" w:name="_Ref228913736"/>
      <w:r>
        <w:rPr>
          <w:rFonts w:hint="eastAsia" w:ascii="宋体" w:hAnsi="宋体"/>
          <w:color w:val="000000" w:themeColor="text1"/>
          <w:szCs w:val="24"/>
          <w:shd w:val="clear" w:color="auto" w:fill="FFFFFF"/>
          <w14:textFill>
            <w14:solidFill>
              <w14:schemeClr w14:val="tx1"/>
            </w14:solidFill>
          </w14:textFill>
        </w:rPr>
        <w:t>罗党论</w:t>
      </w:r>
      <w:r>
        <w:rPr>
          <w:rFonts w:ascii="宋体" w:hAnsi="宋体"/>
          <w:color w:val="000000" w:themeColor="text1"/>
          <w:szCs w:val="24"/>
          <w:shd w:val="clear" w:color="auto" w:fill="FFFFFF"/>
          <w14:textFill>
            <w14:solidFill>
              <w14:schemeClr w14:val="tx1"/>
            </w14:solidFill>
          </w14:textFill>
        </w:rPr>
        <w:t>,</w:t>
      </w:r>
      <w:r>
        <w:rPr>
          <w:rFonts w:hint="eastAsia" w:ascii="宋体" w:hAnsi="宋体"/>
          <w:color w:val="000000" w:themeColor="text1"/>
          <w:szCs w:val="24"/>
          <w:shd w:val="clear" w:color="auto" w:fill="FFFFFF"/>
          <w14:textFill>
            <w14:solidFill>
              <w14:schemeClr w14:val="tx1"/>
            </w14:solidFill>
          </w14:textFill>
        </w:rPr>
        <w:t>刘晓龙</w:t>
      </w:r>
      <w:r>
        <w:rPr>
          <w:rFonts w:ascii="宋体" w:hAnsi="宋体"/>
          <w:color w:val="000000" w:themeColor="text1"/>
          <w:szCs w:val="24"/>
          <w:shd w:val="clear" w:color="auto" w:fill="FFFFFF"/>
          <w14:textFill>
            <w14:solidFill>
              <w14:schemeClr w14:val="tx1"/>
            </w14:solidFill>
          </w14:textFill>
        </w:rPr>
        <w:t>.</w:t>
      </w:r>
      <w:r>
        <w:rPr>
          <w:rFonts w:hint="eastAsia" w:ascii="宋体" w:hAnsi="宋体"/>
          <w:color w:val="000000" w:themeColor="text1"/>
          <w:szCs w:val="24"/>
          <w:shd w:val="clear" w:color="auto" w:fill="FFFFFF"/>
          <w14:textFill>
            <w14:solidFill>
              <w14:schemeClr w14:val="tx1"/>
            </w14:solidFill>
          </w14:textFill>
        </w:rPr>
        <w:t>政治关系</w:t>
      </w:r>
      <w:r>
        <w:rPr>
          <w:rFonts w:hint="eastAsia" w:ascii="微软雅黑" w:hAnsi="微软雅黑" w:eastAsia="微软雅黑" w:cs="微软雅黑"/>
          <w:color w:val="000000" w:themeColor="text1"/>
          <w:szCs w:val="24"/>
          <w:shd w:val="clear" w:color="auto" w:fill="FFFFFF"/>
          <w14:textFill>
            <w14:solidFill>
              <w14:schemeClr w14:val="tx1"/>
            </w14:solidFill>
          </w14:textFill>
        </w:rPr>
        <w:t>､</w:t>
      </w:r>
      <w:r>
        <w:rPr>
          <w:rFonts w:hint="eastAsia" w:ascii="宋体" w:hAnsi="宋体" w:cs="宋体"/>
          <w:color w:val="000000" w:themeColor="text1"/>
          <w:szCs w:val="24"/>
          <w:shd w:val="clear" w:color="auto" w:fill="FFFFFF"/>
          <w14:textFill>
            <w14:solidFill>
              <w14:schemeClr w14:val="tx1"/>
            </w14:solidFill>
          </w14:textFill>
        </w:rPr>
        <w:t>进入壁垒与企业绩效——来自中国民营上市公司的经验证据</w:t>
      </w:r>
      <w:r>
        <w:rPr>
          <w:rFonts w:ascii="宋体" w:hAnsi="宋体"/>
          <w:color w:val="000000" w:themeColor="text1"/>
          <w:szCs w:val="24"/>
          <w:shd w:val="clear" w:color="auto" w:fill="FFFFFF"/>
          <w14:textFill>
            <w14:solidFill>
              <w14:schemeClr w14:val="tx1"/>
            </w14:solidFill>
          </w14:textFill>
        </w:rPr>
        <w:t>[J].</w:t>
      </w:r>
      <w:r>
        <w:rPr>
          <w:rFonts w:hint="eastAsia" w:ascii="宋体" w:hAnsi="宋体"/>
          <w:color w:val="000000" w:themeColor="text1"/>
          <w:szCs w:val="24"/>
          <w:shd w:val="clear" w:color="auto" w:fill="FFFFFF"/>
          <w14:textFill>
            <w14:solidFill>
              <w14:schemeClr w14:val="tx1"/>
            </w14:solidFill>
          </w14:textFill>
        </w:rPr>
        <w:t>管理世界</w:t>
      </w:r>
      <w:r>
        <w:rPr>
          <w:rFonts w:ascii="宋体" w:hAnsi="宋体"/>
          <w:color w:val="000000" w:themeColor="text1"/>
          <w:szCs w:val="24"/>
          <w:shd w:val="clear" w:color="auto" w:fill="FFFFFF"/>
          <w14:textFill>
            <w14:solidFill>
              <w14:schemeClr w14:val="tx1"/>
            </w14:solidFill>
          </w14:textFill>
        </w:rPr>
        <w:t>,2009,(05):97-106.DOI:10.19744/j.cnki.11-1235/f.2009.05.012.</w:t>
      </w:r>
      <w:bookmarkEnd w:id="66"/>
    </w:p>
    <w:p w14:paraId="01F602AC">
      <w:pPr>
        <w:pStyle w:val="27"/>
        <w:numPr>
          <w:ilvl w:val="0"/>
          <w:numId w:val="4"/>
        </w:numPr>
        <w:wordWrap w:val="0"/>
        <w:ind w:left="442" w:hanging="442" w:firstLineChars="0"/>
        <w:rPr>
          <w:rFonts w:hint="eastAsia" w:ascii="宋体" w:hAnsi="宋体"/>
          <w:color w:val="000000" w:themeColor="text1"/>
          <w:szCs w:val="24"/>
          <w:shd w:val="clear" w:color="auto" w:fill="FFFFFF"/>
          <w14:textFill>
            <w14:solidFill>
              <w14:schemeClr w14:val="tx1"/>
            </w14:solidFill>
          </w14:textFill>
        </w:rPr>
      </w:pPr>
      <w:bookmarkStart w:id="67" w:name="_Ref228913775"/>
      <w:r>
        <w:rPr>
          <w:rFonts w:hint="eastAsia" w:ascii="宋体" w:hAnsi="宋体"/>
          <w:color w:val="000000" w:themeColor="text1"/>
          <w:szCs w:val="24"/>
          <w:shd w:val="clear" w:color="auto" w:fill="FFFFFF"/>
          <w14:textFill>
            <w14:solidFill>
              <w14:schemeClr w14:val="tx1"/>
            </w14:solidFill>
          </w14:textFill>
        </w:rPr>
        <w:t>宋林霖,何成祥.优化营商环境视阈下“放管服”改革的逻辑与推进路径——基于世界银行营商环境指标体系的分析[J].今日海南,2018,(08):29-33+36.</w:t>
      </w:r>
      <w:bookmarkEnd w:id="67"/>
    </w:p>
    <w:p w14:paraId="55D126B2">
      <w:pPr>
        <w:pStyle w:val="27"/>
        <w:numPr>
          <w:ilvl w:val="0"/>
          <w:numId w:val="4"/>
        </w:numPr>
        <w:wordWrap w:val="0"/>
        <w:ind w:left="442" w:hanging="442" w:firstLineChars="0"/>
        <w:rPr>
          <w:rFonts w:ascii="宋体" w:hAnsi="宋体"/>
          <w:color w:val="000000" w:themeColor="text1"/>
          <w:szCs w:val="24"/>
          <w:shd w:val="clear" w:color="auto" w:fill="FFFFFF"/>
          <w14:textFill>
            <w14:solidFill>
              <w14:schemeClr w14:val="tx1"/>
            </w14:solidFill>
          </w14:textFill>
        </w:rPr>
      </w:pPr>
      <w:bookmarkStart w:id="68" w:name="_Ref228913785"/>
      <w:r>
        <w:rPr>
          <w:rFonts w:hint="eastAsia" w:ascii="宋体" w:hAnsi="宋体"/>
          <w:color w:val="000000" w:themeColor="text1"/>
          <w:szCs w:val="24"/>
          <w:shd w:val="clear" w:color="auto" w:fill="FFFFFF"/>
          <w14:textFill>
            <w14:solidFill>
              <w14:schemeClr w14:val="tx1"/>
            </w14:solidFill>
          </w14:textFill>
        </w:rPr>
        <w:t>余明桂</w:t>
      </w:r>
      <w:r>
        <w:rPr>
          <w:rFonts w:ascii="宋体" w:hAnsi="宋体"/>
          <w:color w:val="000000" w:themeColor="text1"/>
          <w:szCs w:val="24"/>
          <w:shd w:val="clear" w:color="auto" w:fill="FFFFFF"/>
          <w14:textFill>
            <w14:solidFill>
              <w14:schemeClr w14:val="tx1"/>
            </w14:solidFill>
          </w14:textFill>
        </w:rPr>
        <w:t>,</w:t>
      </w:r>
      <w:r>
        <w:rPr>
          <w:rFonts w:hint="eastAsia" w:ascii="宋体" w:hAnsi="宋体"/>
          <w:color w:val="000000" w:themeColor="text1"/>
          <w:szCs w:val="24"/>
          <w:shd w:val="clear" w:color="auto" w:fill="FFFFFF"/>
          <w14:textFill>
            <w14:solidFill>
              <w14:schemeClr w14:val="tx1"/>
            </w14:solidFill>
          </w14:textFill>
        </w:rPr>
        <w:t>潘红波</w:t>
      </w:r>
      <w:r>
        <w:rPr>
          <w:rFonts w:ascii="宋体" w:hAnsi="宋体"/>
          <w:color w:val="000000" w:themeColor="text1"/>
          <w:szCs w:val="24"/>
          <w:shd w:val="clear" w:color="auto" w:fill="FFFFFF"/>
          <w14:textFill>
            <w14:solidFill>
              <w14:schemeClr w14:val="tx1"/>
            </w14:solidFill>
          </w14:textFill>
        </w:rPr>
        <w:t>.</w:t>
      </w:r>
      <w:r>
        <w:rPr>
          <w:rFonts w:hint="eastAsia" w:ascii="宋体" w:hAnsi="宋体"/>
          <w:color w:val="000000" w:themeColor="text1"/>
          <w:szCs w:val="24"/>
          <w:shd w:val="clear" w:color="auto" w:fill="FFFFFF"/>
          <w14:textFill>
            <w14:solidFill>
              <w14:schemeClr w14:val="tx1"/>
            </w14:solidFill>
          </w14:textFill>
        </w:rPr>
        <w:t>政治关系</w:t>
      </w:r>
      <w:r>
        <w:rPr>
          <w:rFonts w:hint="eastAsia" w:ascii="微软雅黑" w:hAnsi="微软雅黑" w:eastAsia="微软雅黑" w:cs="微软雅黑"/>
          <w:color w:val="000000" w:themeColor="text1"/>
          <w:szCs w:val="24"/>
          <w:shd w:val="clear" w:color="auto" w:fill="FFFFFF"/>
          <w14:textFill>
            <w14:solidFill>
              <w14:schemeClr w14:val="tx1"/>
            </w14:solidFill>
          </w14:textFill>
        </w:rPr>
        <w:t>､</w:t>
      </w:r>
      <w:r>
        <w:rPr>
          <w:rFonts w:hint="eastAsia" w:ascii="宋体" w:hAnsi="宋体" w:cs="宋体"/>
          <w:color w:val="000000" w:themeColor="text1"/>
          <w:szCs w:val="24"/>
          <w:shd w:val="clear" w:color="auto" w:fill="FFFFFF"/>
          <w14:textFill>
            <w14:solidFill>
              <w14:schemeClr w14:val="tx1"/>
            </w14:solidFill>
          </w14:textFill>
        </w:rPr>
        <w:t>制度环境与民营企业银行贷款</w:t>
      </w:r>
      <w:r>
        <w:rPr>
          <w:rFonts w:ascii="宋体" w:hAnsi="宋体"/>
          <w:color w:val="000000" w:themeColor="text1"/>
          <w:szCs w:val="24"/>
          <w:shd w:val="clear" w:color="auto" w:fill="FFFFFF"/>
          <w14:textFill>
            <w14:solidFill>
              <w14:schemeClr w14:val="tx1"/>
            </w14:solidFill>
          </w14:textFill>
        </w:rPr>
        <w:t>[J].</w:t>
      </w:r>
      <w:r>
        <w:rPr>
          <w:rFonts w:hint="eastAsia" w:ascii="宋体" w:hAnsi="宋体"/>
          <w:color w:val="000000" w:themeColor="text1"/>
          <w:szCs w:val="24"/>
          <w:shd w:val="clear" w:color="auto" w:fill="FFFFFF"/>
          <w14:textFill>
            <w14:solidFill>
              <w14:schemeClr w14:val="tx1"/>
            </w14:solidFill>
          </w14:textFill>
        </w:rPr>
        <w:t>管理世界</w:t>
      </w:r>
      <w:r>
        <w:rPr>
          <w:rFonts w:ascii="宋体" w:hAnsi="宋体"/>
          <w:color w:val="000000" w:themeColor="text1"/>
          <w:szCs w:val="24"/>
          <w:shd w:val="clear" w:color="auto" w:fill="FFFFFF"/>
          <w14:textFill>
            <w14:solidFill>
              <w14:schemeClr w14:val="tx1"/>
            </w14:solidFill>
          </w14:textFill>
        </w:rPr>
        <w:t>,2008,(08):9-21+39+187.DOI:10.19744/j.cnki.11-1235/f.2008.08.002.</w:t>
      </w:r>
      <w:bookmarkEnd w:id="68"/>
    </w:p>
    <w:p w14:paraId="53C66CEE">
      <w:pPr>
        <w:pStyle w:val="27"/>
        <w:numPr>
          <w:ilvl w:val="0"/>
          <w:numId w:val="4"/>
        </w:numPr>
        <w:wordWrap w:val="0"/>
        <w:ind w:left="442" w:hanging="442" w:firstLineChars="0"/>
        <w:rPr>
          <w:rFonts w:hint="eastAsia" w:ascii="宋体" w:hAnsi="宋体"/>
          <w:color w:val="000000" w:themeColor="text1"/>
          <w:szCs w:val="24"/>
          <w:shd w:val="clear" w:color="auto" w:fill="FFFFFF"/>
          <w14:textFill>
            <w14:solidFill>
              <w14:schemeClr w14:val="tx1"/>
            </w14:solidFill>
          </w14:textFill>
        </w:rPr>
      </w:pPr>
      <w:bookmarkStart w:id="69" w:name="_Ref228913787"/>
      <w:r>
        <w:rPr>
          <w:rFonts w:hint="eastAsia" w:ascii="宋体" w:hAnsi="宋体"/>
          <w:color w:val="000000" w:themeColor="text1"/>
          <w:szCs w:val="24"/>
          <w:shd w:val="clear" w:color="auto" w:fill="FFFFFF"/>
          <w14:textFill>
            <w14:solidFill>
              <w14:schemeClr w14:val="tx1"/>
            </w14:solidFill>
          </w14:textFill>
        </w:rPr>
        <w:t>潘士远,陈秀茂,任晓猛,等.优化减税降费结构:提振民营经济发展的重要路径[J].经济学家,2023,(07):97-107.DOI:10.16158/j.cnki.51-1312/f.2023.07.012.</w:t>
      </w:r>
      <w:bookmarkEnd w:id="69"/>
    </w:p>
    <w:p w14:paraId="047320B9">
      <w:pPr>
        <w:pStyle w:val="27"/>
        <w:numPr>
          <w:ilvl w:val="0"/>
          <w:numId w:val="4"/>
        </w:numPr>
        <w:wordWrap w:val="0"/>
        <w:ind w:left="442" w:hanging="442" w:firstLineChars="0"/>
        <w:rPr>
          <w:rFonts w:ascii="宋体" w:hAnsi="宋体"/>
          <w:color w:val="000000" w:themeColor="text1"/>
          <w:szCs w:val="24"/>
          <w:shd w:val="clear" w:color="auto" w:fill="FFFFFF"/>
          <w14:textFill>
            <w14:solidFill>
              <w14:schemeClr w14:val="tx1"/>
            </w14:solidFill>
          </w14:textFill>
        </w:rPr>
      </w:pPr>
      <w:bookmarkStart w:id="70" w:name="_Ref228913795"/>
      <w:r>
        <w:rPr>
          <w:rFonts w:hint="eastAsia" w:ascii="宋体" w:hAnsi="宋体"/>
          <w:color w:val="000000" w:themeColor="text1"/>
          <w:szCs w:val="24"/>
          <w:shd w:val="clear" w:color="auto" w:fill="FFFFFF"/>
          <w14:textFill>
            <w14:solidFill>
              <w14:schemeClr w14:val="tx1"/>
            </w14:solidFill>
          </w14:textFill>
        </w:rPr>
        <w:t>卢圣华,汪晖.中国式现代化进程中的民营企业诉求:基于“地方领导留言板”和大语言模型的实证分析[J].浙江大学学报(人文社会科学版),2024,54(09):84-97.</w:t>
      </w:r>
      <w:bookmarkEnd w:id="70"/>
    </w:p>
    <w:p w14:paraId="10C89544">
      <w:pPr>
        <w:pStyle w:val="27"/>
        <w:numPr>
          <w:ilvl w:val="0"/>
          <w:numId w:val="4"/>
        </w:numPr>
        <w:wordWrap w:val="0"/>
        <w:ind w:left="442" w:hanging="442" w:firstLineChars="0"/>
        <w:rPr>
          <w:rFonts w:hint="eastAsia" w:ascii="宋体" w:hAnsi="宋体"/>
          <w:color w:val="000000" w:themeColor="text1"/>
          <w:szCs w:val="24"/>
          <w:shd w:val="clear" w:color="auto" w:fill="FFFFFF"/>
          <w14:textFill>
            <w14:solidFill>
              <w14:schemeClr w14:val="tx1"/>
            </w14:solidFill>
          </w14:textFill>
        </w:rPr>
      </w:pPr>
      <w:bookmarkStart w:id="71" w:name="_Ref228913637"/>
      <w:r>
        <w:rPr>
          <w:rFonts w:hint="eastAsia" w:ascii="宋体" w:hAnsi="宋体"/>
          <w:color w:val="000000" w:themeColor="text1"/>
          <w:szCs w:val="24"/>
          <w:shd w:val="clear" w:color="auto" w:fill="FFFFFF"/>
          <w14:textFill>
            <w14:solidFill>
              <w14:schemeClr w14:val="tx1"/>
            </w14:solidFill>
          </w14:textFill>
        </w:rPr>
        <w:t>赵涛,张智,梁上坤.数字经济、创业活跃度与高质量发展——来自中国城市的经验证据[J].管理世界,2020,36(10):65-76.DOI:10.19744/j.cnki.11-1235/f.2020.0154.</w:t>
      </w:r>
      <w:bookmarkEnd w:id="71"/>
    </w:p>
    <w:p w14:paraId="47DCDA52">
      <w:pPr>
        <w:pStyle w:val="27"/>
        <w:numPr>
          <w:ilvl w:val="0"/>
          <w:numId w:val="4"/>
        </w:numPr>
        <w:wordWrap w:val="0"/>
        <w:ind w:left="442" w:hanging="442" w:firstLineChars="0"/>
        <w:rPr>
          <w:rFonts w:hint="eastAsia" w:ascii="宋体" w:hAnsi="宋体"/>
          <w:color w:val="000000" w:themeColor="text1"/>
          <w:szCs w:val="24"/>
          <w:shd w:val="clear" w:color="auto" w:fill="FFFFFF"/>
          <w14:textFill>
            <w14:solidFill>
              <w14:schemeClr w14:val="tx1"/>
            </w14:solidFill>
          </w14:textFill>
        </w:rPr>
      </w:pPr>
      <w:bookmarkStart w:id="72" w:name="_Ref228913638"/>
      <w:r>
        <w:rPr>
          <w:rFonts w:hint="eastAsia" w:ascii="宋体" w:hAnsi="宋体"/>
          <w:color w:val="000000" w:themeColor="text1"/>
          <w:szCs w:val="24"/>
          <w:shd w:val="clear" w:color="auto" w:fill="FFFFFF"/>
          <w14:textFill>
            <w14:solidFill>
              <w14:schemeClr w14:val="tx1"/>
            </w14:solidFill>
          </w14:textFill>
        </w:rPr>
        <w:t>张涛,李均超.网络基础设施、包容性绿色增长与地区差距——基于双重机器学习的因果推断[J].数量经济技术经济研究,2023,40(04):113-135.DOI:10.13653/j.cnki.jqte.20230310.005.</w:t>
      </w:r>
      <w:bookmarkEnd w:id="72"/>
    </w:p>
    <w:p w14:paraId="7EB05B05">
      <w:pPr>
        <w:pStyle w:val="27"/>
        <w:numPr>
          <w:ilvl w:val="0"/>
          <w:numId w:val="4"/>
        </w:numPr>
        <w:wordWrap w:val="0"/>
        <w:ind w:left="442" w:hanging="442" w:firstLineChars="0"/>
        <w:rPr>
          <w:rFonts w:hint="eastAsia" w:ascii="宋体" w:hAnsi="宋体"/>
          <w:color w:val="000000" w:themeColor="text1"/>
          <w:szCs w:val="24"/>
          <w:shd w:val="clear" w:color="auto" w:fill="FFFFFF"/>
          <w14:textFill>
            <w14:solidFill>
              <w14:schemeClr w14:val="tx1"/>
            </w14:solidFill>
          </w14:textFill>
        </w:rPr>
      </w:pPr>
      <w:bookmarkStart w:id="73" w:name="_Ref228914058"/>
      <w:r>
        <w:rPr>
          <w:rFonts w:hint="eastAsia" w:ascii="宋体" w:hAnsi="宋体"/>
          <w:color w:val="000000" w:themeColor="text1"/>
          <w:szCs w:val="24"/>
          <w:shd w:val="clear" w:color="auto" w:fill="FFFFFF"/>
          <w14:textFill>
            <w14:solidFill>
              <w14:schemeClr w14:val="tx1"/>
            </w14:solidFill>
          </w14:textFill>
        </w:rPr>
        <w:t>田坤,黄坤,行伟波.数字经济、市场潜能与乡村振兴——基于双重机器学习的因果推断[J].山西财经大学学报,2023,45(11):73-85.DOI:10.13781/j.cnki.1007-9556.2023.11.006.</w:t>
      </w:r>
      <w:bookmarkEnd w:id="73"/>
    </w:p>
    <w:p w14:paraId="4EA0C9D9">
      <w:pPr>
        <w:pStyle w:val="27"/>
        <w:numPr>
          <w:ilvl w:val="0"/>
          <w:numId w:val="4"/>
        </w:numPr>
        <w:wordWrap w:val="0"/>
        <w:ind w:left="442" w:hanging="442" w:firstLineChars="0"/>
        <w:rPr>
          <w:rFonts w:hint="eastAsia" w:ascii="宋体" w:hAnsi="宋体"/>
          <w:color w:val="000000" w:themeColor="text1"/>
          <w:szCs w:val="24"/>
          <w:shd w:val="clear" w:color="auto" w:fill="FFFFFF"/>
          <w14:textFill>
            <w14:solidFill>
              <w14:schemeClr w14:val="tx1"/>
            </w14:solidFill>
          </w14:textFill>
        </w:rPr>
      </w:pPr>
      <w:bookmarkStart w:id="74" w:name="_Ref228914059"/>
      <w:r>
        <w:rPr>
          <w:rFonts w:hint="eastAsia" w:ascii="宋体" w:hAnsi="宋体"/>
          <w:color w:val="000000" w:themeColor="text1"/>
          <w:szCs w:val="24"/>
          <w:shd w:val="clear" w:color="auto" w:fill="FFFFFF"/>
          <w14:textFill>
            <w14:solidFill>
              <w14:schemeClr w14:val="tx1"/>
            </w14:solidFill>
          </w14:textFill>
        </w:rPr>
        <w:t>赵燕,孙慧,马点圆.城市绿色金融改革对减污降碳协同增效的影响研究——基于双重机器学习的因果推断[J].产业经济研究,2024,(03):15-28+58.DOI:10.13269/j.cnki.ier.2024.03.008.</w:t>
      </w:r>
      <w:bookmarkEnd w:id="74"/>
    </w:p>
    <w:p w14:paraId="5727647D">
      <w:pPr>
        <w:pStyle w:val="27"/>
        <w:numPr>
          <w:ilvl w:val="0"/>
          <w:numId w:val="4"/>
        </w:numPr>
        <w:wordWrap w:val="0"/>
        <w:ind w:left="442" w:hanging="442" w:firstLineChars="0"/>
        <w:rPr>
          <w:rFonts w:hint="eastAsia" w:ascii="宋体" w:hAnsi="宋体"/>
          <w:color w:val="000000" w:themeColor="text1"/>
          <w:szCs w:val="24"/>
          <w:shd w:val="clear" w:color="auto" w:fill="FFFFFF"/>
          <w14:textFill>
            <w14:solidFill>
              <w14:schemeClr w14:val="tx1"/>
            </w14:solidFill>
          </w14:textFill>
        </w:rPr>
      </w:pPr>
      <w:bookmarkStart w:id="75" w:name="_Ref228914298"/>
      <w:r>
        <w:rPr>
          <w:rFonts w:hint="eastAsia" w:ascii="宋体" w:hAnsi="宋体"/>
          <w:color w:val="000000" w:themeColor="text1"/>
          <w:szCs w:val="24"/>
          <w:shd w:val="clear" w:color="auto" w:fill="FFFFFF"/>
          <w14:textFill>
            <w14:solidFill>
              <w14:schemeClr w14:val="tx1"/>
            </w14:solidFill>
          </w14:textFill>
        </w:rPr>
        <w:t>李成友,孙涛,王硕.人口结构红利、财政支出偏向与中国城乡收入差距[J].经济学动态,2021,(01):105-124.</w:t>
      </w:r>
      <w:bookmarkEnd w:id="75"/>
    </w:p>
    <w:p w14:paraId="731F7ACC">
      <w:pPr>
        <w:pStyle w:val="27"/>
        <w:numPr>
          <w:ilvl w:val="0"/>
          <w:numId w:val="4"/>
        </w:numPr>
        <w:wordWrap w:val="0"/>
        <w:ind w:left="442" w:hanging="442" w:firstLineChars="0"/>
        <w:rPr>
          <w:rFonts w:ascii="宋体" w:hAnsi="宋体"/>
          <w:color w:val="000000" w:themeColor="text1"/>
          <w:szCs w:val="24"/>
          <w:shd w:val="clear" w:color="auto" w:fill="FFFFFF"/>
          <w14:textFill>
            <w14:solidFill>
              <w14:schemeClr w14:val="tx1"/>
            </w14:solidFill>
          </w14:textFill>
        </w:rPr>
      </w:pPr>
      <w:bookmarkStart w:id="76" w:name="_Ref228914305"/>
      <w:r>
        <w:rPr>
          <w:rFonts w:hint="eastAsia" w:ascii="宋体" w:hAnsi="宋体"/>
          <w:color w:val="000000" w:themeColor="text1"/>
          <w:szCs w:val="24"/>
          <w:shd w:val="clear" w:color="auto" w:fill="FFFFFF"/>
          <w14:textFill>
            <w14:solidFill>
              <w14:schemeClr w14:val="tx1"/>
            </w14:solidFill>
          </w14:textFill>
        </w:rPr>
        <w:t>方锦程,刘颖,高昊宇,等.公共数据开放能否促进区域协调发展？——来自政府数据平台上线的准自然实验[J].管理世界,2023,39(09):124-142.DOI:10.19744/j.cnki.11-1235/f.2023.0112.</w:t>
      </w:r>
      <w:bookmarkEnd w:id="76"/>
    </w:p>
    <w:p w14:paraId="0FE413DD">
      <w:pPr>
        <w:pStyle w:val="27"/>
        <w:numPr>
          <w:ilvl w:val="0"/>
          <w:numId w:val="4"/>
        </w:numPr>
        <w:wordWrap w:val="0"/>
        <w:ind w:left="442" w:hanging="442" w:firstLineChars="0"/>
        <w:rPr>
          <w:rFonts w:ascii="宋体" w:hAnsi="宋体"/>
          <w:color w:val="000000" w:themeColor="text1"/>
          <w:szCs w:val="24"/>
          <w:shd w:val="clear" w:color="auto" w:fill="FFFFFF"/>
          <w14:textFill>
            <w14:solidFill>
              <w14:schemeClr w14:val="tx1"/>
            </w14:solidFill>
          </w14:textFill>
        </w:rPr>
      </w:pPr>
      <w:bookmarkStart w:id="77" w:name="_Ref228914452"/>
      <w:r>
        <w:rPr>
          <w:rFonts w:hint="eastAsia"/>
          <w:color w:val="000000" w:themeColor="text1"/>
          <w14:textFill>
            <w14:solidFill>
              <w14:schemeClr w14:val="tx1"/>
            </w14:solidFill>
          </w14:textFill>
        </w:rPr>
        <w:t>王鸿,邱春华. 营商环境优化何以赋能战略性新兴企业绿色创新——基于双重机器学习的因果推断[J].调研世界,2026,(04):52-65.DOI:10.13778/j.cnki.11-3705/c.2026.04.005.</w:t>
      </w:r>
      <w:bookmarkEnd w:id="77"/>
    </w:p>
    <w:p w14:paraId="7B593E9C">
      <w:pPr>
        <w:pStyle w:val="27"/>
        <w:numPr>
          <w:ilvl w:val="0"/>
          <w:numId w:val="4"/>
        </w:numPr>
        <w:wordWrap w:val="0"/>
        <w:ind w:left="442" w:hanging="442" w:firstLineChars="0"/>
        <w:rPr>
          <w:rFonts w:ascii="宋体" w:hAnsi="宋体"/>
          <w:color w:val="000000" w:themeColor="text1"/>
          <w:szCs w:val="24"/>
          <w:shd w:val="clear" w:color="auto" w:fill="FFFFFF"/>
          <w14:textFill>
            <w14:solidFill>
              <w14:schemeClr w14:val="tx1"/>
            </w14:solidFill>
          </w14:textFill>
        </w:rPr>
      </w:pPr>
      <w:bookmarkStart w:id="78" w:name="_Ref228914454"/>
      <w:r>
        <w:rPr>
          <w:rFonts w:hint="eastAsia"/>
          <w:color w:val="000000" w:themeColor="text1"/>
          <w14:textFill>
            <w14:solidFill>
              <w14:schemeClr w14:val="tx1"/>
            </w14:solidFill>
          </w14:textFill>
        </w:rPr>
        <w:t>牛朝文,赵怀宇. 数字基础设施建设能否优化城市营商环境？——来自“宽带中国”试点政策的经验证据[J/OL].经济与管理,1-13[2026-05-04].https://link.cnki.net/urlid/13.1032.F.20260401.1840.008.</w:t>
      </w:r>
      <w:bookmarkEnd w:id="78"/>
    </w:p>
    <w:p w14:paraId="11CC0CF9">
      <w:pPr>
        <w:pStyle w:val="27"/>
        <w:numPr>
          <w:ilvl w:val="0"/>
          <w:numId w:val="4"/>
        </w:numPr>
        <w:wordWrap w:val="0"/>
        <w:ind w:left="442" w:hanging="442" w:firstLineChars="0"/>
        <w:rPr>
          <w:rFonts w:ascii="宋体" w:hAnsi="宋体"/>
          <w:color w:val="000000" w:themeColor="text1"/>
          <w:szCs w:val="24"/>
          <w:shd w:val="clear" w:color="auto" w:fill="FFFFFF"/>
          <w14:textFill>
            <w14:solidFill>
              <w14:schemeClr w14:val="tx1"/>
            </w14:solidFill>
          </w14:textFill>
        </w:rPr>
      </w:pPr>
      <w:bookmarkStart w:id="79" w:name="_Ref228914280"/>
      <w:r>
        <w:rPr>
          <w:rFonts w:hint="eastAsia"/>
          <w:color w:val="000000" w:themeColor="text1"/>
          <w14:textFill>
            <w14:solidFill>
              <w14:schemeClr w14:val="tx1"/>
            </w14:solidFill>
          </w14:textFill>
        </w:rPr>
        <w:t>蔡运坤,周京奎,袁旺平. 数据要素共享与城市创业活力——来自公共数据开放的经验证据[J].数量经济技术经济研究,2024,41(08):5-25.DOI:10.13653/j.cnki.jqte.20240619.004.</w:t>
      </w:r>
      <w:bookmarkEnd w:id="79"/>
    </w:p>
    <w:p w14:paraId="514FFCE3">
      <w:pPr>
        <w:pStyle w:val="27"/>
        <w:numPr>
          <w:ilvl w:val="0"/>
          <w:numId w:val="4"/>
        </w:numPr>
        <w:wordWrap w:val="0"/>
        <w:ind w:left="442" w:hanging="442" w:firstLineChars="0"/>
        <w:rPr>
          <w:rFonts w:ascii="宋体" w:hAnsi="宋体"/>
          <w:color w:val="000000" w:themeColor="text1"/>
          <w:szCs w:val="24"/>
          <w:shd w:val="clear" w:color="auto" w:fill="FFFFFF"/>
          <w14:textFill>
            <w14:solidFill>
              <w14:schemeClr w14:val="tx1"/>
            </w14:solidFill>
          </w14:textFill>
        </w:rPr>
      </w:pPr>
      <w:bookmarkStart w:id="80" w:name="_Ref228914487"/>
      <w:r>
        <w:rPr>
          <w:rFonts w:hint="eastAsia"/>
          <w:color w:val="000000" w:themeColor="text1"/>
          <w14:textFill>
            <w14:solidFill>
              <w14:schemeClr w14:val="tx1"/>
            </w14:solidFill>
          </w14:textFill>
        </w:rPr>
        <w:t>刘明,宋彦玲. 经济学实证研究中的稳健性检验方法——基于检验逻辑视角的阐释[J].统计与决策,2023,39(12):45-50.DOI:10.13546/j.cnki.tjyjc.2023.12.008.</w:t>
      </w:r>
      <w:bookmarkEnd w:id="80"/>
    </w:p>
    <w:p w14:paraId="6D071C8C">
      <w:pPr>
        <w:pStyle w:val="27"/>
        <w:numPr>
          <w:ilvl w:val="0"/>
          <w:numId w:val="4"/>
        </w:numPr>
        <w:wordWrap w:val="0"/>
        <w:ind w:left="442" w:hanging="442" w:firstLineChars="0"/>
        <w:rPr>
          <w:rFonts w:ascii="宋体" w:hAnsi="宋体"/>
          <w:color w:val="000000" w:themeColor="text1"/>
          <w:szCs w:val="24"/>
          <w:shd w:val="clear" w:color="auto" w:fill="FFFFFF"/>
          <w14:textFill>
            <w14:solidFill>
              <w14:schemeClr w14:val="tx1"/>
            </w14:solidFill>
          </w14:textFill>
        </w:rPr>
      </w:pPr>
      <w:bookmarkStart w:id="81" w:name="_Ref228914506"/>
      <w:r>
        <w:rPr>
          <w:rFonts w:hint="eastAsia"/>
          <w:color w:val="000000" w:themeColor="text1"/>
          <w14:textFill>
            <w14:solidFill>
              <w14:schemeClr w14:val="tx1"/>
            </w14:solidFill>
          </w14:textFill>
        </w:rPr>
        <w:t>温忠麟,方杰,谢晋艳,等. 国内中介效应的方法学研究[J].心理科学进展,2022,30(08):1692-1702.</w:t>
      </w:r>
      <w:bookmarkEnd w:id="81"/>
    </w:p>
    <w:p w14:paraId="3D6FFC48">
      <w:pPr>
        <w:pStyle w:val="27"/>
        <w:numPr>
          <w:ilvl w:val="0"/>
          <w:numId w:val="4"/>
        </w:numPr>
        <w:wordWrap w:val="0"/>
        <w:ind w:left="442" w:hanging="442" w:firstLineChars="0"/>
        <w:rPr>
          <w:rFonts w:ascii="宋体" w:hAnsi="宋体"/>
          <w:color w:val="000000" w:themeColor="text1"/>
          <w:szCs w:val="24"/>
          <w:shd w:val="clear" w:color="auto" w:fill="FFFFFF"/>
          <w14:textFill>
            <w14:solidFill>
              <w14:schemeClr w14:val="tx1"/>
            </w14:solidFill>
          </w14:textFill>
        </w:rPr>
      </w:pPr>
      <w:bookmarkStart w:id="82" w:name="_Ref228914552"/>
      <w:r>
        <w:rPr>
          <w:rFonts w:hint="eastAsia"/>
          <w:color w:val="000000" w:themeColor="text1"/>
          <w14:textFill>
            <w14:solidFill>
              <w14:schemeClr w14:val="tx1"/>
            </w14:solidFill>
          </w14:textFill>
        </w:rPr>
        <w:t>江艇. 因果推断经验研究中的中介效应与调节效应[J].中国工业经济,2022,(05):100-120.DOI:10.19581/j.cnki.ciejournal.2022.05.005.</w:t>
      </w:r>
      <w:bookmarkEnd w:id="82"/>
    </w:p>
    <w:p w14:paraId="0BF97285">
      <w:pPr>
        <w:pStyle w:val="27"/>
        <w:numPr>
          <w:ilvl w:val="0"/>
          <w:numId w:val="4"/>
        </w:numPr>
        <w:wordWrap w:val="0"/>
        <w:ind w:left="442" w:hanging="442" w:firstLineChars="0"/>
        <w:rPr>
          <w:rFonts w:ascii="宋体" w:hAnsi="宋体"/>
          <w:color w:val="000000" w:themeColor="text1"/>
          <w:szCs w:val="24"/>
          <w:shd w:val="clear" w:color="auto" w:fill="FFFFFF"/>
          <w14:textFill>
            <w14:solidFill>
              <w14:schemeClr w14:val="tx1"/>
            </w14:solidFill>
          </w14:textFill>
        </w:rPr>
      </w:pPr>
      <w:bookmarkStart w:id="83" w:name="_Ref228914554"/>
      <w:r>
        <w:rPr>
          <w:rFonts w:hint="eastAsia"/>
          <w:color w:val="000000" w:themeColor="text1"/>
          <w14:textFill>
            <w14:solidFill>
              <w14:schemeClr w14:val="tx1"/>
            </w14:solidFill>
          </w14:textFill>
        </w:rPr>
        <w:t>温忠麟,叶宝娟. 中介效应分析:方法和模型发展[J].心理科学进展,2014,22(05):731-745.</w:t>
      </w:r>
      <w:bookmarkEnd w:id="83"/>
    </w:p>
    <w:p w14:paraId="09D91814">
      <w:pPr>
        <w:pStyle w:val="27"/>
        <w:numPr>
          <w:ilvl w:val="0"/>
          <w:numId w:val="4"/>
        </w:numPr>
        <w:wordWrap w:val="0"/>
        <w:ind w:left="442" w:hanging="442" w:firstLineChars="0"/>
        <w:rPr>
          <w:rFonts w:ascii="宋体" w:hAnsi="宋体"/>
          <w:color w:val="000000" w:themeColor="text1"/>
          <w:szCs w:val="24"/>
          <w:shd w:val="clear" w:color="auto" w:fill="FFFFFF"/>
          <w14:textFill>
            <w14:solidFill>
              <w14:schemeClr w14:val="tx1"/>
            </w14:solidFill>
          </w14:textFill>
        </w:rPr>
      </w:pPr>
      <w:bookmarkStart w:id="84" w:name="_Ref228913082"/>
      <w:r>
        <w:rPr>
          <w:rFonts w:ascii="宋体" w:hAnsi="宋体"/>
          <w:color w:val="000000" w:themeColor="text1"/>
          <w:szCs w:val="24"/>
          <w:shd w:val="clear" w:color="auto" w:fill="FFFFFF"/>
          <w14:textFill>
            <w14:solidFill>
              <w14:schemeClr w14:val="tx1"/>
            </w14:solidFill>
          </w14:textFill>
        </w:rPr>
        <w:t>Song, L., Jing, J., Yan, Z. et al. Does government information transparency contribute to pollution abatement? Evidence from 264 Chinese cities. Environ Sci Pollut Res 29, 12853–12863 (2022).</w:t>
      </w:r>
      <w:bookmarkEnd w:id="84"/>
    </w:p>
    <w:p w14:paraId="687D5A41">
      <w:pPr>
        <w:pStyle w:val="27"/>
        <w:numPr>
          <w:ilvl w:val="0"/>
          <w:numId w:val="4"/>
        </w:numPr>
        <w:wordWrap w:val="0"/>
        <w:ind w:left="442" w:hanging="442" w:firstLineChars="0"/>
        <w:rPr>
          <w:rFonts w:ascii="宋体" w:hAnsi="宋体"/>
          <w:color w:val="000000" w:themeColor="text1"/>
          <w:szCs w:val="24"/>
          <w:shd w:val="clear" w:color="auto" w:fill="FFFFFF"/>
          <w14:textFill>
            <w14:solidFill>
              <w14:schemeClr w14:val="tx1"/>
            </w14:solidFill>
          </w14:textFill>
        </w:rPr>
      </w:pPr>
      <w:bookmarkStart w:id="85" w:name="_Ref228913087"/>
      <w:r>
        <w:rPr>
          <w:rFonts w:ascii="宋体" w:hAnsi="宋体"/>
          <w:color w:val="000000" w:themeColor="text1"/>
          <w:szCs w:val="24"/>
          <w:shd w:val="clear" w:color="auto" w:fill="FFFFFF"/>
          <w14:textFill>
            <w14:solidFill>
              <w14:schemeClr w14:val="tx1"/>
            </w14:solidFill>
          </w14:textFill>
        </w:rPr>
        <w:t>Fusi, Federica ; Zhang, Fengxiu ; Liang, Jiaqi. / Unveiling environmental justice through open government data : Work in progress for most US states. In: Public Administration. 2023 ; Vol. 101, No. 3. pp. 1088-1114.</w:t>
      </w:r>
      <w:bookmarkEnd w:id="85"/>
    </w:p>
    <w:p w14:paraId="2BFC6926">
      <w:pPr>
        <w:pStyle w:val="27"/>
        <w:numPr>
          <w:ilvl w:val="0"/>
          <w:numId w:val="4"/>
        </w:numPr>
        <w:wordWrap w:val="0"/>
        <w:ind w:left="442" w:hanging="442" w:firstLineChars="0"/>
        <w:rPr>
          <w:rFonts w:ascii="宋体" w:hAnsi="宋体"/>
          <w:color w:val="000000" w:themeColor="text1"/>
          <w:szCs w:val="24"/>
          <w:shd w:val="clear" w:color="auto" w:fill="FFFFFF"/>
          <w14:textFill>
            <w14:solidFill>
              <w14:schemeClr w14:val="tx1"/>
            </w14:solidFill>
          </w14:textFill>
        </w:rPr>
      </w:pPr>
      <w:bookmarkStart w:id="86" w:name="_Ref228913095"/>
      <w:r>
        <w:rPr>
          <w:rFonts w:ascii="宋体" w:hAnsi="宋体"/>
          <w:color w:val="000000" w:themeColor="text1"/>
          <w:szCs w:val="24"/>
          <w:shd w:val="clear" w:color="auto" w:fill="FFFFFF"/>
          <w14:textFill>
            <w14:solidFill>
              <w14:schemeClr w14:val="tx1"/>
            </w14:solidFill>
          </w14:textFill>
        </w:rPr>
        <w:t>Liu, Z., Yu, Y. &amp; Lei, Y. Enhancing local governments’ environmental attention through open government data: evidence from China. Environ Sci Pollut Res 31, 18494–18511 (2024).</w:t>
      </w:r>
      <w:bookmarkEnd w:id="86"/>
    </w:p>
    <w:p w14:paraId="0D5AA21C">
      <w:pPr>
        <w:pStyle w:val="27"/>
        <w:numPr>
          <w:ilvl w:val="0"/>
          <w:numId w:val="4"/>
        </w:numPr>
        <w:wordWrap w:val="0"/>
        <w:ind w:left="442" w:hanging="442" w:firstLineChars="0"/>
        <w:rPr>
          <w:rFonts w:ascii="宋体" w:hAnsi="宋体"/>
          <w:color w:val="000000" w:themeColor="text1"/>
          <w:szCs w:val="24"/>
          <w:shd w:val="clear" w:color="auto" w:fill="FFFFFF"/>
          <w14:textFill>
            <w14:solidFill>
              <w14:schemeClr w14:val="tx1"/>
            </w14:solidFill>
          </w14:textFill>
        </w:rPr>
      </w:pPr>
      <w:bookmarkStart w:id="87" w:name="_Ref228913102"/>
      <w:r>
        <w:rPr>
          <w:rFonts w:ascii="宋体" w:hAnsi="宋体"/>
          <w:color w:val="000000" w:themeColor="text1"/>
          <w:szCs w:val="24"/>
          <w:shd w:val="clear" w:color="auto" w:fill="FFFFFF"/>
          <w14:textFill>
            <w14:solidFill>
              <w14:schemeClr w14:val="tx1"/>
            </w14:solidFill>
          </w14:textFill>
        </w:rPr>
        <w:t>Yan, R., et al., Is it real or illusory? An empirical examination of the impact of open government data on innovation capability in the case of China. Technology in Society, 2023. 75: p. 102396.</w:t>
      </w:r>
      <w:bookmarkEnd w:id="87"/>
    </w:p>
    <w:p w14:paraId="6909D4B3">
      <w:pPr>
        <w:pStyle w:val="27"/>
        <w:numPr>
          <w:ilvl w:val="0"/>
          <w:numId w:val="4"/>
        </w:numPr>
        <w:wordWrap w:val="0"/>
        <w:ind w:left="442" w:hanging="442" w:firstLineChars="0"/>
        <w:rPr>
          <w:rFonts w:hint="eastAsia" w:ascii="宋体" w:hAnsi="宋体"/>
          <w:color w:val="000000" w:themeColor="text1"/>
          <w:szCs w:val="24"/>
          <w:shd w:val="clear" w:color="auto" w:fill="FFFFFF"/>
          <w14:textFill>
            <w14:solidFill>
              <w14:schemeClr w14:val="tx1"/>
            </w14:solidFill>
          </w14:textFill>
        </w:rPr>
      </w:pPr>
      <w:bookmarkStart w:id="88" w:name="_Ref228913316"/>
      <w:r>
        <w:rPr>
          <w:rFonts w:ascii="宋体" w:hAnsi="宋体"/>
          <w:color w:val="000000" w:themeColor="text1"/>
          <w:szCs w:val="24"/>
          <w:shd w:val="clear" w:color="auto" w:fill="FFFFFF"/>
          <w14:textFill>
            <w14:solidFill>
              <w14:schemeClr w14:val="tx1"/>
            </w14:solidFill>
          </w14:textFill>
        </w:rPr>
        <w:t>Wang R, Xu C K, Wu X. Open Government Data (OGD) as a catalyst for smart city development: Empirical evidence from Chinese cities[J]. Government Information Quarterly, 2024,41(4):101983.</w:t>
      </w:r>
      <w:bookmarkEnd w:id="88"/>
    </w:p>
    <w:p w14:paraId="3931D0A3">
      <w:pPr>
        <w:pStyle w:val="27"/>
        <w:numPr>
          <w:ilvl w:val="0"/>
          <w:numId w:val="4"/>
        </w:numPr>
        <w:wordWrap w:val="0"/>
        <w:ind w:left="442" w:hanging="442" w:firstLineChars="0"/>
        <w:rPr>
          <w:rFonts w:ascii="宋体" w:hAnsi="宋体"/>
          <w:color w:val="000000" w:themeColor="text1"/>
          <w:szCs w:val="24"/>
          <w:shd w:val="clear" w:color="auto" w:fill="FFFFFF"/>
          <w14:textFill>
            <w14:solidFill>
              <w14:schemeClr w14:val="tx1"/>
            </w14:solidFill>
          </w14:textFill>
        </w:rPr>
      </w:pPr>
      <w:bookmarkStart w:id="89" w:name="_Ref228913714"/>
      <w:r>
        <w:rPr>
          <w:rFonts w:ascii="宋体" w:hAnsi="宋体"/>
          <w:color w:val="000000" w:themeColor="text1"/>
          <w:szCs w:val="24"/>
          <w:shd w:val="clear" w:color="auto" w:fill="FFFFFF"/>
          <w14:textFill>
            <w14:solidFill>
              <w14:schemeClr w14:val="tx1"/>
            </w14:solidFill>
          </w14:textFill>
        </w:rPr>
        <w:t>Pfeffer, J., &amp; Salancik, G. R. (1978). The External Control of Organizations: A Resource Dependence Perspective. Harper &amp; Row.</w:t>
      </w:r>
      <w:bookmarkEnd w:id="89"/>
    </w:p>
    <w:p w14:paraId="471DCF7C">
      <w:pPr>
        <w:pStyle w:val="27"/>
        <w:numPr>
          <w:ilvl w:val="0"/>
          <w:numId w:val="4"/>
        </w:numPr>
        <w:wordWrap w:val="0"/>
        <w:ind w:left="442" w:hanging="442" w:firstLineChars="0"/>
        <w:rPr>
          <w:rFonts w:ascii="宋体" w:hAnsi="宋体"/>
          <w:color w:val="000000" w:themeColor="text1"/>
          <w:szCs w:val="24"/>
          <w:shd w:val="clear" w:color="auto" w:fill="FFFFFF"/>
          <w14:textFill>
            <w14:solidFill>
              <w14:schemeClr w14:val="tx1"/>
            </w14:solidFill>
          </w14:textFill>
        </w:rPr>
      </w:pPr>
      <w:bookmarkStart w:id="90" w:name="_Ref228913717"/>
      <w:r>
        <w:rPr>
          <w:rFonts w:ascii="宋体" w:hAnsi="宋体"/>
          <w:color w:val="000000" w:themeColor="text1"/>
          <w:szCs w:val="24"/>
          <w:shd w:val="clear" w:color="auto" w:fill="FFFFFF"/>
          <w14:textFill>
            <w14:solidFill>
              <w14:schemeClr w14:val="tx1"/>
            </w14:solidFill>
          </w14:textFill>
        </w:rPr>
        <w:t>North, D.C. (1990). Institutions, institutional change and economic performance. Cambridge University Press.</w:t>
      </w:r>
      <w:bookmarkEnd w:id="90"/>
    </w:p>
    <w:p w14:paraId="3284D2D3">
      <w:pPr>
        <w:pStyle w:val="27"/>
        <w:numPr>
          <w:ilvl w:val="0"/>
          <w:numId w:val="4"/>
        </w:numPr>
        <w:wordWrap w:val="0"/>
        <w:ind w:left="442" w:hanging="442" w:firstLineChars="0"/>
        <w:rPr>
          <w:rFonts w:hint="eastAsia" w:ascii="宋体" w:hAnsi="宋体"/>
          <w:color w:val="000000" w:themeColor="text1"/>
          <w:szCs w:val="24"/>
          <w:shd w:val="clear" w:color="auto" w:fill="FFFFFF"/>
          <w14:textFill>
            <w14:solidFill>
              <w14:schemeClr w14:val="tx1"/>
            </w14:solidFill>
          </w14:textFill>
        </w:rPr>
      </w:pPr>
      <w:bookmarkStart w:id="91" w:name="_Ref228913720"/>
      <w:r>
        <w:rPr>
          <w:rFonts w:ascii="宋体" w:hAnsi="宋体"/>
          <w:color w:val="000000" w:themeColor="text1"/>
          <w:szCs w:val="24"/>
          <w:shd w:val="clear" w:color="auto" w:fill="FFFFFF"/>
          <w14:textFill>
            <w14:solidFill>
              <w14:schemeClr w14:val="tx1"/>
            </w14:solidFill>
          </w14:textFill>
        </w:rPr>
        <w:t>Modigliani, F., &amp; Miller, M.H. (1958). The cost of capital, corporation finance and the theory of investment. American Economic Review, 48(3), 261-297.</w:t>
      </w:r>
      <w:bookmarkEnd w:id="91"/>
    </w:p>
    <w:p w14:paraId="700856AE">
      <w:pPr>
        <w:pStyle w:val="27"/>
        <w:numPr>
          <w:ilvl w:val="0"/>
          <w:numId w:val="4"/>
        </w:numPr>
        <w:wordWrap w:val="0"/>
        <w:ind w:left="442" w:hanging="442" w:firstLineChars="0"/>
        <w:rPr>
          <w:rFonts w:ascii="宋体" w:hAnsi="宋体"/>
          <w:color w:val="000000" w:themeColor="text1"/>
          <w:szCs w:val="24"/>
          <w:shd w:val="clear" w:color="auto" w:fill="FFFFFF"/>
          <w14:textFill>
            <w14:solidFill>
              <w14:schemeClr w14:val="tx1"/>
            </w14:solidFill>
          </w14:textFill>
        </w:rPr>
      </w:pPr>
      <w:bookmarkStart w:id="92" w:name="_Ref228914135"/>
      <w:r>
        <w:rPr>
          <w:rFonts w:ascii="宋体" w:hAnsi="宋体"/>
          <w:color w:val="000000" w:themeColor="text1"/>
          <w:szCs w:val="24"/>
          <w:shd w:val="clear" w:color="auto" w:fill="FFFFFF"/>
          <w14:textFill>
            <w14:solidFill>
              <w14:schemeClr w14:val="tx1"/>
            </w14:solidFill>
          </w14:textFill>
        </w:rPr>
        <w:t>Dawes S S. Stewardship and usefulness: Policy principles for information-based transparency[J]. Government Information Quarterly, 2010,27(4):377-383.</w:t>
      </w:r>
      <w:bookmarkEnd w:id="92"/>
    </w:p>
    <w:p w14:paraId="085F4317">
      <w:pPr>
        <w:pStyle w:val="27"/>
        <w:numPr>
          <w:ilvl w:val="0"/>
          <w:numId w:val="4"/>
        </w:numPr>
        <w:wordWrap w:val="0"/>
        <w:ind w:left="442" w:hanging="442" w:firstLineChars="0"/>
        <w:rPr>
          <w:rFonts w:ascii="宋体" w:hAnsi="宋体"/>
          <w:color w:val="000000" w:themeColor="text1"/>
          <w:szCs w:val="24"/>
          <w:shd w:val="clear" w:color="auto" w:fill="FFFFFF"/>
          <w14:textFill>
            <w14:solidFill>
              <w14:schemeClr w14:val="tx1"/>
            </w14:solidFill>
          </w14:textFill>
        </w:rPr>
      </w:pPr>
      <w:r>
        <w:rPr>
          <w:rFonts w:ascii="宋体" w:hAnsi="宋体"/>
          <w:color w:val="000000" w:themeColor="text1"/>
          <w:szCs w:val="24"/>
          <w:shd w:val="clear" w:color="auto" w:fill="FFFFFF"/>
          <w14:textFill>
            <w14:solidFill>
              <w14:schemeClr w14:val="tx1"/>
            </w14:solidFill>
          </w14:textFill>
        </w:rPr>
        <w:t>Janssen M, Charalabidis Y, Zuiderwijk A. Benefits, Adoption Barriers and Myths of Open Data and Open Government[J]. Information Systems Management, 2012,29(4):258-268.</w:t>
      </w:r>
    </w:p>
    <w:p w14:paraId="63BF69E8">
      <w:pPr>
        <w:pStyle w:val="27"/>
        <w:numPr>
          <w:ilvl w:val="0"/>
          <w:numId w:val="4"/>
        </w:numPr>
        <w:wordWrap w:val="0"/>
        <w:ind w:left="442" w:hanging="442" w:firstLineChars="0"/>
        <w:rPr>
          <w:rFonts w:ascii="宋体" w:hAnsi="宋体"/>
          <w:color w:val="000000" w:themeColor="text1"/>
          <w:szCs w:val="24"/>
          <w:shd w:val="clear" w:color="auto" w:fill="FFFFFF"/>
          <w14:textFill>
            <w14:solidFill>
              <w14:schemeClr w14:val="tx1"/>
            </w14:solidFill>
          </w14:textFill>
        </w:rPr>
      </w:pPr>
      <w:bookmarkStart w:id="93" w:name="_Ref12122"/>
      <w:r>
        <w:rPr>
          <w:rFonts w:hint="eastAsia" w:ascii="宋体" w:hAnsi="宋体"/>
          <w:color w:val="000000" w:themeColor="text1"/>
          <w:szCs w:val="24"/>
          <w:shd w:val="clear" w:color="auto" w:fill="FFFFFF"/>
          <w14:textFill>
            <w14:solidFill>
              <w14:schemeClr w14:val="tx1"/>
            </w14:solidFill>
          </w14:textFill>
        </w:rPr>
        <w:t>Gu J, Jiang X, Shi Z, et al. A survey on llm-as-a-judge[J]. The Innovation, 2024.</w:t>
      </w:r>
      <w:bookmarkEnd w:id="93"/>
    </w:p>
    <w:p w14:paraId="0FD1A2E0">
      <w:pPr>
        <w:pStyle w:val="27"/>
        <w:numPr>
          <w:ilvl w:val="0"/>
          <w:numId w:val="4"/>
        </w:numPr>
        <w:wordWrap w:val="0"/>
        <w:ind w:left="442" w:hanging="442" w:firstLineChars="0"/>
        <w:rPr>
          <w:rFonts w:hint="eastAsia" w:ascii="宋体" w:hAnsi="宋体"/>
          <w:color w:val="000000" w:themeColor="text1"/>
          <w:szCs w:val="24"/>
          <w:shd w:val="clear" w:color="auto" w:fill="FFFFFF"/>
          <w14:textFill>
            <w14:solidFill>
              <w14:schemeClr w14:val="tx1"/>
            </w14:solidFill>
          </w14:textFill>
        </w:rPr>
      </w:pPr>
      <w:bookmarkStart w:id="94" w:name="_Ref12126"/>
      <w:r>
        <w:rPr>
          <w:rFonts w:hint="eastAsia" w:ascii="宋体" w:hAnsi="宋体"/>
          <w:color w:val="000000" w:themeColor="text1"/>
          <w:szCs w:val="24"/>
          <w:shd w:val="clear" w:color="auto" w:fill="FFFFFF"/>
          <w14:textFill>
            <w14:solidFill>
              <w14:schemeClr w14:val="tx1"/>
            </w14:solidFill>
          </w14:textFill>
        </w:rPr>
        <w:t>Ye J, Wang Y, Huang Y, et al. Justice or prejudice quantifying biases in llm-as-a-judge[C]International Conference on Learning Representations. 2025, 2025 102351-102390.</w:t>
      </w:r>
      <w:bookmarkEnd w:id="94"/>
    </w:p>
    <w:p w14:paraId="16830E11">
      <w:pPr>
        <w:pStyle w:val="27"/>
        <w:numPr>
          <w:ilvl w:val="0"/>
          <w:numId w:val="4"/>
        </w:numPr>
        <w:wordWrap w:val="0"/>
        <w:ind w:left="442" w:hanging="442" w:firstLineChars="0"/>
        <w:rPr>
          <w:rFonts w:ascii="宋体" w:hAnsi="宋体"/>
          <w:color w:val="000000" w:themeColor="text1"/>
          <w:szCs w:val="24"/>
          <w:shd w:val="clear" w:color="auto" w:fill="FFFFFF"/>
          <w14:textFill>
            <w14:solidFill>
              <w14:schemeClr w14:val="tx1"/>
            </w14:solidFill>
          </w14:textFill>
        </w:rPr>
      </w:pPr>
      <w:bookmarkStart w:id="95" w:name="_Ref12132"/>
      <w:r>
        <w:rPr>
          <w:rFonts w:hint="eastAsia" w:ascii="宋体" w:hAnsi="宋体"/>
          <w:color w:val="000000" w:themeColor="text1"/>
          <w:szCs w:val="24"/>
          <w:shd w:val="clear" w:color="auto" w:fill="FFFFFF"/>
          <w14:textFill>
            <w14:solidFill>
              <w14:schemeClr w14:val="tx1"/>
            </w14:solidFill>
          </w14:textFill>
        </w:rPr>
        <w:t>Chen D, Chen R, Zhang S, et al. Mllm-as-a-judge: Assessing multimodal llm-as-a-judge with vision-language benchmark[C]//Forty-first International Conference on Machine Learning. 2024.</w:t>
      </w:r>
      <w:bookmarkEnd w:id="95"/>
    </w:p>
    <w:p w14:paraId="7BAB215E">
      <w:pPr>
        <w:widowControl/>
        <w:ind w:left="0" w:leftChars="0" w:firstLine="0" w:firstLineChars="0"/>
        <w:jc w:val="left"/>
        <w:rPr>
          <w:rFonts w:hint="eastAsia" w:ascii="宋体" w:hAnsi="宋体"/>
          <w:szCs w:val="24"/>
        </w:rPr>
      </w:pPr>
      <w:r>
        <w:rPr>
          <w:rFonts w:ascii="宋体" w:hAnsi="宋体"/>
          <w:szCs w:val="24"/>
        </w:rPr>
        <w:br w:type="page"/>
      </w:r>
    </w:p>
    <w:p w14:paraId="6F2C172B">
      <w:pPr>
        <w:pStyle w:val="2"/>
        <w:numPr>
          <w:ilvl w:val="0"/>
          <w:numId w:val="0"/>
        </w:numPr>
        <w:rPr>
          <w:rFonts w:hint="eastAsia" w:ascii="黑体" w:hAnsi="黑体"/>
          <w:bCs w:val="0"/>
          <w:sz w:val="28"/>
          <w:szCs w:val="28"/>
        </w:rPr>
      </w:pPr>
      <w:bookmarkStart w:id="96" w:name="_Toc228914718"/>
      <w:r>
        <w:rPr>
          <w:rFonts w:hint="eastAsia" w:ascii="黑体" w:hAnsi="黑体"/>
          <w:bCs w:val="0"/>
          <w:sz w:val="28"/>
          <w:szCs w:val="28"/>
        </w:rPr>
        <w:t>八、附录</w:t>
      </w:r>
      <w:bookmarkEnd w:id="96"/>
    </w:p>
    <w:p w14:paraId="0981CEED">
      <w:pPr>
        <w:ind w:firstLine="560"/>
        <w:jc w:val="left"/>
        <w:rPr>
          <w:rFonts w:hint="eastAsia" w:ascii="黑体" w:hAnsi="黑体" w:eastAsia="黑体"/>
          <w:sz w:val="28"/>
          <w:szCs w:val="28"/>
        </w:rPr>
      </w:pPr>
    </w:p>
    <w:p w14:paraId="53EC08C7">
      <w:pPr>
        <w:widowControl/>
        <w:ind w:firstLine="560"/>
        <w:jc w:val="left"/>
        <w:rPr>
          <w:rFonts w:hint="eastAsia" w:ascii="黑体" w:hAnsi="黑体" w:eastAsia="黑体"/>
          <w:sz w:val="28"/>
          <w:szCs w:val="28"/>
        </w:rPr>
      </w:pPr>
      <w:r>
        <w:rPr>
          <w:rFonts w:ascii="黑体" w:hAnsi="黑体" w:eastAsia="黑体"/>
          <w:sz w:val="28"/>
          <w:szCs w:val="28"/>
        </w:rPr>
        <w:br w:type="page"/>
      </w:r>
    </w:p>
    <w:p w14:paraId="21199A5A">
      <w:pPr>
        <w:pStyle w:val="2"/>
        <w:numPr>
          <w:ilvl w:val="0"/>
          <w:numId w:val="0"/>
        </w:numPr>
        <w:jc w:val="center"/>
        <w:rPr>
          <w:rFonts w:hint="eastAsia" w:ascii="黑体" w:hAnsi="黑体"/>
          <w:bCs w:val="0"/>
          <w:sz w:val="28"/>
          <w:szCs w:val="28"/>
        </w:rPr>
      </w:pPr>
      <w:bookmarkStart w:id="97" w:name="_Toc228914719"/>
      <w:r>
        <w:rPr>
          <w:rFonts w:hint="eastAsia" w:ascii="黑体" w:hAnsi="黑体"/>
          <w:bCs w:val="0"/>
          <w:sz w:val="28"/>
          <w:szCs w:val="28"/>
        </w:rPr>
        <w:t>九、致谢</w:t>
      </w:r>
      <w:bookmarkEnd w:id="97"/>
    </w:p>
    <w:p w14:paraId="486D6A0B">
      <w:pPr>
        <w:ind w:firstLine="480"/>
        <w:jc w:val="right"/>
        <w:rPr>
          <w:rFonts w:hint="eastAsia" w:ascii="宋体" w:hAnsi="宋体"/>
          <w:szCs w:val="24"/>
        </w:rPr>
      </w:pPr>
    </w:p>
    <w:p w14:paraId="690FADC6">
      <w:pPr>
        <w:bidi w:val="0"/>
        <w:rPr>
          <w:rFonts w:hint="eastAsia"/>
        </w:rPr>
      </w:pPr>
      <w:r>
        <w:rPr>
          <w:rFonts w:hint="eastAsia"/>
        </w:rPr>
        <w:t>衷心感谢统计建模大赛主办方给予的宝贵机会，让我们得以检验自身所学，深刻感悟专业知识的价值与意义。</w:t>
      </w:r>
    </w:p>
    <w:p w14:paraId="7BB574A9">
      <w:pPr>
        <w:bidi w:val="0"/>
        <w:rPr>
          <w:rFonts w:hint="eastAsia"/>
        </w:rPr>
      </w:pPr>
      <w:r>
        <w:rPr>
          <w:rFonts w:hint="eastAsia"/>
        </w:rPr>
        <w:t>衷心感谢</w:t>
      </w:r>
      <w:r>
        <w:rPr>
          <w:rFonts w:hint="eastAsia"/>
          <w:lang w:val="en-US" w:eastAsia="zh-CN"/>
        </w:rPr>
        <w:t>我们</w:t>
      </w:r>
      <w:r>
        <w:rPr>
          <w:rFonts w:hint="eastAsia"/>
        </w:rPr>
        <w:t>的指导老师，在比赛期间为我们耐心指点方向、细心打磨选题，给出诸多专业建议与悉心指导，为我们破除难题、理清思路，让我们受益匪浅。</w:t>
      </w:r>
    </w:p>
    <w:p w14:paraId="2FE5D35C">
      <w:pPr>
        <w:bidi w:val="0"/>
        <w:rPr>
          <w:rFonts w:hint="eastAsia"/>
        </w:rPr>
      </w:pPr>
      <w:r>
        <w:rPr>
          <w:rFonts w:hint="eastAsia"/>
        </w:rPr>
        <w:t>感谢并肩作战的每位队友，比赛中大家各司其职、互帮互助、共同进退，齐心协力克服重重困难，携手高效完成本次建模任务。</w:t>
      </w:r>
    </w:p>
    <w:p w14:paraId="55F57E5C">
      <w:pPr>
        <w:bidi w:val="0"/>
        <w:rPr>
          <w:rFonts w:hint="eastAsia"/>
        </w:rPr>
      </w:pPr>
      <w:r>
        <w:rPr>
          <w:rFonts w:hint="eastAsia"/>
        </w:rPr>
        <w:t>灵魂的渴望是命运的先知。愿往后岁月，我们持续精进专业技艺，永葆求知初心，步履不停、潜心钻研，立志为统计学领域的发展贡献绵薄之力。最后，由衷感谢所有深耕统计行业、默默付出的前辈们！</w:t>
      </w:r>
    </w:p>
    <w:p w14:paraId="6C0D0EC5">
      <w:pPr>
        <w:bidi w:val="0"/>
        <w:rPr>
          <w:rFonts w:hint="eastAsia"/>
        </w:rPr>
      </w:pPr>
    </w:p>
    <w:p w14:paraId="5C35C015">
      <w:pPr>
        <w:bidi w:val="0"/>
        <w:jc w:val="right"/>
        <w:rPr>
          <w:rFonts w:hint="eastAsia" w:ascii="宋体" w:hAnsi="宋体"/>
          <w:szCs w:val="24"/>
        </w:rPr>
      </w:pPr>
      <w:r>
        <w:rPr>
          <w:rFonts w:hint="eastAsia"/>
        </w:rPr>
        <w:t>202</w:t>
      </w:r>
      <w:r>
        <w:rPr>
          <w:rFonts w:hint="eastAsia"/>
          <w:lang w:val="en-US" w:eastAsia="zh-CN"/>
        </w:rPr>
        <w:t>6</w:t>
      </w:r>
      <w:r>
        <w:rPr>
          <w:rFonts w:hint="eastAsia" w:ascii="宋体" w:hAnsi="宋体"/>
          <w:szCs w:val="24"/>
        </w:rPr>
        <w:t>年5月</w:t>
      </w:r>
      <w:r>
        <w:rPr>
          <w:rFonts w:hint="eastAsia" w:ascii="宋体" w:hAnsi="宋体"/>
          <w:szCs w:val="24"/>
          <w:lang w:val="en-US" w:eastAsia="zh-CN"/>
        </w:rPr>
        <w:t>6</w:t>
      </w:r>
      <w:r>
        <w:rPr>
          <w:rFonts w:hint="eastAsia" w:ascii="宋体" w:hAnsi="宋体"/>
          <w:szCs w:val="24"/>
        </w:rPr>
        <w:t>日</w:t>
      </w:r>
    </w:p>
    <w:p w14:paraId="1516C1B8">
      <w:pPr>
        <w:ind w:firstLine="480"/>
        <w:jc w:val="right"/>
        <w:rPr>
          <w:rFonts w:hint="eastAsia" w:ascii="宋体" w:hAnsi="宋体"/>
          <w:szCs w:val="24"/>
        </w:rPr>
      </w:pPr>
    </w:p>
    <w:p w14:paraId="25126C63">
      <w:pPr>
        <w:ind w:firstLine="480"/>
        <w:jc w:val="right"/>
        <w:rPr>
          <w:rFonts w:hint="eastAsia" w:ascii="宋体" w:hAnsi="宋体"/>
          <w:szCs w:val="24"/>
        </w:rPr>
      </w:pPr>
    </w:p>
    <w:p w14:paraId="4ED4E2D0">
      <w:pPr>
        <w:ind w:firstLine="480"/>
        <w:jc w:val="right"/>
        <w:rPr>
          <w:rFonts w:hint="eastAsia" w:ascii="宋体" w:hAnsi="宋体"/>
          <w:szCs w:val="24"/>
        </w:rPr>
      </w:pPr>
    </w:p>
    <w:p w14:paraId="580E1F07">
      <w:pPr>
        <w:ind w:firstLine="480"/>
        <w:jc w:val="right"/>
        <w:rPr>
          <w:rFonts w:hint="eastAsia" w:ascii="宋体" w:hAnsi="宋体"/>
          <w:szCs w:val="24"/>
        </w:rPr>
      </w:pPr>
    </w:p>
    <w:p w14:paraId="30C924BD">
      <w:pPr>
        <w:ind w:firstLine="480"/>
        <w:jc w:val="right"/>
        <w:rPr>
          <w:rFonts w:hint="eastAsia" w:ascii="宋体" w:hAnsi="宋体"/>
          <w:szCs w:val="24"/>
        </w:rPr>
      </w:pPr>
    </w:p>
    <w:p w14:paraId="2F932E4B">
      <w:pPr>
        <w:ind w:firstLine="480"/>
        <w:jc w:val="right"/>
        <w:rPr>
          <w:rFonts w:hint="eastAsia" w:ascii="宋体" w:hAnsi="宋体"/>
          <w:szCs w:val="24"/>
        </w:rPr>
      </w:pPr>
    </w:p>
    <w:p w14:paraId="3C63BF99">
      <w:pPr>
        <w:ind w:firstLine="480"/>
        <w:jc w:val="right"/>
        <w:rPr>
          <w:rFonts w:hint="eastAsia" w:ascii="宋体" w:hAnsi="宋体"/>
          <w:szCs w:val="24"/>
        </w:rPr>
      </w:pPr>
    </w:p>
    <w:p w14:paraId="59BA2DF1">
      <w:pPr>
        <w:ind w:firstLine="480"/>
        <w:jc w:val="right"/>
        <w:rPr>
          <w:rFonts w:hint="eastAsia" w:ascii="宋体" w:hAnsi="宋体"/>
          <w:szCs w:val="24"/>
        </w:rPr>
      </w:pPr>
    </w:p>
    <w:p w14:paraId="56815CD4">
      <w:pPr>
        <w:ind w:firstLine="480"/>
        <w:jc w:val="right"/>
        <w:rPr>
          <w:rFonts w:hint="eastAsia" w:ascii="宋体" w:hAnsi="宋体"/>
          <w:szCs w:val="24"/>
        </w:rPr>
      </w:pPr>
    </w:p>
    <w:p w14:paraId="3BD30888">
      <w:pPr>
        <w:ind w:firstLine="480"/>
        <w:jc w:val="right"/>
        <w:rPr>
          <w:rFonts w:hint="eastAsia" w:ascii="宋体" w:hAnsi="宋体"/>
          <w:szCs w:val="24"/>
        </w:rPr>
      </w:pPr>
    </w:p>
    <w:sectPr>
      <w:footerReference r:id="rId11" w:type="default"/>
      <w:pgSz w:w="11906" w:h="16838"/>
      <w:pgMar w:top="1440" w:right="1800" w:bottom="1440" w:left="1800" w:header="851" w:footer="992"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1B3C4770-3D39-4D94-8747-866BFADE794B}"/>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embedRegular r:id="rId2" w:fontKey="{EDF4923F-800B-4039-BC4F-C78BF7C322A3}"/>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embedRegular r:id="rId3" w:fontKey="{D76DC429-2759-449B-9178-F506BE85258A}"/>
  </w:font>
  <w:font w:name="微软雅黑">
    <w:panose1 w:val="020B0503020204020204"/>
    <w:charset w:val="86"/>
    <w:family w:val="swiss"/>
    <w:pitch w:val="default"/>
    <w:sig w:usb0="80000287" w:usb1="2ACF3C50" w:usb2="00000016" w:usb3="00000000" w:csb0="0004001F" w:csb1="00000000"/>
    <w:embedRegular r:id="rId4" w:fontKey="{2973C8E4-544F-4BC8-B638-C8D10752A961}"/>
  </w:font>
  <w:font w:name="Aptos">
    <w:altName w:val="Segoe Print"/>
    <w:panose1 w:val="00000000000000000000"/>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 w:name="隶书">
    <w:panose1 w:val="02010509060101010101"/>
    <w:charset w:val="86"/>
    <w:family w:val="modern"/>
    <w:pitch w:val="default"/>
    <w:sig w:usb0="00000001" w:usb1="080E0000" w:usb2="00000000" w:usb3="00000000" w:csb0="00040000" w:csb1="00000000"/>
  </w:font>
  <w:font w:name="方正小标宋_GBK">
    <w:altName w:val="方正小标宋简体"/>
    <w:panose1 w:val="00000000000000000000"/>
    <w:charset w:val="00"/>
    <w:family w:val="auto"/>
    <w:pitch w:val="default"/>
    <w:sig w:usb0="00000000" w:usb1="00000000" w:usb2="00000000" w:usb3="00000000" w:csb0="00000000" w:csb1="00000000"/>
    <w:embedRegular r:id="rId5" w:fontKey="{F3011090-852A-4929-B33F-0715797C851C}"/>
  </w:font>
  <w:font w:name="方正小标宋简体">
    <w:panose1 w:val="03000509000000000000"/>
    <w:charset w:val="86"/>
    <w:family w:val="script"/>
    <w:pitch w:val="default"/>
    <w:sig w:usb0="00000001" w:usb1="080E0000" w:usb2="00000000" w:usb3="00000000" w:csb0="00040000" w:csb1="00000000"/>
    <w:embedRegular r:id="rId6" w:fontKey="{15142609-C42A-4893-AC36-456DA38E0ED5}"/>
  </w:font>
  <w:font w:name="仿宋_GB2312">
    <w:panose1 w:val="02010609030101010101"/>
    <w:charset w:val="86"/>
    <w:family w:val="modern"/>
    <w:pitch w:val="default"/>
    <w:sig w:usb0="00000001" w:usb1="080E0000" w:usb2="00000000" w:usb3="00000000" w:csb0="00040000" w:csb1="00000000"/>
  </w:font>
  <w:font w:name="Times New Roman Regular">
    <w:altName w:val="Times New Roman"/>
    <w:panose1 w:val="02020503050405090304"/>
    <w:charset w:val="00"/>
    <w:family w:val="auto"/>
    <w:pitch w:val="default"/>
    <w:sig w:usb0="00000000" w:usb1="00000000" w:usb2="00000001" w:usb3="00000000" w:csb0="400001BF" w:csb1="DFF70000"/>
    <w:embedRegular r:id="rId7" w:fontKey="{9FDF266B-15DC-40F1-A651-E618C699DEF5}"/>
  </w:font>
  <w:font w:name="___WRD_EMBED_SUB_49">
    <w:altName w:val="宋体"/>
    <w:panose1 w:val="00000000000000000000"/>
    <w:charset w:val="86"/>
    <w:family w:val="auto"/>
    <w:pitch w:val="default"/>
    <w:sig w:usb0="00000000" w:usb1="00000000" w:usb2="00082016" w:usb3="00000000" w:csb0="00040001" w:csb1="00000000"/>
    <w:embedRegular r:id="rId8" w:fontKey="{72253416-9A29-48B4-BA83-495449152822}"/>
  </w:font>
  <w:font w:name="Cambria Math">
    <w:panose1 w:val="02040503050406030204"/>
    <w:charset w:val="00"/>
    <w:family w:val="roman"/>
    <w:pitch w:val="default"/>
    <w:sig w:usb0="E00006FF" w:usb1="420024FF" w:usb2="02000000" w:usb3="00000000" w:csb0="2000019F" w:csb1="00000000"/>
    <w:embedRegular r:id="rId9" w:fontKey="{E8A50664-F158-4BD5-B4C3-8F42D413F7D0}"/>
  </w:font>
  <w:font w:name="DejaVu Math TeX Gyre">
    <w:panose1 w:val="02000503000000000000"/>
    <w:charset w:val="00"/>
    <w:family w:val="auto"/>
    <w:pitch w:val="default"/>
    <w:sig w:usb0="A10000EF" w:usb1="4201F9EE" w:usb2="02000000" w:usb3="00000000" w:csb0="60000193" w:csb1="0DD40000"/>
    <w:embedRegular r:id="rId10" w:fontKey="{358CD0E6-3F51-4C96-9B6D-E242479B6A00}"/>
  </w:font>
  <w:font w:name="WPSEMBED1">
    <w:panose1 w:val="03000509000000000000"/>
    <w:charset w:val="86"/>
    <w:family w:val="auto"/>
    <w:pitch w:val="default"/>
    <w:sig w:usb0="00000001" w:usb1="080E0000" w:usb2="00000000" w:usb3="00000000" w:csb0="00040000" w:csb1="00000000"/>
  </w:font>
  <w:font w:name="WPSEMBED2">
    <w:panose1 w:val="02010609030101010101"/>
    <w:charset w:val="86"/>
    <w:family w:val="auto"/>
    <w:pitch w:val="default"/>
    <w:sig w:usb0="00000001" w:usb1="080E0000" w:usb2="00000000" w:usb3="00000000" w:csb0="00040000" w:csb1="00000000"/>
  </w:font>
  <w:font w:name="MS PGothic">
    <w:panose1 w:val="020B0600070205080204"/>
    <w:charset w:val="80"/>
    <w:family w:val="auto"/>
    <w:pitch w:val="default"/>
    <w:sig w:usb0="E00002FF" w:usb1="6AC7FDFB" w:usb2="08000012" w:usb3="00000000" w:csb0="4002009F" w:csb1="DFD7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009245429"/>
    </w:sdtPr>
    <w:sdtContent>
      <w:p w14:paraId="5562B76D">
        <w:pPr>
          <w:pStyle w:val="15"/>
          <w:ind w:firstLine="360"/>
          <w:jc w:val="center"/>
        </w:pPr>
        <w:r>
          <w:fldChar w:fldCharType="begin"/>
        </w:r>
        <w:r>
          <w:instrText xml:space="preserve">PAGE   \* MERGEFORMAT</w:instrText>
        </w:r>
        <w:r>
          <w:fldChar w:fldCharType="separate"/>
        </w:r>
        <w:r>
          <w:rPr>
            <w:lang w:val="zh-CN"/>
          </w:rPr>
          <w:t>2</w:t>
        </w:r>
        <w:r>
          <w:fldChar w:fldCharType="end"/>
        </w:r>
      </w:p>
    </w:sdtContent>
  </w:sdt>
  <w:p w14:paraId="4723A0FF">
    <w:pPr>
      <w:ind w:firstLine="48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051F0B">
    <w:pPr>
      <w:pStyle w:val="15"/>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7772AA">
    <w:pPr>
      <w:pStyle w:val="15"/>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90002858"/>
    </w:sdtPr>
    <w:sdtContent>
      <w:p w14:paraId="1C235EE0">
        <w:pPr>
          <w:pStyle w:val="15"/>
          <w:ind w:firstLine="360"/>
          <w:jc w:val="center"/>
        </w:pPr>
        <w:r>
          <w:fldChar w:fldCharType="begin"/>
        </w:r>
        <w:r>
          <w:instrText xml:space="preserve">PAGE   \* MERGEFORMAT</w:instrText>
        </w:r>
        <w:r>
          <w:fldChar w:fldCharType="separate"/>
        </w:r>
        <w:r>
          <w:rPr>
            <w:lang w:val="zh-CN"/>
          </w:rPr>
          <w:t>2</w:t>
        </w:r>
        <w:r>
          <w:fldChar w:fldCharType="end"/>
        </w:r>
      </w:p>
    </w:sdtContent>
  </w:sdt>
  <w:p w14:paraId="2407B2BC">
    <w:pPr>
      <w:ind w:firstLine="48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0C775">
    <w:pPr>
      <w:ind w:firstLine="0" w:firstLineChars="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FAF994">
    <w:pPr>
      <w:pStyle w:val="16"/>
      <w:pBdr>
        <w:bottom w:val="none" w:color="auto" w:sz="0" w:space="0"/>
      </w:pBdr>
      <w:ind w:firstLine="360"/>
    </w:pPr>
  </w:p>
  <w:p w14:paraId="76457290">
    <w:pPr>
      <w:ind w:firstLine="480"/>
    </w:pPr>
  </w:p>
  <w:p w14:paraId="6148E94F">
    <w:pPr>
      <w:ind w:firstLine="48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49BCCE">
    <w:pPr>
      <w:pStyle w:val="16"/>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C90DAAC"/>
    <w:multiLevelType w:val="multilevel"/>
    <w:tmpl w:val="9C90DAAC"/>
    <w:lvl w:ilvl="0" w:tentative="0">
      <w:start w:val="1"/>
      <w:numFmt w:val="chineseCounting"/>
      <w:pStyle w:val="2"/>
      <w:suff w:val="nothing"/>
      <w:lvlText w:val="%1、"/>
      <w:lvlJc w:val="left"/>
      <w:pPr>
        <w:ind w:left="0" w:firstLine="0"/>
      </w:pPr>
      <w:rPr>
        <w:rFonts w:hint="eastAsia"/>
      </w:rPr>
    </w:lvl>
    <w:lvl w:ilvl="1" w:tentative="0">
      <w:start w:val="1"/>
      <w:numFmt w:val="chineseCounting"/>
      <w:pStyle w:val="3"/>
      <w:suff w:val="nothing"/>
      <w:lvlText w:val="（%2）"/>
      <w:lvlJc w:val="left"/>
      <w:pPr>
        <w:ind w:left="0" w:firstLine="0"/>
      </w:pPr>
      <w:rPr>
        <w:rFonts w:hint="eastAsia"/>
      </w:rPr>
    </w:lvl>
    <w:lvl w:ilvl="2" w:tentative="0">
      <w:start w:val="1"/>
      <w:numFmt w:val="decimal"/>
      <w:pStyle w:val="4"/>
      <w:suff w:val="nothing"/>
      <w:lvlText w:val="%3．"/>
      <w:lvlJc w:val="left"/>
      <w:pPr>
        <w:ind w:left="0" w:firstLine="400"/>
      </w:pPr>
      <w:rPr>
        <w:rFonts w:hint="default" w:ascii="Times New Roman" w:hAnsi="Times New Roman" w:cs="Times New Roman"/>
      </w:rPr>
    </w:lvl>
    <w:lvl w:ilvl="3" w:tentative="0">
      <w:start w:val="1"/>
      <w:numFmt w:val="decimal"/>
      <w:pStyle w:val="5"/>
      <w:suff w:val="nothing"/>
      <w:lvlText w:val="（%4）"/>
      <w:lvlJc w:val="left"/>
      <w:pPr>
        <w:ind w:left="0" w:firstLine="402"/>
      </w:pPr>
      <w:rPr>
        <w:rFonts w:hint="eastAsia"/>
      </w:rPr>
    </w:lvl>
    <w:lvl w:ilvl="4" w:tentative="0">
      <w:start w:val="1"/>
      <w:numFmt w:val="decimalEnclosedCircleChinese"/>
      <w:pStyle w:val="6"/>
      <w:suff w:val="nothing"/>
      <w:lvlText w:val="%5"/>
      <w:lvlJc w:val="left"/>
      <w:pPr>
        <w:ind w:left="0" w:firstLine="402"/>
      </w:pPr>
      <w:rPr>
        <w:rFonts w:hint="eastAsia"/>
      </w:rPr>
    </w:lvl>
    <w:lvl w:ilvl="5" w:tentative="0">
      <w:start w:val="1"/>
      <w:numFmt w:val="decimal"/>
      <w:pStyle w:val="7"/>
      <w:suff w:val="nothing"/>
      <w:lvlText w:val="%6）"/>
      <w:lvlJc w:val="left"/>
      <w:pPr>
        <w:ind w:left="0" w:firstLine="402"/>
      </w:pPr>
      <w:rPr>
        <w:rFonts w:hint="eastAsia"/>
      </w:rPr>
    </w:lvl>
    <w:lvl w:ilvl="6" w:tentative="0">
      <w:start w:val="1"/>
      <w:numFmt w:val="lowerLetter"/>
      <w:pStyle w:val="8"/>
      <w:suff w:val="nothing"/>
      <w:lvlText w:val="%7．"/>
      <w:lvlJc w:val="left"/>
      <w:pPr>
        <w:ind w:left="0" w:firstLine="402"/>
      </w:pPr>
      <w:rPr>
        <w:rFonts w:hint="eastAsia"/>
      </w:rPr>
    </w:lvl>
    <w:lvl w:ilvl="7" w:tentative="0">
      <w:start w:val="1"/>
      <w:numFmt w:val="lowerLetter"/>
      <w:pStyle w:val="9"/>
      <w:suff w:val="nothing"/>
      <w:lvlText w:val="%8）"/>
      <w:lvlJc w:val="left"/>
      <w:pPr>
        <w:ind w:left="0" w:firstLine="402"/>
      </w:pPr>
      <w:rPr>
        <w:rFonts w:hint="eastAsia"/>
      </w:rPr>
    </w:lvl>
    <w:lvl w:ilvl="8" w:tentative="0">
      <w:start w:val="1"/>
      <w:numFmt w:val="lowerRoman"/>
      <w:pStyle w:val="10"/>
      <w:suff w:val="nothing"/>
      <w:lvlText w:val="%9 "/>
      <w:lvlJc w:val="left"/>
      <w:pPr>
        <w:ind w:left="0" w:firstLine="402"/>
      </w:pPr>
      <w:rPr>
        <w:rFonts w:hint="eastAsia"/>
      </w:rPr>
    </w:lvl>
  </w:abstractNum>
  <w:abstractNum w:abstractNumId="1">
    <w:nsid w:val="BEFEB0AA"/>
    <w:multiLevelType w:val="singleLevel"/>
    <w:tmpl w:val="BEFEB0AA"/>
    <w:lvl w:ilvl="0" w:tentative="0">
      <w:start w:val="2"/>
      <w:numFmt w:val="chineseCounting"/>
      <w:suff w:val="nothing"/>
      <w:lvlText w:val="（%1）"/>
      <w:lvlJc w:val="left"/>
      <w:rPr>
        <w:rFonts w:hint="eastAsia"/>
      </w:rPr>
    </w:lvl>
  </w:abstractNum>
  <w:abstractNum w:abstractNumId="2">
    <w:nsid w:val="6B446243"/>
    <w:multiLevelType w:val="multilevel"/>
    <w:tmpl w:val="6B446243"/>
    <w:lvl w:ilvl="0" w:tentative="0">
      <w:start w:val="1"/>
      <w:numFmt w:val="decimal"/>
      <w:lvlText w:val="[%1]."/>
      <w:lvlJc w:val="center"/>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 w:numId="2">
    <w:abstractNumId w:val="1"/>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TrueTypeFonts/>
  <w:saveSubsetFonts/>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U5ZWExOTBmZmQ2NWYzMjU5ZDEzY2U4MDgzYTdjNjIifQ=="/>
  </w:docVars>
  <w:rsids>
    <w:rsidRoot w:val="000F5EDC"/>
    <w:rsid w:val="000003B0"/>
    <w:rsid w:val="00007B6B"/>
    <w:rsid w:val="000107CD"/>
    <w:rsid w:val="00017861"/>
    <w:rsid w:val="00023857"/>
    <w:rsid w:val="00023AEE"/>
    <w:rsid w:val="000274D3"/>
    <w:rsid w:val="00027ED2"/>
    <w:rsid w:val="00030FCB"/>
    <w:rsid w:val="00035E1E"/>
    <w:rsid w:val="00043B57"/>
    <w:rsid w:val="00050CCC"/>
    <w:rsid w:val="0005355B"/>
    <w:rsid w:val="00054B74"/>
    <w:rsid w:val="00057C99"/>
    <w:rsid w:val="000668B7"/>
    <w:rsid w:val="00072908"/>
    <w:rsid w:val="000767B0"/>
    <w:rsid w:val="00080DA0"/>
    <w:rsid w:val="00084E3C"/>
    <w:rsid w:val="0009256B"/>
    <w:rsid w:val="000A27EF"/>
    <w:rsid w:val="000B3383"/>
    <w:rsid w:val="000C48AA"/>
    <w:rsid w:val="000C77D1"/>
    <w:rsid w:val="000D3FE3"/>
    <w:rsid w:val="000E35F1"/>
    <w:rsid w:val="000F037A"/>
    <w:rsid w:val="000F5EDC"/>
    <w:rsid w:val="001173CD"/>
    <w:rsid w:val="00121F1B"/>
    <w:rsid w:val="001310FF"/>
    <w:rsid w:val="00137A79"/>
    <w:rsid w:val="00140F8B"/>
    <w:rsid w:val="00143753"/>
    <w:rsid w:val="001455B1"/>
    <w:rsid w:val="0015658C"/>
    <w:rsid w:val="00156799"/>
    <w:rsid w:val="00165501"/>
    <w:rsid w:val="00182C9E"/>
    <w:rsid w:val="00192311"/>
    <w:rsid w:val="001967AA"/>
    <w:rsid w:val="00196AC3"/>
    <w:rsid w:val="001A103F"/>
    <w:rsid w:val="001A3604"/>
    <w:rsid w:val="001B35F1"/>
    <w:rsid w:val="001C0597"/>
    <w:rsid w:val="001C0D26"/>
    <w:rsid w:val="001D27BE"/>
    <w:rsid w:val="001E3082"/>
    <w:rsid w:val="001E6650"/>
    <w:rsid w:val="001F0695"/>
    <w:rsid w:val="002071EC"/>
    <w:rsid w:val="00210A2F"/>
    <w:rsid w:val="00215F98"/>
    <w:rsid w:val="002225F9"/>
    <w:rsid w:val="00227D8C"/>
    <w:rsid w:val="00235FAB"/>
    <w:rsid w:val="0024114F"/>
    <w:rsid w:val="002413ED"/>
    <w:rsid w:val="002460FA"/>
    <w:rsid w:val="00246BE2"/>
    <w:rsid w:val="002574CF"/>
    <w:rsid w:val="002650C4"/>
    <w:rsid w:val="0027446F"/>
    <w:rsid w:val="00281CFD"/>
    <w:rsid w:val="00292530"/>
    <w:rsid w:val="002A2967"/>
    <w:rsid w:val="002A7061"/>
    <w:rsid w:val="002B1F57"/>
    <w:rsid w:val="002B2450"/>
    <w:rsid w:val="002B257B"/>
    <w:rsid w:val="002B4408"/>
    <w:rsid w:val="002C20D1"/>
    <w:rsid w:val="002C4317"/>
    <w:rsid w:val="002C4A58"/>
    <w:rsid w:val="002C79CE"/>
    <w:rsid w:val="002D2F18"/>
    <w:rsid w:val="002E1B01"/>
    <w:rsid w:val="002E273B"/>
    <w:rsid w:val="002F4EA6"/>
    <w:rsid w:val="0030331C"/>
    <w:rsid w:val="003041B2"/>
    <w:rsid w:val="00305B37"/>
    <w:rsid w:val="0031118C"/>
    <w:rsid w:val="00323119"/>
    <w:rsid w:val="00326C6F"/>
    <w:rsid w:val="003320D2"/>
    <w:rsid w:val="00333DB9"/>
    <w:rsid w:val="003347DA"/>
    <w:rsid w:val="00340AE2"/>
    <w:rsid w:val="003435E4"/>
    <w:rsid w:val="0034519A"/>
    <w:rsid w:val="003457B5"/>
    <w:rsid w:val="00347D23"/>
    <w:rsid w:val="003617BC"/>
    <w:rsid w:val="0036207C"/>
    <w:rsid w:val="00362DC8"/>
    <w:rsid w:val="00367816"/>
    <w:rsid w:val="00371E0C"/>
    <w:rsid w:val="00372599"/>
    <w:rsid w:val="003772A4"/>
    <w:rsid w:val="00381869"/>
    <w:rsid w:val="003A102E"/>
    <w:rsid w:val="003A48A8"/>
    <w:rsid w:val="003C313E"/>
    <w:rsid w:val="003C48E0"/>
    <w:rsid w:val="003E470D"/>
    <w:rsid w:val="003E4841"/>
    <w:rsid w:val="003E5AE2"/>
    <w:rsid w:val="003F08B9"/>
    <w:rsid w:val="00400D0B"/>
    <w:rsid w:val="00405D6C"/>
    <w:rsid w:val="00406B1F"/>
    <w:rsid w:val="00407837"/>
    <w:rsid w:val="00414193"/>
    <w:rsid w:val="004276D8"/>
    <w:rsid w:val="00431133"/>
    <w:rsid w:val="0043281E"/>
    <w:rsid w:val="00440C0D"/>
    <w:rsid w:val="004435D2"/>
    <w:rsid w:val="004453C2"/>
    <w:rsid w:val="00446DB5"/>
    <w:rsid w:val="00451168"/>
    <w:rsid w:val="004514CA"/>
    <w:rsid w:val="0047181A"/>
    <w:rsid w:val="00471DDE"/>
    <w:rsid w:val="0048385E"/>
    <w:rsid w:val="004A0CE6"/>
    <w:rsid w:val="004A6109"/>
    <w:rsid w:val="004B31CA"/>
    <w:rsid w:val="004C0F00"/>
    <w:rsid w:val="004D0F3A"/>
    <w:rsid w:val="004D17DB"/>
    <w:rsid w:val="004D68CB"/>
    <w:rsid w:val="004E2883"/>
    <w:rsid w:val="004F1C6A"/>
    <w:rsid w:val="00504D75"/>
    <w:rsid w:val="00516258"/>
    <w:rsid w:val="0054640D"/>
    <w:rsid w:val="005509FC"/>
    <w:rsid w:val="005513CA"/>
    <w:rsid w:val="00553308"/>
    <w:rsid w:val="00560962"/>
    <w:rsid w:val="005626CB"/>
    <w:rsid w:val="0056586E"/>
    <w:rsid w:val="00567239"/>
    <w:rsid w:val="005717CC"/>
    <w:rsid w:val="0059653B"/>
    <w:rsid w:val="005A1BA7"/>
    <w:rsid w:val="005A56A4"/>
    <w:rsid w:val="005B0B4A"/>
    <w:rsid w:val="005B4350"/>
    <w:rsid w:val="005D1139"/>
    <w:rsid w:val="005E7198"/>
    <w:rsid w:val="005F1ECB"/>
    <w:rsid w:val="005F231D"/>
    <w:rsid w:val="00607166"/>
    <w:rsid w:val="0061143B"/>
    <w:rsid w:val="00621360"/>
    <w:rsid w:val="00626F54"/>
    <w:rsid w:val="00630756"/>
    <w:rsid w:val="0063256E"/>
    <w:rsid w:val="00633C9E"/>
    <w:rsid w:val="006342B0"/>
    <w:rsid w:val="00642A70"/>
    <w:rsid w:val="006457AC"/>
    <w:rsid w:val="00647229"/>
    <w:rsid w:val="0065293F"/>
    <w:rsid w:val="00664681"/>
    <w:rsid w:val="00664ABF"/>
    <w:rsid w:val="006650BD"/>
    <w:rsid w:val="00687E46"/>
    <w:rsid w:val="006903EC"/>
    <w:rsid w:val="00694FCC"/>
    <w:rsid w:val="006A111E"/>
    <w:rsid w:val="006A6A85"/>
    <w:rsid w:val="006B28E3"/>
    <w:rsid w:val="006F4E26"/>
    <w:rsid w:val="00706069"/>
    <w:rsid w:val="007076DE"/>
    <w:rsid w:val="0071558A"/>
    <w:rsid w:val="00717A29"/>
    <w:rsid w:val="00720D02"/>
    <w:rsid w:val="007210F0"/>
    <w:rsid w:val="007217DB"/>
    <w:rsid w:val="00732831"/>
    <w:rsid w:val="007370FC"/>
    <w:rsid w:val="007429E7"/>
    <w:rsid w:val="007541AE"/>
    <w:rsid w:val="0075500E"/>
    <w:rsid w:val="00757657"/>
    <w:rsid w:val="00760C28"/>
    <w:rsid w:val="007617A2"/>
    <w:rsid w:val="00766BD5"/>
    <w:rsid w:val="00766E6C"/>
    <w:rsid w:val="007679AB"/>
    <w:rsid w:val="0077044C"/>
    <w:rsid w:val="007820E3"/>
    <w:rsid w:val="00795641"/>
    <w:rsid w:val="007D09B9"/>
    <w:rsid w:val="007F7E97"/>
    <w:rsid w:val="00802153"/>
    <w:rsid w:val="00804C47"/>
    <w:rsid w:val="008077A1"/>
    <w:rsid w:val="00815413"/>
    <w:rsid w:val="00831B1F"/>
    <w:rsid w:val="0083201A"/>
    <w:rsid w:val="00832E77"/>
    <w:rsid w:val="00836B30"/>
    <w:rsid w:val="00840F5C"/>
    <w:rsid w:val="00862442"/>
    <w:rsid w:val="00891BA7"/>
    <w:rsid w:val="00891FD4"/>
    <w:rsid w:val="00893CA3"/>
    <w:rsid w:val="00895334"/>
    <w:rsid w:val="008B2D1F"/>
    <w:rsid w:val="008B4022"/>
    <w:rsid w:val="008B65A5"/>
    <w:rsid w:val="0090585E"/>
    <w:rsid w:val="009100BF"/>
    <w:rsid w:val="009268F6"/>
    <w:rsid w:val="00932AFE"/>
    <w:rsid w:val="009362EC"/>
    <w:rsid w:val="00941143"/>
    <w:rsid w:val="00942F72"/>
    <w:rsid w:val="00945FE3"/>
    <w:rsid w:val="009540B0"/>
    <w:rsid w:val="00955C75"/>
    <w:rsid w:val="00955F46"/>
    <w:rsid w:val="009600EC"/>
    <w:rsid w:val="009625D4"/>
    <w:rsid w:val="00962EB2"/>
    <w:rsid w:val="00963208"/>
    <w:rsid w:val="00963C7C"/>
    <w:rsid w:val="0097333B"/>
    <w:rsid w:val="00981A11"/>
    <w:rsid w:val="009849AF"/>
    <w:rsid w:val="00986B8F"/>
    <w:rsid w:val="00993AD0"/>
    <w:rsid w:val="0099624F"/>
    <w:rsid w:val="009A2429"/>
    <w:rsid w:val="009B1BD1"/>
    <w:rsid w:val="009B7BA6"/>
    <w:rsid w:val="009C3FE5"/>
    <w:rsid w:val="009D2992"/>
    <w:rsid w:val="009E0BDD"/>
    <w:rsid w:val="009E13DD"/>
    <w:rsid w:val="009E1D94"/>
    <w:rsid w:val="009E2AF1"/>
    <w:rsid w:val="009E402B"/>
    <w:rsid w:val="00A00BF4"/>
    <w:rsid w:val="00A07A86"/>
    <w:rsid w:val="00A242A3"/>
    <w:rsid w:val="00A25FAE"/>
    <w:rsid w:val="00A355C5"/>
    <w:rsid w:val="00A463C2"/>
    <w:rsid w:val="00A47C3E"/>
    <w:rsid w:val="00A52C76"/>
    <w:rsid w:val="00A535AD"/>
    <w:rsid w:val="00A55D2D"/>
    <w:rsid w:val="00A64B45"/>
    <w:rsid w:val="00A73754"/>
    <w:rsid w:val="00A7439B"/>
    <w:rsid w:val="00A824A7"/>
    <w:rsid w:val="00A87AD3"/>
    <w:rsid w:val="00AA03BB"/>
    <w:rsid w:val="00AA2296"/>
    <w:rsid w:val="00AC1639"/>
    <w:rsid w:val="00AC421B"/>
    <w:rsid w:val="00AC60CD"/>
    <w:rsid w:val="00AD4512"/>
    <w:rsid w:val="00AD4809"/>
    <w:rsid w:val="00AE2317"/>
    <w:rsid w:val="00AE4BB0"/>
    <w:rsid w:val="00AE7231"/>
    <w:rsid w:val="00AF3D18"/>
    <w:rsid w:val="00AF798C"/>
    <w:rsid w:val="00B02717"/>
    <w:rsid w:val="00B12E6C"/>
    <w:rsid w:val="00B179FF"/>
    <w:rsid w:val="00B6083C"/>
    <w:rsid w:val="00B75FB3"/>
    <w:rsid w:val="00B8206D"/>
    <w:rsid w:val="00B837C1"/>
    <w:rsid w:val="00B946ED"/>
    <w:rsid w:val="00BA0FAE"/>
    <w:rsid w:val="00BB006C"/>
    <w:rsid w:val="00BB4477"/>
    <w:rsid w:val="00BC7243"/>
    <w:rsid w:val="00BD5264"/>
    <w:rsid w:val="00BE7880"/>
    <w:rsid w:val="00BF2181"/>
    <w:rsid w:val="00BF3142"/>
    <w:rsid w:val="00C043B6"/>
    <w:rsid w:val="00C05FBA"/>
    <w:rsid w:val="00C14553"/>
    <w:rsid w:val="00C24171"/>
    <w:rsid w:val="00C2766C"/>
    <w:rsid w:val="00C3218D"/>
    <w:rsid w:val="00C35D3C"/>
    <w:rsid w:val="00C45183"/>
    <w:rsid w:val="00C47593"/>
    <w:rsid w:val="00C550D6"/>
    <w:rsid w:val="00C6470A"/>
    <w:rsid w:val="00C71BC1"/>
    <w:rsid w:val="00C75000"/>
    <w:rsid w:val="00C77308"/>
    <w:rsid w:val="00C81E5E"/>
    <w:rsid w:val="00C82B70"/>
    <w:rsid w:val="00C85C2F"/>
    <w:rsid w:val="00C9197F"/>
    <w:rsid w:val="00C940EB"/>
    <w:rsid w:val="00C944E9"/>
    <w:rsid w:val="00CA6900"/>
    <w:rsid w:val="00CB1161"/>
    <w:rsid w:val="00CB4C81"/>
    <w:rsid w:val="00CC45F8"/>
    <w:rsid w:val="00CC5802"/>
    <w:rsid w:val="00CD23DF"/>
    <w:rsid w:val="00CD54FC"/>
    <w:rsid w:val="00CD69B8"/>
    <w:rsid w:val="00CE0E27"/>
    <w:rsid w:val="00CE1B4F"/>
    <w:rsid w:val="00CE5094"/>
    <w:rsid w:val="00CE7A4A"/>
    <w:rsid w:val="00CF40C8"/>
    <w:rsid w:val="00D15489"/>
    <w:rsid w:val="00D3267C"/>
    <w:rsid w:val="00D32953"/>
    <w:rsid w:val="00D40D31"/>
    <w:rsid w:val="00D534D3"/>
    <w:rsid w:val="00D55E0C"/>
    <w:rsid w:val="00D715FB"/>
    <w:rsid w:val="00D74D31"/>
    <w:rsid w:val="00D75D81"/>
    <w:rsid w:val="00D80FC6"/>
    <w:rsid w:val="00D8703B"/>
    <w:rsid w:val="00D91EFA"/>
    <w:rsid w:val="00D94934"/>
    <w:rsid w:val="00DA024A"/>
    <w:rsid w:val="00DB0C5D"/>
    <w:rsid w:val="00DC089B"/>
    <w:rsid w:val="00DC0C91"/>
    <w:rsid w:val="00DC4E8C"/>
    <w:rsid w:val="00DC55B4"/>
    <w:rsid w:val="00DD0AAB"/>
    <w:rsid w:val="00DE2E84"/>
    <w:rsid w:val="00DE522F"/>
    <w:rsid w:val="00DE5AC6"/>
    <w:rsid w:val="00DF11E9"/>
    <w:rsid w:val="00E06F6F"/>
    <w:rsid w:val="00E1033D"/>
    <w:rsid w:val="00E1374D"/>
    <w:rsid w:val="00E17732"/>
    <w:rsid w:val="00E20393"/>
    <w:rsid w:val="00E24FDF"/>
    <w:rsid w:val="00E2543E"/>
    <w:rsid w:val="00E26060"/>
    <w:rsid w:val="00E32DDA"/>
    <w:rsid w:val="00E44D48"/>
    <w:rsid w:val="00E468AF"/>
    <w:rsid w:val="00E5069A"/>
    <w:rsid w:val="00E50A03"/>
    <w:rsid w:val="00E64557"/>
    <w:rsid w:val="00E716F7"/>
    <w:rsid w:val="00E82AD5"/>
    <w:rsid w:val="00EB7863"/>
    <w:rsid w:val="00ED7CD2"/>
    <w:rsid w:val="00EE0BA1"/>
    <w:rsid w:val="00EE15BA"/>
    <w:rsid w:val="00EF2364"/>
    <w:rsid w:val="00F02E89"/>
    <w:rsid w:val="00F17CC9"/>
    <w:rsid w:val="00F24890"/>
    <w:rsid w:val="00F32F7F"/>
    <w:rsid w:val="00F357B3"/>
    <w:rsid w:val="00F36FE0"/>
    <w:rsid w:val="00F4247F"/>
    <w:rsid w:val="00F4621D"/>
    <w:rsid w:val="00F7230A"/>
    <w:rsid w:val="00F80F9E"/>
    <w:rsid w:val="00F9762B"/>
    <w:rsid w:val="00FB2E6F"/>
    <w:rsid w:val="00FB2F5B"/>
    <w:rsid w:val="00FB467E"/>
    <w:rsid w:val="00FB707C"/>
    <w:rsid w:val="00FB7F2C"/>
    <w:rsid w:val="00FC6DA9"/>
    <w:rsid w:val="00FD16E4"/>
    <w:rsid w:val="00FD2220"/>
    <w:rsid w:val="00FD3222"/>
    <w:rsid w:val="00FD5D55"/>
    <w:rsid w:val="00FE149B"/>
    <w:rsid w:val="00FF3B54"/>
    <w:rsid w:val="00FF473C"/>
    <w:rsid w:val="00FF6EBC"/>
    <w:rsid w:val="01543816"/>
    <w:rsid w:val="03628A23"/>
    <w:rsid w:val="04BB2546"/>
    <w:rsid w:val="07091040"/>
    <w:rsid w:val="0AB47515"/>
    <w:rsid w:val="0D2E00B7"/>
    <w:rsid w:val="0D673B67"/>
    <w:rsid w:val="0EB00EEB"/>
    <w:rsid w:val="0F3A0E73"/>
    <w:rsid w:val="0F7FCC66"/>
    <w:rsid w:val="130339B0"/>
    <w:rsid w:val="14192DF2"/>
    <w:rsid w:val="14C96327"/>
    <w:rsid w:val="151D0B4C"/>
    <w:rsid w:val="16798BF4"/>
    <w:rsid w:val="194F4FD8"/>
    <w:rsid w:val="1C997778"/>
    <w:rsid w:val="1D550201"/>
    <w:rsid w:val="1DE252D4"/>
    <w:rsid w:val="225974D3"/>
    <w:rsid w:val="22C66BB7"/>
    <w:rsid w:val="266779E2"/>
    <w:rsid w:val="28C37FE8"/>
    <w:rsid w:val="2AB47EA9"/>
    <w:rsid w:val="2ABF5CF5"/>
    <w:rsid w:val="2BCD0E4C"/>
    <w:rsid w:val="2BF33EE9"/>
    <w:rsid w:val="2E81758A"/>
    <w:rsid w:val="304D711C"/>
    <w:rsid w:val="34346AD1"/>
    <w:rsid w:val="3492250F"/>
    <w:rsid w:val="3513289C"/>
    <w:rsid w:val="38B36ACD"/>
    <w:rsid w:val="38EC5F48"/>
    <w:rsid w:val="38F62A80"/>
    <w:rsid w:val="39A32A39"/>
    <w:rsid w:val="39E34C87"/>
    <w:rsid w:val="3AB178DB"/>
    <w:rsid w:val="3CF7139C"/>
    <w:rsid w:val="3E2F7389"/>
    <w:rsid w:val="3EE64336"/>
    <w:rsid w:val="3FB957B9"/>
    <w:rsid w:val="3FBED5EA"/>
    <w:rsid w:val="3FD726B2"/>
    <w:rsid w:val="3FD7BBCA"/>
    <w:rsid w:val="45030AC7"/>
    <w:rsid w:val="47ECE23A"/>
    <w:rsid w:val="48985D30"/>
    <w:rsid w:val="49C12A7C"/>
    <w:rsid w:val="49F734E3"/>
    <w:rsid w:val="4B2402B5"/>
    <w:rsid w:val="4B2B4A44"/>
    <w:rsid w:val="4B981BA7"/>
    <w:rsid w:val="4BC11FA3"/>
    <w:rsid w:val="4EF7A098"/>
    <w:rsid w:val="4FF27E90"/>
    <w:rsid w:val="51EF5F43"/>
    <w:rsid w:val="53E1503E"/>
    <w:rsid w:val="55271645"/>
    <w:rsid w:val="55DA3E5B"/>
    <w:rsid w:val="55EF2B66"/>
    <w:rsid w:val="56BFA4F2"/>
    <w:rsid w:val="585E4CEC"/>
    <w:rsid w:val="587460B6"/>
    <w:rsid w:val="5A7D9AA5"/>
    <w:rsid w:val="5BF77D21"/>
    <w:rsid w:val="5CCF5285"/>
    <w:rsid w:val="5D301FF8"/>
    <w:rsid w:val="61D4389A"/>
    <w:rsid w:val="630D0B3B"/>
    <w:rsid w:val="63A371C9"/>
    <w:rsid w:val="645D39F0"/>
    <w:rsid w:val="683E1A6D"/>
    <w:rsid w:val="68472470"/>
    <w:rsid w:val="69FDDBE6"/>
    <w:rsid w:val="6B6FFE28"/>
    <w:rsid w:val="6BD91127"/>
    <w:rsid w:val="6EEA28A8"/>
    <w:rsid w:val="6F3E7C8E"/>
    <w:rsid w:val="6FA841C0"/>
    <w:rsid w:val="6FFF1F56"/>
    <w:rsid w:val="713A123F"/>
    <w:rsid w:val="72B2523F"/>
    <w:rsid w:val="76FD5E84"/>
    <w:rsid w:val="776A6F58"/>
    <w:rsid w:val="77E374D3"/>
    <w:rsid w:val="77EF34B0"/>
    <w:rsid w:val="77FF9A42"/>
    <w:rsid w:val="791F5D72"/>
    <w:rsid w:val="79BFB030"/>
    <w:rsid w:val="7A8E7600"/>
    <w:rsid w:val="7AAF07AC"/>
    <w:rsid w:val="7AFFEC99"/>
    <w:rsid w:val="7B1F746E"/>
    <w:rsid w:val="7BE393BB"/>
    <w:rsid w:val="7BE71091"/>
    <w:rsid w:val="7BED3EBD"/>
    <w:rsid w:val="7C9EB734"/>
    <w:rsid w:val="7D7BC392"/>
    <w:rsid w:val="7DBD1C78"/>
    <w:rsid w:val="7DE1BE6A"/>
    <w:rsid w:val="7DF3FA4A"/>
    <w:rsid w:val="7FF78E56"/>
    <w:rsid w:val="7FFB2F19"/>
    <w:rsid w:val="8CBDDA5A"/>
    <w:rsid w:val="9FD5532A"/>
    <w:rsid w:val="AA7CE742"/>
    <w:rsid w:val="B7633C4C"/>
    <w:rsid w:val="BF7BEBE5"/>
    <w:rsid w:val="BF8F27F9"/>
    <w:rsid w:val="BF8F3C4E"/>
    <w:rsid w:val="BFEBED4F"/>
    <w:rsid w:val="BFF6CE37"/>
    <w:rsid w:val="BFFF6824"/>
    <w:rsid w:val="C48FFE0F"/>
    <w:rsid w:val="CF7194D6"/>
    <w:rsid w:val="D77F317F"/>
    <w:rsid w:val="D7EFE3CB"/>
    <w:rsid w:val="DDFC1F06"/>
    <w:rsid w:val="DDFF9CF5"/>
    <w:rsid w:val="E7F910EA"/>
    <w:rsid w:val="E7FF3BFE"/>
    <w:rsid w:val="E9FF4398"/>
    <w:rsid w:val="EBEF1702"/>
    <w:rsid w:val="EDDF8F5A"/>
    <w:rsid w:val="EFC7F6EC"/>
    <w:rsid w:val="F3CEDAEE"/>
    <w:rsid w:val="F3EEC3ED"/>
    <w:rsid w:val="F579155D"/>
    <w:rsid w:val="F6F77318"/>
    <w:rsid w:val="F7CEEB5D"/>
    <w:rsid w:val="F7F7C2EC"/>
    <w:rsid w:val="FAEDFF44"/>
    <w:rsid w:val="FAFCA7B0"/>
    <w:rsid w:val="FB0E0A97"/>
    <w:rsid w:val="FBAF45F2"/>
    <w:rsid w:val="FBBA2D94"/>
    <w:rsid w:val="FBBB1A30"/>
    <w:rsid w:val="FCFFF9F9"/>
    <w:rsid w:val="FEAF9C4E"/>
    <w:rsid w:val="FEEAE7EA"/>
    <w:rsid w:val="FEFF6AF5"/>
    <w:rsid w:val="FF59BA29"/>
    <w:rsid w:val="FF7FA499"/>
    <w:rsid w:val="FFCF54CB"/>
    <w:rsid w:val="FFFF337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nhideWhenUsed="0" w:uiPriority="99" w:semiHidden="0" w:name="heading 2"/>
    <w:lsdException w:qFormat="1" w:unhideWhenUsed="0" w:uiPriority="9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80" w:lineRule="exact"/>
      <w:ind w:firstLine="640" w:firstLineChars="200"/>
      <w:jc w:val="both"/>
    </w:pPr>
    <w:rPr>
      <w:rFonts w:ascii="Times New Roman" w:hAnsi="Times New Roman" w:eastAsia="宋体" w:cstheme="minorBidi"/>
      <w:kern w:val="2"/>
      <w:sz w:val="24"/>
      <w:szCs w:val="22"/>
      <w:lang w:val="en-US" w:eastAsia="zh-CN" w:bidi="ar-SA"/>
    </w:rPr>
  </w:style>
  <w:style w:type="paragraph" w:styleId="2">
    <w:name w:val="heading 1"/>
    <w:basedOn w:val="1"/>
    <w:next w:val="1"/>
    <w:link w:val="32"/>
    <w:qFormat/>
    <w:uiPriority w:val="99"/>
    <w:pPr>
      <w:numPr>
        <w:ilvl w:val="0"/>
        <w:numId w:val="1"/>
      </w:numPr>
      <w:ind w:firstLineChars="0"/>
      <w:jc w:val="left"/>
      <w:outlineLvl w:val="0"/>
    </w:pPr>
    <w:rPr>
      <w:rFonts w:ascii="宋体" w:hAnsi="宋体" w:eastAsia="黑体" w:cs="宋体"/>
      <w:bCs/>
      <w:kern w:val="44"/>
      <w:sz w:val="30"/>
      <w:szCs w:val="48"/>
    </w:rPr>
  </w:style>
  <w:style w:type="paragraph" w:styleId="3">
    <w:name w:val="heading 2"/>
    <w:basedOn w:val="1"/>
    <w:next w:val="1"/>
    <w:link w:val="33"/>
    <w:qFormat/>
    <w:uiPriority w:val="99"/>
    <w:pPr>
      <w:keepNext/>
      <w:keepLines/>
      <w:numPr>
        <w:ilvl w:val="1"/>
        <w:numId w:val="1"/>
      </w:numPr>
      <w:ind w:firstLineChars="0"/>
      <w:outlineLvl w:val="1"/>
    </w:pPr>
    <w:rPr>
      <w:rFonts w:ascii="Arial" w:hAnsi="Arial" w:eastAsia="楷体" w:cs="Arial"/>
      <w:sz w:val="28"/>
      <w:szCs w:val="32"/>
    </w:rPr>
  </w:style>
  <w:style w:type="paragraph" w:styleId="4">
    <w:name w:val="heading 3"/>
    <w:basedOn w:val="1"/>
    <w:next w:val="1"/>
    <w:link w:val="34"/>
    <w:qFormat/>
    <w:uiPriority w:val="99"/>
    <w:pPr>
      <w:keepNext/>
      <w:keepLines/>
      <w:numPr>
        <w:ilvl w:val="2"/>
        <w:numId w:val="1"/>
      </w:numPr>
      <w:outlineLvl w:val="2"/>
    </w:pPr>
    <w:rPr>
      <w:rFonts w:ascii="Calibri" w:hAnsi="Calibri" w:cs="Calibri"/>
      <w:b/>
      <w:szCs w:val="32"/>
    </w:rPr>
  </w:style>
  <w:style w:type="paragraph" w:styleId="5">
    <w:name w:val="heading 4"/>
    <w:basedOn w:val="1"/>
    <w:next w:val="1"/>
    <w:link w:val="48"/>
    <w:unhideWhenUsed/>
    <w:qFormat/>
    <w:uiPriority w:val="9"/>
    <w:pPr>
      <w:keepNext/>
      <w:keepLines/>
      <w:numPr>
        <w:ilvl w:val="3"/>
        <w:numId w:val="1"/>
      </w:numPr>
      <w:outlineLvl w:val="3"/>
    </w:pPr>
    <w:rPr>
      <w:rFonts w:asciiTheme="majorHAnsi" w:hAnsiTheme="majorHAnsi" w:cstheme="majorBidi"/>
      <w:bCs/>
      <w:szCs w:val="28"/>
    </w:rPr>
  </w:style>
  <w:style w:type="paragraph" w:styleId="6">
    <w:name w:val="heading 5"/>
    <w:basedOn w:val="1"/>
    <w:next w:val="1"/>
    <w:unhideWhenUsed/>
    <w:qFormat/>
    <w:uiPriority w:val="9"/>
    <w:pPr>
      <w:keepNext/>
      <w:keepLines/>
      <w:numPr>
        <w:ilvl w:val="4"/>
        <w:numId w:val="1"/>
      </w:numPr>
      <w:spacing w:before="280" w:after="290" w:line="372" w:lineRule="auto"/>
      <w:outlineLvl w:val="4"/>
    </w:pPr>
    <w:rPr>
      <w:b/>
      <w:sz w:val="28"/>
    </w:rPr>
  </w:style>
  <w:style w:type="paragraph" w:styleId="7">
    <w:name w:val="heading 6"/>
    <w:basedOn w:val="1"/>
    <w:next w:val="1"/>
    <w:semiHidden/>
    <w:unhideWhenUsed/>
    <w:qFormat/>
    <w:uiPriority w:val="9"/>
    <w:pPr>
      <w:keepNext/>
      <w:keepLines/>
      <w:numPr>
        <w:ilvl w:val="5"/>
        <w:numId w:val="1"/>
      </w:numPr>
      <w:spacing w:before="240" w:after="64" w:line="317" w:lineRule="auto"/>
      <w:outlineLvl w:val="5"/>
    </w:pPr>
    <w:rPr>
      <w:rFonts w:ascii="Arial" w:hAnsi="Arial" w:eastAsia="黑体"/>
      <w:b/>
    </w:rPr>
  </w:style>
  <w:style w:type="paragraph" w:styleId="8">
    <w:name w:val="heading 7"/>
    <w:basedOn w:val="1"/>
    <w:next w:val="1"/>
    <w:semiHidden/>
    <w:unhideWhenUsed/>
    <w:qFormat/>
    <w:uiPriority w:val="9"/>
    <w:pPr>
      <w:keepNext/>
      <w:keepLines/>
      <w:numPr>
        <w:ilvl w:val="6"/>
        <w:numId w:val="1"/>
      </w:numPr>
      <w:spacing w:before="240" w:after="64" w:line="317" w:lineRule="auto"/>
      <w:outlineLvl w:val="6"/>
    </w:pPr>
    <w:rPr>
      <w:b/>
    </w:rPr>
  </w:style>
  <w:style w:type="paragraph" w:styleId="9">
    <w:name w:val="heading 8"/>
    <w:basedOn w:val="1"/>
    <w:next w:val="1"/>
    <w:semiHidden/>
    <w:unhideWhenUsed/>
    <w:qFormat/>
    <w:uiPriority w:val="9"/>
    <w:pPr>
      <w:keepNext/>
      <w:keepLines/>
      <w:numPr>
        <w:ilvl w:val="7"/>
        <w:numId w:val="1"/>
      </w:numPr>
      <w:spacing w:before="240" w:after="64" w:line="317" w:lineRule="auto"/>
      <w:outlineLvl w:val="7"/>
    </w:pPr>
    <w:rPr>
      <w:rFonts w:ascii="Arial" w:hAnsi="Arial" w:eastAsia="黑体"/>
    </w:rPr>
  </w:style>
  <w:style w:type="paragraph" w:styleId="10">
    <w:name w:val="heading 9"/>
    <w:basedOn w:val="1"/>
    <w:next w:val="1"/>
    <w:unhideWhenUsed/>
    <w:qFormat/>
    <w:uiPriority w:val="9"/>
    <w:pPr>
      <w:keepNext/>
      <w:keepLines/>
      <w:numPr>
        <w:ilvl w:val="8"/>
        <w:numId w:val="1"/>
      </w:numPr>
      <w:spacing w:before="240" w:after="64" w:line="317" w:lineRule="auto"/>
      <w:outlineLvl w:val="8"/>
    </w:pPr>
    <w:rPr>
      <w:rFonts w:ascii="Arial" w:hAnsi="Arial" w:eastAsia="黑体"/>
      <w:sz w:val="21"/>
    </w:rPr>
  </w:style>
  <w:style w:type="character" w:default="1" w:styleId="24">
    <w:name w:val="Default Paragraph Font"/>
    <w:unhideWhenUsed/>
    <w:qFormat/>
    <w:uiPriority w:val="1"/>
  </w:style>
  <w:style w:type="table" w:default="1" w:styleId="22">
    <w:name w:val="Normal Table"/>
    <w:semiHidden/>
    <w:unhideWhenUsed/>
    <w:qFormat/>
    <w:uiPriority w:val="99"/>
    <w:tblPr>
      <w:tblCellMar>
        <w:top w:w="0" w:type="dxa"/>
        <w:left w:w="108" w:type="dxa"/>
        <w:bottom w:w="0" w:type="dxa"/>
        <w:right w:w="108" w:type="dxa"/>
      </w:tblCellMar>
    </w:tblPr>
  </w:style>
  <w:style w:type="paragraph" w:styleId="11">
    <w:name w:val="caption"/>
    <w:basedOn w:val="1"/>
    <w:next w:val="1"/>
    <w:autoRedefine/>
    <w:unhideWhenUsed/>
    <w:qFormat/>
    <w:uiPriority w:val="35"/>
    <w:rPr>
      <w:rFonts w:eastAsia="黑体" w:asciiTheme="majorHAnsi" w:hAnsiTheme="majorHAnsi" w:cstheme="majorBidi"/>
      <w:sz w:val="20"/>
      <w:szCs w:val="20"/>
    </w:rPr>
  </w:style>
  <w:style w:type="paragraph" w:styleId="12">
    <w:name w:val="annotation text"/>
    <w:basedOn w:val="1"/>
    <w:link w:val="43"/>
    <w:autoRedefine/>
    <w:unhideWhenUsed/>
    <w:qFormat/>
    <w:uiPriority w:val="99"/>
    <w:pPr>
      <w:jc w:val="left"/>
    </w:pPr>
    <w:rPr>
      <w:rFonts w:ascii="等线" w:hAnsi="等线" w:eastAsia="等线" w:cs="Times New Roman"/>
      <w:szCs w:val="21"/>
    </w:rPr>
  </w:style>
  <w:style w:type="paragraph" w:styleId="13">
    <w:name w:val="Body Text"/>
    <w:basedOn w:val="1"/>
    <w:link w:val="39"/>
    <w:unhideWhenUsed/>
    <w:qFormat/>
    <w:uiPriority w:val="99"/>
    <w:pPr>
      <w:spacing w:after="120"/>
    </w:pPr>
  </w:style>
  <w:style w:type="paragraph" w:styleId="14">
    <w:name w:val="toc 3"/>
    <w:basedOn w:val="1"/>
    <w:next w:val="1"/>
    <w:autoRedefine/>
    <w:unhideWhenUsed/>
    <w:qFormat/>
    <w:uiPriority w:val="39"/>
    <w:pPr>
      <w:ind w:left="840" w:leftChars="400"/>
    </w:pPr>
  </w:style>
  <w:style w:type="paragraph" w:styleId="15">
    <w:name w:val="footer"/>
    <w:basedOn w:val="1"/>
    <w:link w:val="29"/>
    <w:unhideWhenUsed/>
    <w:qFormat/>
    <w:uiPriority w:val="99"/>
    <w:pPr>
      <w:tabs>
        <w:tab w:val="center" w:pos="4153"/>
        <w:tab w:val="right" w:pos="8306"/>
      </w:tabs>
      <w:snapToGrid w:val="0"/>
      <w:jc w:val="left"/>
    </w:pPr>
    <w:rPr>
      <w:sz w:val="18"/>
      <w:szCs w:val="18"/>
    </w:rPr>
  </w:style>
  <w:style w:type="paragraph" w:styleId="16">
    <w:name w:val="header"/>
    <w:basedOn w:val="1"/>
    <w:link w:val="28"/>
    <w:unhideWhenUsed/>
    <w:qFormat/>
    <w:uiPriority w:val="99"/>
    <w:pPr>
      <w:pBdr>
        <w:bottom w:val="single" w:color="auto" w:sz="6" w:space="1"/>
      </w:pBdr>
      <w:tabs>
        <w:tab w:val="center" w:pos="4153"/>
        <w:tab w:val="right" w:pos="8306"/>
      </w:tabs>
      <w:snapToGrid w:val="0"/>
      <w:jc w:val="center"/>
    </w:pPr>
    <w:rPr>
      <w:sz w:val="18"/>
      <w:szCs w:val="18"/>
    </w:rPr>
  </w:style>
  <w:style w:type="paragraph" w:styleId="17">
    <w:name w:val="toc 1"/>
    <w:basedOn w:val="1"/>
    <w:next w:val="1"/>
    <w:autoRedefine/>
    <w:unhideWhenUsed/>
    <w:qFormat/>
    <w:uiPriority w:val="39"/>
  </w:style>
  <w:style w:type="paragraph" w:styleId="18">
    <w:name w:val="table of figures"/>
    <w:basedOn w:val="1"/>
    <w:next w:val="1"/>
    <w:unhideWhenUsed/>
    <w:qFormat/>
    <w:uiPriority w:val="99"/>
    <w:pPr>
      <w:ind w:left="200" w:leftChars="200" w:hanging="200" w:hangingChars="200"/>
    </w:pPr>
  </w:style>
  <w:style w:type="paragraph" w:styleId="19">
    <w:name w:val="toc 2"/>
    <w:basedOn w:val="1"/>
    <w:next w:val="1"/>
    <w:autoRedefine/>
    <w:unhideWhenUsed/>
    <w:qFormat/>
    <w:uiPriority w:val="39"/>
    <w:pPr>
      <w:tabs>
        <w:tab w:val="right" w:leader="dot" w:pos="8296"/>
      </w:tabs>
      <w:ind w:left="420" w:leftChars="200"/>
    </w:pPr>
  </w:style>
  <w:style w:type="paragraph" w:styleId="20">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cs="Times New Roman"/>
      <w:kern w:val="0"/>
      <w:szCs w:val="24"/>
    </w:rPr>
  </w:style>
  <w:style w:type="paragraph" w:styleId="21">
    <w:name w:val="Normal (Web)"/>
    <w:basedOn w:val="1"/>
    <w:unhideWhenUsed/>
    <w:qFormat/>
    <w:uiPriority w:val="99"/>
    <w:pPr>
      <w:spacing w:before="100" w:beforeAutospacing="1" w:after="100" w:afterAutospacing="1"/>
      <w:jc w:val="left"/>
    </w:pPr>
    <w:rPr>
      <w:rFonts w:ascii="Calibri" w:hAnsi="Calibri" w:cs="Calibri"/>
      <w:kern w:val="0"/>
      <w:szCs w:val="24"/>
    </w:rPr>
  </w:style>
  <w:style w:type="table" w:styleId="23">
    <w:name w:val="Table Grid"/>
    <w:basedOn w:val="22"/>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Strong"/>
    <w:basedOn w:val="24"/>
    <w:qFormat/>
    <w:uiPriority w:val="22"/>
    <w:rPr>
      <w:b/>
    </w:rPr>
  </w:style>
  <w:style w:type="character" w:styleId="26">
    <w:name w:val="Hyperlink"/>
    <w:basedOn w:val="24"/>
    <w:autoRedefine/>
    <w:unhideWhenUsed/>
    <w:qFormat/>
    <w:uiPriority w:val="99"/>
    <w:rPr>
      <w:color w:val="0000FF"/>
      <w:u w:val="single"/>
    </w:rPr>
  </w:style>
  <w:style w:type="paragraph" w:styleId="27">
    <w:name w:val="List Paragraph"/>
    <w:basedOn w:val="1"/>
    <w:qFormat/>
    <w:uiPriority w:val="34"/>
    <w:pPr>
      <w:ind w:firstLine="420"/>
    </w:pPr>
  </w:style>
  <w:style w:type="character" w:customStyle="1" w:styleId="28">
    <w:name w:val="页眉 字符"/>
    <w:basedOn w:val="24"/>
    <w:link w:val="16"/>
    <w:qFormat/>
    <w:uiPriority w:val="99"/>
    <w:rPr>
      <w:sz w:val="18"/>
      <w:szCs w:val="18"/>
    </w:rPr>
  </w:style>
  <w:style w:type="character" w:customStyle="1" w:styleId="29">
    <w:name w:val="页脚 字符"/>
    <w:basedOn w:val="24"/>
    <w:link w:val="15"/>
    <w:autoRedefine/>
    <w:qFormat/>
    <w:uiPriority w:val="99"/>
    <w:rPr>
      <w:sz w:val="18"/>
      <w:szCs w:val="18"/>
    </w:rPr>
  </w:style>
  <w:style w:type="paragraph" w:customStyle="1" w:styleId="30">
    <w:name w:val="MTDisplayEquation"/>
    <w:basedOn w:val="1"/>
    <w:next w:val="1"/>
    <w:link w:val="31"/>
    <w:qFormat/>
    <w:uiPriority w:val="0"/>
    <w:pPr>
      <w:tabs>
        <w:tab w:val="center" w:pos="4160"/>
        <w:tab w:val="right" w:pos="8300"/>
      </w:tabs>
      <w:jc w:val="left"/>
    </w:pPr>
    <w:rPr>
      <w:rFonts w:ascii="宋体" w:hAnsi="宋体"/>
      <w:szCs w:val="24"/>
    </w:rPr>
  </w:style>
  <w:style w:type="character" w:customStyle="1" w:styleId="31">
    <w:name w:val="MTDisplayEquation 字符"/>
    <w:basedOn w:val="24"/>
    <w:link w:val="30"/>
    <w:autoRedefine/>
    <w:qFormat/>
    <w:uiPriority w:val="0"/>
    <w:rPr>
      <w:rFonts w:ascii="宋体" w:hAnsi="宋体" w:eastAsia="宋体"/>
      <w:sz w:val="24"/>
      <w:szCs w:val="24"/>
    </w:rPr>
  </w:style>
  <w:style w:type="character" w:customStyle="1" w:styleId="32">
    <w:name w:val="标题 1 字符"/>
    <w:basedOn w:val="24"/>
    <w:link w:val="2"/>
    <w:qFormat/>
    <w:uiPriority w:val="99"/>
    <w:rPr>
      <w:rFonts w:ascii="宋体" w:hAnsi="宋体" w:eastAsia="黑体" w:cs="宋体"/>
      <w:bCs/>
      <w:kern w:val="44"/>
      <w:sz w:val="30"/>
      <w:szCs w:val="48"/>
    </w:rPr>
  </w:style>
  <w:style w:type="character" w:customStyle="1" w:styleId="33">
    <w:name w:val="标题 2 字符"/>
    <w:basedOn w:val="24"/>
    <w:link w:val="3"/>
    <w:autoRedefine/>
    <w:qFormat/>
    <w:uiPriority w:val="99"/>
    <w:rPr>
      <w:rFonts w:ascii="Arial" w:hAnsi="Arial" w:eastAsia="楷体" w:cs="Arial"/>
      <w:sz w:val="28"/>
      <w:szCs w:val="32"/>
    </w:rPr>
  </w:style>
  <w:style w:type="character" w:customStyle="1" w:styleId="34">
    <w:name w:val="标题 3 字符"/>
    <w:basedOn w:val="24"/>
    <w:link w:val="4"/>
    <w:qFormat/>
    <w:uiPriority w:val="99"/>
    <w:rPr>
      <w:rFonts w:ascii="Calibri" w:hAnsi="Calibri" w:eastAsia="宋体" w:cs="Calibri"/>
      <w:b/>
      <w:sz w:val="24"/>
      <w:szCs w:val="32"/>
    </w:rPr>
  </w:style>
  <w:style w:type="paragraph" w:customStyle="1" w:styleId="35">
    <w:name w:val="msonormal"/>
    <w:basedOn w:val="1"/>
    <w:qFormat/>
    <w:uiPriority w:val="0"/>
    <w:pPr>
      <w:widowControl/>
      <w:spacing w:before="100" w:beforeAutospacing="1" w:after="100" w:afterAutospacing="1"/>
      <w:jc w:val="left"/>
    </w:pPr>
    <w:rPr>
      <w:rFonts w:ascii="宋体" w:hAnsi="宋体" w:cs="宋体"/>
      <w:kern w:val="0"/>
      <w:szCs w:val="24"/>
    </w:rPr>
  </w:style>
  <w:style w:type="character" w:styleId="36">
    <w:name w:val="Placeholder Text"/>
    <w:basedOn w:val="24"/>
    <w:autoRedefine/>
    <w:semiHidden/>
    <w:qFormat/>
    <w:uiPriority w:val="99"/>
    <w:rPr>
      <w:color w:val="666666"/>
    </w:rPr>
  </w:style>
  <w:style w:type="paragraph" w:customStyle="1" w:styleId="37">
    <w:name w:val="acbfdd8b-e11b-4d36-88ff-6049b138f862"/>
    <w:basedOn w:val="13"/>
    <w:link w:val="38"/>
    <w:qFormat/>
    <w:uiPriority w:val="0"/>
    <w:pPr>
      <w:adjustRightInd w:val="0"/>
      <w:spacing w:after="0" w:line="288" w:lineRule="auto"/>
      <w:jc w:val="left"/>
    </w:pPr>
    <w:rPr>
      <w:rFonts w:ascii="微软雅黑" w:hAnsi="微软雅黑" w:eastAsia="微软雅黑"/>
      <w:color w:val="000000"/>
      <w:sz w:val="22"/>
      <w:szCs w:val="32"/>
    </w:rPr>
  </w:style>
  <w:style w:type="character" w:customStyle="1" w:styleId="38">
    <w:name w:val="acbfdd8b-e11b-4d36-88ff-6049b138f862 字符"/>
    <w:basedOn w:val="24"/>
    <w:link w:val="37"/>
    <w:autoRedefine/>
    <w:qFormat/>
    <w:uiPriority w:val="0"/>
    <w:rPr>
      <w:rFonts w:ascii="微软雅黑" w:hAnsi="微软雅黑" w:eastAsia="微软雅黑"/>
      <w:color w:val="000000"/>
      <w:sz w:val="22"/>
      <w:szCs w:val="32"/>
    </w:rPr>
  </w:style>
  <w:style w:type="character" w:customStyle="1" w:styleId="39">
    <w:name w:val="正文文本 字符"/>
    <w:basedOn w:val="24"/>
    <w:link w:val="13"/>
    <w:qFormat/>
    <w:uiPriority w:val="99"/>
  </w:style>
  <w:style w:type="paragraph" w:customStyle="1" w:styleId="40">
    <w:name w:val="TOC 标题1"/>
    <w:basedOn w:val="2"/>
    <w:next w:val="1"/>
    <w:unhideWhenUsed/>
    <w:qFormat/>
    <w:uiPriority w:val="39"/>
    <w:pPr>
      <w:keepNext/>
      <w:keepLines/>
      <w:widowControl/>
      <w:spacing w:before="240" w:line="259" w:lineRule="auto"/>
      <w:outlineLvl w:val="9"/>
    </w:pPr>
    <w:rPr>
      <w:rFonts w:asciiTheme="majorHAnsi" w:hAnsiTheme="majorHAnsi" w:eastAsiaTheme="majorEastAsia" w:cstheme="majorBidi"/>
      <w:bCs w:val="0"/>
      <w:color w:val="2F5597" w:themeColor="accent1" w:themeShade="BF"/>
      <w:kern w:val="0"/>
      <w:sz w:val="32"/>
      <w:szCs w:val="32"/>
    </w:rPr>
  </w:style>
  <w:style w:type="paragraph" w:customStyle="1" w:styleId="41">
    <w:name w:val="b63ee27f-4cf3-414c-9275-d88e3f90795e"/>
    <w:basedOn w:val="4"/>
    <w:next w:val="37"/>
    <w:link w:val="42"/>
    <w:qFormat/>
    <w:uiPriority w:val="0"/>
    <w:pPr>
      <w:adjustRightInd w:val="0"/>
      <w:spacing w:line="288" w:lineRule="auto"/>
      <w:jc w:val="left"/>
    </w:pPr>
    <w:rPr>
      <w:rFonts w:ascii="微软雅黑" w:hAnsi="微软雅黑" w:eastAsia="微软雅黑"/>
      <w:bCs/>
      <w:color w:val="000000"/>
      <w:sz w:val="26"/>
      <w:szCs w:val="24"/>
    </w:rPr>
  </w:style>
  <w:style w:type="character" w:customStyle="1" w:styleId="42">
    <w:name w:val="b63ee27f-4cf3-414c-9275-d88e3f90795e 字符"/>
    <w:basedOn w:val="24"/>
    <w:link w:val="41"/>
    <w:autoRedefine/>
    <w:qFormat/>
    <w:uiPriority w:val="0"/>
    <w:rPr>
      <w:rFonts w:ascii="微软雅黑" w:hAnsi="微软雅黑" w:eastAsia="微软雅黑" w:cs="Calibri"/>
      <w:b/>
      <w:bCs/>
      <w:color w:val="000000"/>
      <w:sz w:val="26"/>
      <w:szCs w:val="24"/>
    </w:rPr>
  </w:style>
  <w:style w:type="character" w:customStyle="1" w:styleId="43">
    <w:name w:val="批注文字 字符"/>
    <w:basedOn w:val="24"/>
    <w:link w:val="12"/>
    <w:autoRedefine/>
    <w:qFormat/>
    <w:uiPriority w:val="99"/>
    <w:rPr>
      <w:rFonts w:ascii="等线" w:hAnsi="等线" w:eastAsia="等线" w:cs="Times New Roman"/>
      <w:szCs w:val="21"/>
    </w:rPr>
  </w:style>
  <w:style w:type="paragraph" w:customStyle="1" w:styleId="44">
    <w:name w:val="表格正文"/>
    <w:qFormat/>
    <w:uiPriority w:val="0"/>
    <w:pPr>
      <w:jc w:val="center"/>
    </w:pPr>
    <w:rPr>
      <w:rFonts w:ascii="Times New Roman" w:hAnsi="Times New Roman" w:eastAsia="宋体" w:cs="Times New Roman"/>
      <w:kern w:val="2"/>
      <w:sz w:val="24"/>
      <w:szCs w:val="21"/>
      <w:lang w:val="en-US" w:eastAsia="zh-CN" w:bidi="ar-SA"/>
    </w:rPr>
  </w:style>
  <w:style w:type="character" w:customStyle="1" w:styleId="45">
    <w:name w:val="font01"/>
    <w:basedOn w:val="24"/>
    <w:autoRedefine/>
    <w:qFormat/>
    <w:uiPriority w:val="0"/>
    <w:rPr>
      <w:rFonts w:hint="default" w:ascii="Arial" w:hAnsi="Arial" w:cs="Arial"/>
      <w:color w:val="000000"/>
      <w:sz w:val="20"/>
      <w:szCs w:val="20"/>
      <w:u w:val="none"/>
    </w:rPr>
  </w:style>
  <w:style w:type="character" w:customStyle="1" w:styleId="46">
    <w:name w:val="font11"/>
    <w:basedOn w:val="24"/>
    <w:qFormat/>
    <w:uiPriority w:val="0"/>
    <w:rPr>
      <w:rFonts w:hint="eastAsia" w:ascii="宋体" w:hAnsi="宋体" w:eastAsia="宋体"/>
      <w:color w:val="000000"/>
      <w:sz w:val="20"/>
      <w:szCs w:val="20"/>
      <w:u w:val="none"/>
    </w:rPr>
  </w:style>
  <w:style w:type="paragraph" w:customStyle="1" w:styleId="47">
    <w:name w:val="TOC 标题2"/>
    <w:basedOn w:val="2"/>
    <w:next w:val="1"/>
    <w:autoRedefine/>
    <w:unhideWhenUsed/>
    <w:qFormat/>
    <w:uiPriority w:val="39"/>
    <w:pPr>
      <w:keepNext/>
      <w:keepLines/>
      <w:widowControl/>
      <w:spacing w:before="240" w:line="259" w:lineRule="auto"/>
      <w:outlineLvl w:val="9"/>
    </w:pPr>
    <w:rPr>
      <w:rFonts w:asciiTheme="majorHAnsi" w:hAnsiTheme="majorHAnsi" w:eastAsiaTheme="majorEastAsia" w:cstheme="majorBidi"/>
      <w:bCs w:val="0"/>
      <w:color w:val="2F5597" w:themeColor="accent1" w:themeShade="BF"/>
      <w:kern w:val="0"/>
      <w:sz w:val="32"/>
      <w:szCs w:val="32"/>
    </w:rPr>
  </w:style>
  <w:style w:type="character" w:customStyle="1" w:styleId="48">
    <w:name w:val="标题 4 字符"/>
    <w:basedOn w:val="24"/>
    <w:link w:val="5"/>
    <w:qFormat/>
    <w:uiPriority w:val="9"/>
    <w:rPr>
      <w:rFonts w:eastAsia="宋体" w:asciiTheme="majorHAnsi" w:hAnsiTheme="majorHAnsi" w:cstheme="majorBidi"/>
      <w:bCs/>
      <w:kern w:val="2"/>
      <w:sz w:val="24"/>
      <w:szCs w:val="28"/>
    </w:rPr>
  </w:style>
  <w:style w:type="paragraph" w:customStyle="1" w:styleId="49">
    <w:name w:val="Compact"/>
    <w:basedOn w:val="13"/>
    <w:qFormat/>
    <w:uiPriority w:val="0"/>
    <w:pPr>
      <w:spacing w:before="36" w:after="36"/>
      <w:jc w:val="left"/>
    </w:pPr>
    <w:rPr>
      <w:rFonts w:ascii="Aptos" w:hAnsi="Aptos" w:eastAsia="等线" w:cs="Times New Roman"/>
      <w:kern w:val="0"/>
      <w:szCs w:val="24"/>
    </w:rPr>
  </w:style>
  <w:style w:type="paragraph" w:customStyle="1" w:styleId="50">
    <w:name w:val="First Paragraph"/>
    <w:next w:val="13"/>
    <w:qFormat/>
    <w:uiPriority w:val="0"/>
    <w:pPr>
      <w:spacing w:before="180" w:after="180"/>
    </w:pPr>
    <w:rPr>
      <w:rFonts w:ascii="Aptos" w:hAnsi="Aptos" w:eastAsia="等线" w:cs="Times New Roman"/>
      <w:sz w:val="24"/>
      <w:szCs w:val="24"/>
      <w:lang w:val="en-US" w:eastAsia="zh-CN" w:bidi="ar-SA"/>
    </w:rPr>
  </w:style>
  <w:style w:type="table" w:customStyle="1" w:styleId="51">
    <w:name w:val="Table"/>
    <w:basedOn w:val="22"/>
    <w:qFormat/>
    <w:uiPriority w:val="0"/>
    <w:tblStylePr w:type="firstRow">
      <w:tcPr>
        <w:tcBorders>
          <w:bottom w:val="single" w:color="auto" w:sz="2" w:space="0"/>
        </w:tcBorders>
        <w:vAlign w:val="bottom"/>
      </w:tcPr>
    </w:tblStylePr>
  </w:style>
  <w:style w:type="paragraph" w:customStyle="1" w:styleId="52">
    <w:name w:val="图标标题"/>
    <w:qFormat/>
    <w:uiPriority w:val="0"/>
    <w:pPr>
      <w:spacing w:line="480" w:lineRule="exact"/>
      <w:jc w:val="center"/>
    </w:pPr>
    <w:rPr>
      <w:rFonts w:ascii="Times New Roman" w:hAnsi="Times New Roman" w:eastAsia="宋体" w:cstheme="minorBidi"/>
      <w:bCs/>
      <w:kern w:val="2"/>
      <w:sz w:val="24"/>
      <w:szCs w:val="22"/>
      <w:lang w:val="en-US" w:eastAsia="zh-CN" w:bidi="ar-SA"/>
    </w:rPr>
  </w:style>
  <w:style w:type="table" w:customStyle="1" w:styleId="53">
    <w:name w:val="三线表"/>
    <w:basedOn w:val="22"/>
    <w:qFormat/>
    <w:uiPriority w:val="99"/>
    <w:pPr>
      <w:jc w:val="center"/>
    </w:pPr>
    <w:rPr>
      <w:rFonts w:asciiTheme="minorHAnsi" w:hAnsiTheme="minorHAnsi" w:eastAsiaTheme="minorEastAsia" w:cstheme="minorBidi"/>
      <w:kern w:val="2"/>
      <w:sz w:val="21"/>
      <w:szCs w:val="22"/>
    </w:rPr>
    <w:tblPr>
      <w:jc w:val="center"/>
      <w:tblBorders>
        <w:bottom w:val="single" w:color="auto" w:sz="12" w:space="0"/>
      </w:tblBorders>
    </w:tblPr>
    <w:trPr>
      <w:jc w:val="center"/>
    </w:trPr>
    <w:tcPr>
      <w:vAlign w:val="center"/>
    </w:tcPr>
    <w:tblStylePr w:type="firstRow">
      <w:tcPr>
        <w:tcBorders>
          <w:top w:val="single" w:color="auto" w:sz="12" w:space="0"/>
          <w:left w:val="nil"/>
          <w:bottom w:val="single" w:color="auto" w:sz="6" w:space="0"/>
          <w:right w:val="nil"/>
          <w:insideH w:val="nil"/>
          <w:insideV w:val="nil"/>
          <w:tl2br w:val="nil"/>
          <w:tr2bl w:val="nil"/>
        </w:tcBorders>
      </w:tcPr>
    </w:tblStyle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1.png"/><Relationship Id="rId12" Type="http://schemas.openxmlformats.org/officeDocument/2006/relationships/theme" Target="theme/theme1.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0" Type="http://schemas.openxmlformats.org/officeDocument/2006/relationships/font" Target="fonts/font10.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SixthEditionOfficeOnline.xsl" Version="6"/>
</file>

<file path=customXml/itemProps1.xml><?xml version="1.0" encoding="utf-8"?>
<ds:datastoreItem xmlns:ds="http://schemas.openxmlformats.org/officeDocument/2006/customXml" ds:itemID="{2078002E-BAC1-4E25-BDFE-B30A8B299DF8}">
  <ds:schemaRefs/>
</ds:datastoreItem>
</file>

<file path=docProps/app.xml><?xml version="1.0" encoding="utf-8"?>
<Properties xmlns="http://schemas.openxmlformats.org/officeDocument/2006/extended-properties" xmlns:vt="http://schemas.openxmlformats.org/officeDocument/2006/docPropsVTypes">
  <Pages>35</Pages>
  <Words>10815</Words>
  <Characters>11554</Characters>
  <Lines>1102</Lines>
  <Paragraphs>1018</Paragraphs>
  <TotalTime>22</TotalTime>
  <ScaleCrop>false</ScaleCrop>
  <LinksUpToDate>false</LinksUpToDate>
  <CharactersWithSpaces>11770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2024-04-30T21:40:00Z</dcterms:created>
  <dc:creator>HP-PC</dc:creator>
  <cp:lastModifiedBy>2.21y</cp:lastModifiedBy>
  <cp:lastPrinted>2024-05-17T23:48:00Z</cp:lastPrinted>
  <dcterms:modified xsi:type="dcterms:W3CDTF">2026-05-09T08:12:33Z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2052-12.1.0.25225</vt:lpwstr>
  </property>
  <property fmtid="{D5CDD505-2E9C-101B-9397-08002B2CF9AE}" pid="4" name="ICV">
    <vt:lpwstr>CED12CBC67B44476976C55C34C1BACA8_13</vt:lpwstr>
  </property>
  <property fmtid="{D5CDD505-2E9C-101B-9397-08002B2CF9AE}" pid="5" name="KSOTemplateDocerSaveRecord">
    <vt:lpwstr>eyJoZGlkIjoiMTUyOWE1NWZiZDJjMTk3MjNlZDAwZjIxZGU4ODc5MDgiLCJ1c2VySWQiOiIxNDkwODkwMzExIn0=</vt:lpwstr>
  </property>
</Properties>
</file>