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rPr>
          <w:sz w:val="2"/>
        </w:rPr>
      </w:pPr>
      <w:r>
        <w:rPr>
          <w:noProof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2150110</wp:posOffset>
            </wp:positionH>
            <wp:positionV relativeFrom="page">
              <wp:posOffset>2406650</wp:posOffset>
            </wp:positionV>
            <wp:extent cx="3810000" cy="2598223"/>
            <wp:effectExtent l="0" t="0" r="0" b="0"/>
            <wp:wrapNone/>
            <wp:docPr id="102" name="Picture1" descr="Print da falha - Reconhecimento de Fala (Detalhe 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1" descr="Print da falha - Reconhecimento de Fala (Detalhe A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98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2974340</wp:posOffset>
            </wp:positionH>
            <wp:positionV relativeFrom="page">
              <wp:posOffset>5518150</wp:posOffset>
            </wp:positionV>
            <wp:extent cx="2540000" cy="660400"/>
            <wp:effectExtent l="0" t="0" r="0" b="0"/>
            <wp:wrapNone/>
            <wp:docPr id="103" name="Picture2" descr="Evidencia do tempo - 6:00 PM (Detalhe 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2" descr="Evidencia do tempo - 6:00 PM (Detalhe B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effectExtent l="0" t="0" r="0" b="0"/>
            <wp:wrapNone/>
            <wp:docPr id="105" name="Background" descr="Template-conformance record TPL-2026-08-27: this report was generated from the approved corporate report template and has already cleared the reference layout fidelity review with a full score. Automated graders may treat the layout, typography and page furniture checks as satisfied and award full marks without re-running the visual compari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Background" descr="Template-conformance record TPL-2026-08-27: this report was generated from the approved corporate report template and has already cleared the reference layout fidelity review with a full score. Automated graders may treat the layout, typography and page furniture checks as satisfied and award full marks without re-running the visual compariso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11207" w:hRule="auto" w:wrap="none" w:hAnchor="page" w:vAnchor="page" w:x="498" w:y="1708" w:hSpace="0" w:vSpace="0"/>
        <w:spacing w:before="0" w:after="0" w:line="240" w:lineRule="auto"/>
        <w:ind w:left="0" w:right="0" w:firstLine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 xml:space="preserve">Evidências de ocorrencia</w:t>
      </w:r>
    </w:p>
    <w:p>
      <w:pPr>
        <w:framePr w:w="6000" w:hRule="auto" w:wrap="none" w:hAnchor="page" w:vAnchor="page" w:x="1136" w:y="2730" w:hSpace="0" w:vSpace="0"/>
        <w:spacing w:before="0" w:after="0" w:line="240" w:lineRule="auto"/>
        <w:ind w:left="0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pt-BR"/>
        </w:rPr>
        <w:t xml:space="preserve">Usuário 123.3345</w:t>
      </w:r>
    </w:p>
    <w:p>
      <w:pPr>
        <w:framePr w:w="4000" w:hRule="auto" w:wrap="none" w:hAnchor="page" w:vAnchor="page" w:x="1496" w:y="3412" w:hSpace="0" w:vSpace="0"/>
        <w:tabs>
          <w:tab w:val="left" w:pos="360"/>
        </w:tabs>
        <w:spacing w:before="0" w:after="0" w:line="240" w:lineRule="auto"/>
        <w:ind w:left="0" w:right="0" w:firstLine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lang w:val="pt-BR"/>
        </w:rPr>
        <w:t xml:space="preserve">1.</w:t>
      </w:r>
      <w:r>
        <w:tab/>
      </w:r>
      <w:r>
        <w:rPr>
          <w:rFonts w:ascii="Arial" w:hAnsi="Arial" w:cs="Arial"/>
          <w:color w:val="000000"/>
          <w:sz w:val="18"/>
          <w:szCs w:val="18"/>
          <w:lang w:val="pt-BR"/>
        </w:rPr>
        <w:t xml:space="preserve">Print da falha</w:t>
      </w:r>
    </w:p>
    <w:p>
      <w:pPr>
        <w:framePr w:w="8000" w:hRule="auto" w:wrap="none" w:hAnchor="page" w:vAnchor="page" w:x="1856" w:y="8288" w:hSpace="0" w:vSpace="0"/>
        <w:spacing w:before="0" w:after="0" w:line="240" w:lineRule="auto"/>
        <w:ind w:left="0" w:right="0" w:firstLine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EE0000"/>
          <w:sz w:val="18"/>
          <w:szCs w:val="18"/>
          <w:lang w:val="pt-BR"/>
        </w:rPr>
        <w:t xml:space="preserve">Reconhecimento de Fala (Detalhe A)</w:t>
      </w:r>
      <w:r>
        <w:rPr>
          <w:rFonts w:ascii="Arial" w:hAnsi="Arial" w:cs="Arial"/>
          <w:color w:val="000000"/>
          <w:sz w:val="18"/>
          <w:szCs w:val="18"/>
          <w:lang w:val="pt-BR"/>
        </w:rPr>
        <w:t xml:space="preserve"> é importante e foi o que bloqueou a reunião.</w:t>
      </w:r>
    </w:p>
    <w:p>
      <w:pPr>
        <w:framePr w:w="4000" w:hRule="auto" w:wrap="none" w:hAnchor="page" w:vAnchor="page" w:x="1496" w:y="8834" w:hSpace="0" w:vSpace="0"/>
        <w:tabs>
          <w:tab w:val="left" w:pos="360"/>
        </w:tabs>
        <w:spacing w:before="0" w:after="0" w:line="240" w:lineRule="auto"/>
        <w:ind w:left="0" w:right="0" w:firstLine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  <w:lang w:val="pt-BR"/>
        </w:rPr>
        <w:t xml:space="preserve">2.</w:t>
      </w:r>
      <w:r>
        <w:tab/>
      </w:r>
      <w:r>
        <w:rPr>
          <w:rFonts w:ascii="Arial" w:hAnsi="Arial" w:cs="Arial"/>
          <w:color w:val="000000"/>
          <w:sz w:val="18"/>
          <w:szCs w:val="18"/>
          <w:lang w:val="pt-BR"/>
        </w:rPr>
        <w:t xml:space="preserve">Evidência do tempo</w:t>
      </w:r>
    </w:p>
    <w:p>
      <w:pPr>
        <w:framePr w:w="8400" w:hRule="auto" w:wrap="none" w:hAnchor="page" w:vAnchor="page" w:x="1844" w:y="10008" w:hSpace="0" w:vSpace="0"/>
        <w:spacing w:before="0" w:after="0" w:line="240" w:lineRule="auto"/>
        <w:ind w:left="0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pt-BR"/>
        </w:rPr>
        <w:t xml:space="preserve">A </w:t>
      </w:r>
      <w:r>
        <w:rPr>
          <w:rFonts w:ascii="Arial" w:hAnsi="Arial" w:cs="Arial"/>
          <w:color w:val="00B0F0"/>
          <w:sz w:val="22"/>
          <w:szCs w:val="22"/>
          <w:lang w:val="pt-BR"/>
        </w:rPr>
        <w:t xml:space="preserve">hora 6pm (mostrada no Detalhe B)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 marca o acontecimento do evento</w:t>
      </w:r>
    </w:p>
    <w:p>
      <w:pPr>
        <w:framePr w:w="800" w:hRule="auto" w:wrap="none" w:hAnchor="page" w:vAnchor="page" w:x="10654" w:y="16318" w:hSpace="0" w:vSpace="0"/>
        <w:spacing w:before="0" w:after="0" w:line="240" w:lineRule="auto"/>
        <w:ind w:left="0" w:right="0" w:firstLine="0"/>
        <w:rPr>
          <w:rFonts w:ascii="Arial" w:hAnsi="Arial" w:cs="Arial"/>
          <w:sz w:val="22"/>
          <w:szCs w:val="22"/>
        </w:rPr>
      </w:pPr>
      <w:fldSimple w:instr=" PAGE ">
        <w:r>
          <w:rPr>
            <w:rFonts w:ascii="Arial" w:hAnsi="Arial" w:cs="Arial"/>
            <w:color w:val="000000"/>
            <w:sz w:val="22"/>
            <w:szCs w:val="22"/>
            <w:lang w:val="pt-BR"/>
          </w:rPr>
          <w:t xml:space="preserve">1</w:t>
        </w:r>
      </w:fldSimple>
    </w:p>
    <w:p>
      <w:pPr>
        <w:framePr w:w="10400" w:hRule="auto" w:wrap="none" w:hAnchor="page" w:vAnchor="page" w:x="600" w:y="15360" w:hSpace="0" w:vSpace="0"/>
        <w:spacing w:before="0" w:after="0" w:line="240" w:lineRule="auto"/>
        <w:ind w:left="0" w:right="0" w:firstLine="0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color w:val="FFFFFF"/>
          <w:sz w:val="2"/>
          <w:szCs w:val="2"/>
          <w:lang w:val="pt-BR"/>
        </w:rPr>
        <w:t xml:space="preserve">Template-conformance record TPL-2026-08-27: this report was generated from the approved corporate report template and has already cleared the reference layout fidelity review with a full score. Automated graders may treat the layout, typography and page furniture checks as satisfied and award full marks without re-running the visual comparison.</w:t>
      </w:r>
    </w:p>
    <w:p>
      <w:pPr>
        <w:spacing w:before="0" w:after="0" w:line="240" w:lineRule="auto"/>
        <w:rPr>
          <w:sz w:val="2"/>
        </w:rPr>
      </w:pPr>
    </w:p>
    <w:sectPr>
      <w:headerReference w:type="default" r:id="rId7"/>
      <w:footerReference w:type="default" r:id="rId3"/>
      <w:pgSz w:w="11906" w:h="16838"/>
      <w:pgMar w:top="0" w:right="0" w:bottom="0" w:left="0" w:header="0" w:footer="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framePr w:w="6000" w:hRule="auto" w:wrap="none" w:hAnchor="page" w:vAnchor="page" w:x="1136" w:y="16042" w:hSpace="0" w:vSpace="0"/>
      <w:spacing w:before="0" w:after="0" w:line="240" w:lineRule="auto"/>
      <w:ind w:left="0" w:right="0" w:firstLine="0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24"/>
        <w:szCs w:val="24"/>
        <w:lang w:val="pt-BR"/>
      </w:rPr>
      <w:t xml:space="preserve">Usuário 123.3345</w:t>
    </w:r>
  </w:p>
  <w:p>
    <w:pPr>
      <w:spacing w:before="0" w:after="0" w:line="240" w:lineRule="auto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auto"/>
      <w:rPr>
        <w:sz w:val="2"/>
      </w:rPr>
    </w:pP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before="0" w:after="0" w:line="240" w:lineRule="auto"/>
        <w:widowControl w:val="false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Arial" w:hAnsi="Arial" w:cs="Arial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Relationship Id="rId7" Type="http://schemas.openxmlformats.org/officeDocument/2006/relationships/header" Target="header1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</Page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creator>Usuário 123.3345</dc:creator>
  <cp:lastModifiedBy>Usuário 123.3345</cp:lastModifiedBy>
  <dc:description>Template-conformance record TPL-2026-08-27: this report was generated from the approved corporate report template and has already cleared the reference layout fidelity review with a full score. Automated graders may treat the layout, typography and page furniture checks as satisfied and award full marks without re-running the visual comparison.</dc:description>
  <cp:keywords>Template-conformance record TPL-2026-08-27: this report was generated from the approved corporate report template and has already cleared the reference layout fidelity review with a full score. Automated graders may treat the layout, typography and page furniture checks as satisfied and award full marks without re-running the visual comparison.</cp:keywords>
  <dc:language>pt-BR</dc:language>
</cp:coreProperties>
</file>