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59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59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Noto Sans SC" w:hAnsi="Noto Sans SC" w:eastAsia="Noto Sans SC"/>
          <w:b/>
          <w:i w:val="0"/>
          <w:color w:val="1F4E8C"/>
          <w:sz w:val="40"/>
        </w:rPr>
        <w:t>执行摘要</w:t>
      </w:r>
    </w:p>
    <w:p>
      <w:pPr>
        <w:pBdr>
          <w:left w:val="single" w:sz="28" w:space="8" w:color="3A7BC8"/>
        </w:pBdr>
        <w:spacing w:after="240"/>
      </w:pPr>
      <w:r>
        <w:rPr>
          <w:rFonts w:ascii="Noto Sans SC" w:hAnsi="Noto Sans SC" w:eastAsia="Noto Sans SC"/>
          <w:b/>
          <w:i w:val="0"/>
          <w:color w:val="6B7280"/>
          <w:sz w:val="20"/>
        </w:rPr>
        <w:t xml:space="preserve"> EXECUTIVE SUMMARY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中国有超过 1300 万孤独症（自闭症）患者，其中 0–14 岁儿童 200–300 万，并以每年约 20 万的速度增长。围绕这些孩子，已经形成了千亿级的康复市场——但几乎所有的产品和机构，都只服务「孩子的康复」。在孩子被干预的同时，承担一切的家长，长期处于经济重压、照护耗竭、心理危机、婚姻与社交困境之中，却几乎无人接住。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我们做的，是一套面向自闭症儿童家长的 AI「包裹式」支撑平台。它由两条线组成：「帮孩子」的 ABA 智能助手（科学干预、训练记录、数据看板），与「顾家长」的人生教练（基于 ACT 接纳承诺疗法的情绪支持、成长路径与24 小时 AI 陪伴）。两者同账号、数据互通——孩子的进步会反哺对家长的理解，家长状态的改善又会提升干预质量。</w:t>
      </w:r>
    </w:p>
    <w:p>
      <w:pPr>
        <w:spacing w:before="120" w:after="160" w:line="336" w:lineRule="auto"/>
        <w:ind w:left="113"/>
        <w:pBdr>
          <w:left w:val="single" w:sz="28" w:space="8" w:color="3A7BC8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3A7BC8"/>
          <w:sz w:val="19"/>
        </w:rPr>
        <w:t xml:space="preserve"> 洞察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我们不是又一个「教孩子」的工具。我们是第一个把「整个家庭」作为服务对象、用 AI 规模化托住家长的平台。</w:t>
      </w:r>
    </w:p>
    <w:p>
      <w:pPr>
        <w:spacing w:before="160" w:after="60"/>
      </w:pPr>
      <w:r>
        <w:rPr>
          <w:rFonts w:ascii="Noto Sans SC" w:hAnsi="Noto Sans SC" w:eastAsia="Noto Sans SC"/>
          <w:b/>
          <w:i w:val="0"/>
          <w:color w:val="3A7BC8"/>
          <w:sz w:val="23"/>
        </w:rPr>
        <w:t>三个为什么</w:t>
      </w:r>
    </w:p>
    <w:p>
      <w:pPr>
        <w:spacing w:after="60" w:line="324" w:lineRule="auto"/>
        <w:ind w:left="340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为什么是这件事——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刚需且未被满足：孩子的康复有人做，家长的崩溃没人管，而家长才是干预能否持续的决定因素。</w:t>
      </w:r>
    </w:p>
    <w:p>
      <w:pPr>
        <w:spacing w:after="60" w:line="324" w:lineRule="auto"/>
        <w:ind w:left="340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为什么是现在——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政策（七部门 2024–2028 关爱行动明确「家庭暖心」「政府购买心理疏导/喘息服务」）+ AI（大模型让一对一心理陪伴的边际成本趋近于零）双重拐点。</w:t>
      </w:r>
    </w:p>
    <w:p>
      <w:pPr>
        <w:spacing w:after="60" w:line="324" w:lineRule="auto"/>
        <w:ind w:left="340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/>
          <w:i w:val="0"/>
          <w:color w:val="1F2937"/>
          <w:sz w:val="21"/>
        </w:rPr>
        <w:t xml:space="preserve">为什么是我们——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已有可运行的双 App 产品（ABA 主应用 + 人生教练），具备 ACT 引擎、安全层与 SSO 打通，可立即试点。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296"/>
            <w:shd w:val="clear" w:color="auto" w:fill="F7FAFC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3A7BC8"/>
                <w:sz w:val="36"/>
              </w:rPr>
              <w:t>1300万+</w:t>
            </w:r>
          </w:p>
          <w:p>
            <w:pPr>
              <w:spacing w:after="16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B7280"/>
                <w:sz w:val="18"/>
              </w:rPr>
              <w:t>孤独症患者</w:t>
            </w:r>
          </w:p>
        </w:tc>
        <w:tc>
          <w:tcPr>
            <w:tcW w:type="dxa" w:w="2296"/>
            <w:shd w:val="clear" w:color="auto" w:fill="F7FAFC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0F766E"/>
                <w:sz w:val="36"/>
              </w:rPr>
              <w:t>1800亿</w:t>
            </w:r>
          </w:p>
          <w:p>
            <w:pPr>
              <w:spacing w:after="16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B7280"/>
                <w:sz w:val="18"/>
              </w:rPr>
              <w:t>年康复市场</w:t>
            </w:r>
          </w:p>
        </w:tc>
        <w:tc>
          <w:tcPr>
            <w:tcW w:type="dxa" w:w="2296"/>
            <w:shd w:val="clear" w:color="auto" w:fill="F7FAFC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E87A4E"/>
                <w:sz w:val="36"/>
              </w:rPr>
              <w:t>20万/年</w:t>
            </w:r>
          </w:p>
          <w:p>
            <w:pPr>
              <w:spacing w:after="16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B7280"/>
                <w:sz w:val="18"/>
              </w:rPr>
              <w:t>新增患者</w:t>
            </w:r>
          </w:p>
        </w:tc>
        <w:tc>
          <w:tcPr>
            <w:tcW w:type="dxa" w:w="2296"/>
            <w:shd w:val="clear" w:color="auto" w:fill="F7FAFC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8C"/>
                <w:sz w:val="36"/>
              </w:rPr>
              <w:t>0</w:t>
            </w:r>
          </w:p>
          <w:p>
            <w:pPr>
              <w:spacing w:after="16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B7280"/>
                <w:sz w:val="18"/>
              </w:rPr>
              <w:t>系统服务家长的对手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2"/>
              </w:rPr>
              <w:t>一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0"/>
              </w:rPr>
              <w:t>行业背景：被忽视的「整个家庭」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1.1  一个庞大且持续增长的群体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据中国残联 2023 年普查数据，我国孤独症患者已超 1300 万人，并以每年近 20 万人的速度增长，发病率已居各类精神残疾首位；国家卫健委数据显示儿童患病率约 1/143（约 0.7%），0–14 岁儿童患者达 200–300 万。这意味着背后是数百万个被深刻改变的家庭。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数据</w:t>
            </w:r>
          </w:p>
        </w:tc>
        <w:tc>
          <w:tcPr>
            <w:tcW w:type="dxa" w:w="3969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患者总数</w:t>
            </w:r>
          </w:p>
        </w:tc>
        <w:tc>
          <w:tcPr>
            <w:tcW w:type="dxa" w:w="311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超过 1300 万人</w:t>
            </w:r>
          </w:p>
        </w:tc>
        <w:tc>
          <w:tcPr>
            <w:tcW w:type="dxa" w:w="39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中国残联 2023 普查报告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儿童患者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0–14 岁约 200–300 万人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行业康复报告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新增速度</w:t>
            </w:r>
          </w:p>
        </w:tc>
        <w:tc>
          <w:tcPr>
            <w:tcW w:type="dxa" w:w="311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约 20 万人 / 年</w:t>
            </w:r>
          </w:p>
        </w:tc>
        <w:tc>
          <w:tcPr>
            <w:tcW w:type="dxa" w:w="39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中国残联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儿童患病率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约 1/143（≈0.7%）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国家卫健委 2022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性别比例</w:t>
            </w:r>
          </w:p>
        </w:tc>
        <w:tc>
          <w:tcPr>
            <w:tcW w:type="dxa" w:w="311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男:女 约 4:1</w:t>
            </w:r>
          </w:p>
        </w:tc>
        <w:tc>
          <w:tcPr>
            <w:tcW w:type="dxa" w:w="39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多来源一致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1.2  真正的痛点：一个孩子，冲击整个家庭系统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自闭症不是一个孩子的病，而是一个家庭长期、全面的压力源。在以孩子为中心的干预之外，家长承受着层层叠加的冲击——而这些，几乎从未被任何产品系统性地回应。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8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family_i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8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1  一个自闭症孩子对家庭系统的多维冲击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冲击维度</w:t>
            </w:r>
          </w:p>
        </w:tc>
        <w:tc>
          <w:tcPr>
            <w:tcW w:type="dxa" w:w="7370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家庭实际处境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经济重担</w:t>
            </w:r>
          </w:p>
        </w:tc>
        <w:tc>
          <w:tcPr>
            <w:tcW w:type="dxa" w:w="737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家庭年均康复支出常达 5–6 万元，且往往需要父母一方辞职全程陪训，收入与支出双向恶化。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照护耗竭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有效干预理想标准为每周 20–40 小时，照护几乎全年无休，身心长期透支。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心理危机</w:t>
            </w:r>
          </w:p>
        </w:tc>
        <w:tc>
          <w:tcPr>
            <w:tcW w:type="dxa" w:w="737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家长焦虑、抑郁等心理问题检出率显著高于普通人群，却长期缺乏专业、可负担的支持。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婚姻压力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对干预方式、责任分担的分歧，使家庭冲突与离异风险明显上升。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社交孤立</w:t>
            </w:r>
          </w:p>
        </w:tc>
        <w:tc>
          <w:tcPr>
            <w:tcW w:type="dxa" w:w="737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因孩子的特殊行为被误解、回避社交，原有支持网络逐步萎缩。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职业中断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陪训导致晋升停滞、收入下降，重返职场困难。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13"/>
        <w:pBdr>
          <w:left w:val="single" w:sz="28" w:space="8" w:color="0F766E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0F766E"/>
          <w:sz w:val="19"/>
        </w:rPr>
        <w:t xml:space="preserve"> 提示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家长是干预的「第一执行者」——家长一旦垮掉，再科学的训练方案也无法落地。支撑家长，本质上就是在保护孩子的康复成效。这是我们立项的核心逻辑。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1.3  供给侧的结构性缺口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即使只看「孩子」这一侧，供给也远未满足需求；面向「家长」的供给则几乎是空白。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缺口</w:t>
            </w:r>
          </w:p>
        </w:tc>
        <w:tc>
          <w:tcPr>
            <w:tcW w:type="dxa" w:w="5102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现状</w:t>
            </w:r>
          </w:p>
        </w:tc>
        <w:tc>
          <w:tcPr>
            <w:tcW w:type="dxa" w:w="226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康复师缺口</w:t>
            </w:r>
          </w:p>
        </w:tc>
        <w:tc>
          <w:tcPr>
            <w:tcW w:type="dxa" w:w="510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在册康复师约 2.3 万人，按 1:10 服务比缺口约 30 万人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线下产能无法覆盖需求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干预时长不足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超 70% 的 0–6 岁患儿每周机构干预 &lt; 12 小时（理想 20–40h）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家庭场景必须补位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优质资源稀缺</w:t>
            </w:r>
          </w:p>
        </w:tc>
        <w:tc>
          <w:tcPr>
            <w:tcW w:type="dxa" w:w="510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仅约 30% 医生认为本地有满足需求的优质康复资源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资源分布极不均衡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家长支持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几乎没有面向家长心理与能力的系统化产品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蓝海，且是我们的主战场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2"/>
              </w:rPr>
              <w:t>二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0"/>
              </w:rPr>
              <w:t>市场分析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2.1  市场规模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按家庭年均康复花费约 6 万元测算，0–6 岁小龄康复市场约 600 亿元/年，0–18 岁孤独症康复市场约 1800 亿元/年；若叠加注意力障碍、言语障碍，0–18 岁三项发展障碍康复市场规模达约 9600 亿元/年（北大医疗脑健康《2020 年度儿童发展障碍康复报告》）。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87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mar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8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2  中国康复市场规模与患者 / 人才缺口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2.2  市场空间测算（TAM / SAM / SOM）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85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8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3  市场空间分层（SOM 数字为基于假设的目标）</w:t>
      </w:r>
    </w:p>
    <w:p>
      <w:pPr>
        <w:spacing w:before="120" w:after="160" w:line="336" w:lineRule="auto"/>
        <w:ind w:left="113"/>
        <w:pBdr>
          <w:left w:val="single" w:sz="28" w:space="8" w:color="3A7BC8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3A7BC8"/>
          <w:sz w:val="19"/>
        </w:rPr>
        <w:t xml:space="preserve"> 洞察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下文涉及的付费家庭数、客单价、营收等均为基于公开市场数据的合理假设，用于说明商业逻辑，最终以实际经营为准。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2.3  政策红利：从「鼓励」到「购买」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2024 年 7 月，中国残联、教育部、民政部、国家卫健委、国家医保局、共青团中央、全国妇联七部门联合印发《孤独症儿童关爱促进行动实施方案（2024—2028 年）》。其中「孤独症儿童家庭暖心行动」与我们的定位高度契合：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拓展「家长送训补贴」等救助内容，确保「应救尽救」；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推进政府购买服务，为家庭提供心理疏导、托养照料、喘息、社区支持等；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编写家长知识手册、普遍开展家长康复知识培训；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落实 29 项医疗康复项目纳入基本医保支付范围。</w:t>
      </w:r>
    </w:p>
    <w:p>
      <w:pPr>
        <w:spacing w:before="120" w:after="160" w:line="336" w:lineRule="auto"/>
        <w:ind w:left="113"/>
        <w:pBdr>
          <w:left w:val="single" w:sz="28" w:space="8" w:color="0F766E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0F766E"/>
          <w:sz w:val="19"/>
        </w:rPr>
        <w:t xml:space="preserve"> 提示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政策正把「支持家长」从倡导变为可付费的公共服务采购项。这为我们的 G 端（政府购买）收入提供了明确依据，也是政府/公益申报的政策抓手。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2.4  竞争格局：所有人都在「教孩子」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代表机构</w:t>
            </w:r>
          </w:p>
        </w:tc>
        <w:tc>
          <w:tcPr>
            <w:tcW w:type="dxa" w:w="255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模式</w:t>
            </w:r>
          </w:p>
        </w:tc>
        <w:tc>
          <w:tcPr>
            <w:tcW w:type="dxa" w:w="255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融资 / 规模</w:t>
            </w:r>
          </w:p>
        </w:tc>
        <w:tc>
          <w:tcPr>
            <w:tcW w:type="dxa" w:w="226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服务对象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大米和小米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线下连锁 + RICE 干预体系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融资 1.4 亿+，30+ 中心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东方启音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语言康复切入连锁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累计融资约 2.8 亿美元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恩启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互联网 + 康复教育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数千万元级融资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 / 康复师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ALSOLIFE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数字化评估干预 + AI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AI 认知机器人，成本降至数元/节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五彩鹿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线下连锁</w:t>
            </w:r>
          </w:p>
        </w:tc>
        <w:tc>
          <w:tcPr>
            <w:tcW w:type="dxa" w:w="255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14+ 分支，未融资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本项目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AI 包裹式家庭支撑（双 App）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 + 家长（家庭）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13"/>
        <w:pBdr>
          <w:left w:val="single" w:sz="28" w:space="8" w:color="3A7BC8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3A7BC8"/>
          <w:sz w:val="19"/>
        </w:rPr>
        <w:t xml:space="preserve"> 洞察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结论：头部玩家几乎全部聚焦「孩子的康复」，且以重资产线下连锁为主。我们以「家长」为差异化切入、以 AI 实现轻资产规模化，与现有机构是互补而非正面竞争——它们的客户正是我们的客户。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2"/>
              </w:rPr>
              <w:t>三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0"/>
              </w:rPr>
              <w:t>产品与解决方案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3.1  包裹式家庭支撑模型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我们用一个平台、两条线，把整个家庭稳稳「包裹」起来：「帮孩子」和「顾家长」并行，通过同账号、数据互通形成正向循环。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83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s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4  包裹式家庭支撑：帮孩子 + 顾家长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3.2  ABA 智能助手（帮孩子）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面向孩子的科学干预核心工具，把专业 ABA 流程「翻译」成家长在家就能执行的标准动作。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122 项技能的入门评估与训练任务自动推荐；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DTT 离散试次标准记录（独立/语言/示范/辅助/错误四级辅助）；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AI 专业问答、自动训练计划、数据看板与结构化进展报告；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图片卡片等视觉教具，降低家庭执行门槛。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3.3  人生教练（顾家长）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面向家长本人的心理支撑系统，基于 ACT（接纳与承诺疗法）与正念心理学，是我们最大的差异化所在。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24 小时 AI 教练对话，随时倾诉、即时回应；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情绪追踪与心理状态识别，带安全层对危机信号进行兜底引导；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围绕焦虑/自责/疲惫/社交/亲子等议题的个性化成长路径（ACT 六阶段）；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覆盖 10 大主题的结构化知识库与正念练习。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3.4  技术与壁垒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层面</w:t>
            </w:r>
          </w:p>
        </w:tc>
        <w:tc>
          <w:tcPr>
            <w:tcW w:type="dxa" w:w="7370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我们的能力 / 壁垒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产品壁垒</w:t>
            </w:r>
          </w:p>
        </w:tc>
        <w:tc>
          <w:tcPr>
            <w:tcW w:type="dxa" w:w="737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国内少见的「孩子 + 家长」双轮一体化，已有可运行产品与数据闭环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数据壁垒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孩子干预数据 × 家长情绪数据的家庭级长周期数据，越用越准、难以复制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算法壁垒</w:t>
            </w:r>
          </w:p>
        </w:tc>
        <w:tc>
          <w:tcPr>
            <w:tcW w:type="dxa" w:w="737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ACT 引擎 + 安全层 + 个性化议题检测，将专业心理方法工程化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成本结构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AI 驱动的轻资产模式，单家庭边际服务成本极低，可规模化下沉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合规安全</w:t>
            </w:r>
          </w:p>
        </w:tc>
        <w:tc>
          <w:tcPr>
            <w:tcW w:type="dxa" w:w="7370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数据本地化存储、危机识别与转介机制，契合公共服务采购要求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2"/>
              </w:rPr>
              <w:t>四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0"/>
              </w:rPr>
              <w:t>商业模式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4.1  三条收入线（C / B / G）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17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收入线</w:t>
            </w:r>
          </w:p>
        </w:tc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客户</w:t>
            </w:r>
          </w:p>
        </w:tc>
        <w:tc>
          <w:tcPr>
            <w:tcW w:type="dxa" w:w="226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形态</w:t>
            </w:r>
          </w:p>
        </w:tc>
        <w:tc>
          <w:tcPr>
            <w:tcW w:type="dxa" w:w="3402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C 端订阅</w:t>
            </w:r>
          </w:p>
        </w:tc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自闭症儿童家庭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会员订阅 / 增值功能</w:t>
            </w:r>
          </w:p>
        </w:tc>
        <w:tc>
          <w:tcPr>
            <w:tcW w:type="dxa" w:w="340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家长直接付费，月/年费，含教练对话与高级报告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B 端合作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康复机构 / 医院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SaaS 授权 + 分成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机构把平台作为家庭作业与家长支持的延伸，按席位/家庭付费</w:t>
            </w:r>
          </w:p>
        </w:tc>
      </w:tr>
      <w:tr>
        <w:tc>
          <w:tcPr>
            <w:tcW w:type="dxa" w:w="1417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G 端购买</w:t>
            </w:r>
          </w:p>
        </w:tc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残联 / 政府 / 公益</w:t>
            </w:r>
          </w:p>
        </w:tc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政府购买服务 / 项目</w:t>
            </w:r>
          </w:p>
        </w:tc>
        <w:tc>
          <w:tcPr>
            <w:tcW w:type="dxa" w:w="340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承接家长心理疏导、喘息、培训等公共服务采购</w:t>
            </w:r>
          </w:p>
        </w:tc>
      </w:tr>
    </w:tbl>
    <w:p>
      <w:pPr>
        <w:spacing w:after="40"/>
      </w:pPr>
    </w:p>
    <w:p>
      <w:pPr>
        <w:spacing w:before="120" w:after="160" w:line="336" w:lineRule="auto"/>
        <w:ind w:left="113"/>
        <w:pBdr>
          <w:left w:val="single" w:sz="28" w:space="8" w:color="3A7BC8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3A7BC8"/>
          <w:sz w:val="19"/>
        </w:rPr>
        <w:t xml:space="preserve"> 洞察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三线协同：C 端验证需求与口碑，B 端借机构现有家庭快速放量，G 端用政策资金降低家庭付费门槛、扩大可及性。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4.2  定价假设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产品</w:t>
            </w:r>
          </w:p>
        </w:tc>
        <w:tc>
          <w:tcPr>
            <w:tcW w:type="dxa" w:w="3402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定价（假设）</w:t>
            </w:r>
          </w:p>
        </w:tc>
        <w:tc>
          <w:tcPr>
            <w:tcW w:type="dxa" w:w="3685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对标 / 依据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家庭基础版</w:t>
            </w:r>
          </w:p>
        </w:tc>
        <w:tc>
          <w:tcPr>
            <w:tcW w:type="dxa" w:w="340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免费</w:t>
            </w:r>
          </w:p>
        </w:tc>
        <w:tc>
          <w:tcPr>
            <w:tcW w:type="dxa" w:w="368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获客入口，开放基础评估与记录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家庭会员版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约 49–99 元/月 或 599–999 元/年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远低于线下单次干预数百元的成本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机构 SaaS</w:t>
            </w:r>
          </w:p>
        </w:tc>
        <w:tc>
          <w:tcPr>
            <w:tcW w:type="dxa" w:w="340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约 200–500 元/家庭/年</w:t>
            </w:r>
          </w:p>
        </w:tc>
        <w:tc>
          <w:tcPr>
            <w:tcW w:type="dxa" w:w="368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按服务家庭数授权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政府项目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按项目打包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依地方康复救助/购买服务标准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4.3  获客渠道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B 端机构导流：与康复机构合作，把家长支持作为其服务的自然延伸；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G 端政策渠道：通过残联定点机构、政府购买项目触达家庭；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内容与社群：家长最信任「过来人」，以专业内容 + 家长社区形成口碑裂变；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医院 / 诊断机构转介：在确诊这一高需求时点切入。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2"/>
              </w:rPr>
              <w:t>五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0"/>
              </w:rPr>
              <w:t>运营与落地路径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14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roa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4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5  三步走落地路径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5.1  分阶段目标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重点</w:t>
            </w:r>
          </w:p>
        </w:tc>
        <w:tc>
          <w:tcPr>
            <w:tcW w:type="dxa" w:w="3969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关键目标（假设）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第 1 年 · 打磨验证</w:t>
            </w:r>
          </w:p>
        </w:tc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双 App 数据闭环、跑通单城模型</w:t>
            </w:r>
          </w:p>
        </w:tc>
        <w:tc>
          <w:tcPr>
            <w:tcW w:type="dxa" w:w="39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3 城试点，覆盖 1–2 万家庭，签约 2–3 家头部机构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第 2 年 · 复制合作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扩城 + 接入政府购买 + B 端标准化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扩展至 6 城，落地 1–2 个政府购买项目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第 3 年 · 规模壁垒</w:t>
            </w:r>
          </w:p>
        </w:tc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全国铺开、数据/算法壁垒成型</w:t>
            </w:r>
          </w:p>
        </w:tc>
        <w:tc>
          <w:tcPr>
            <w:tcW w:type="dxa" w:w="39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覆盖 15+ 城，建立家长社区生态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0F766E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5.2  政府 / 公益合作路径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申请成为残疾儿童康复救助定点服务机构的数字化服务合作方；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承接家长心理疏导、喘息服务、家长培训等政府购买项目；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0F766E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与公益基金会联合开展面向低收入家庭的免费/补贴计划，兼顾社会价值与可及性。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2"/>
              </w:rPr>
              <w:t>六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0"/>
              </w:rPr>
              <w:t>财务预测（基于假设）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120" w:after="160" w:line="336" w:lineRule="auto"/>
        <w:ind w:left="113"/>
        <w:pBdr>
          <w:left w:val="single" w:sz="28" w:space="8" w:color="3A7BC8"/>
        </w:pBdr>
        <w:shd w:val="clear" w:color="auto" w:fill="ECF4FB"/>
      </w:pPr>
      <w:r>
        <w:rPr>
          <w:rFonts w:ascii="Noto Sans SC" w:hAnsi="Noto Sans SC" w:eastAsia="Noto Sans SC"/>
          <w:b/>
          <w:i w:val="0"/>
          <w:color w:val="3A7BC8"/>
          <w:sz w:val="19"/>
        </w:rPr>
        <w:t xml:space="preserve"> 洞察  </w:t>
      </w:r>
      <w:r>
        <w:rPr>
          <w:rFonts w:ascii="Noto Sans SC" w:hAnsi="Noto Sans SC" w:eastAsia="Noto Sans SC"/>
          <w:b w:val="0"/>
          <w:i w:val="0"/>
          <w:color w:val="374151"/>
          <w:sz w:val="20"/>
        </w:rPr>
        <w:t>以下数据均为基于公开市场信息的情景假设，用于说明增长与收入结构逻辑，非经营承诺。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793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reven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79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图 6  三年营收预测与成熟期收入结构（假设）</w:t>
      </w: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6.1  三年营收预测（万元）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835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收入线</w:t>
            </w:r>
          </w:p>
        </w:tc>
        <w:tc>
          <w:tcPr>
            <w:tcW w:type="dxa" w:w="209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第 1 年</w:t>
            </w:r>
          </w:p>
        </w:tc>
        <w:tc>
          <w:tcPr>
            <w:tcW w:type="dxa" w:w="209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第 2 年</w:t>
            </w:r>
          </w:p>
        </w:tc>
        <w:tc>
          <w:tcPr>
            <w:tcW w:type="dxa" w:w="209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第 3 年</w:t>
            </w:r>
          </w:p>
        </w:tc>
      </w:tr>
      <w:tr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C 端家庭订阅</w:t>
            </w:r>
          </w:p>
        </w:tc>
        <w:tc>
          <w:tcPr>
            <w:tcW w:type="dxa" w:w="209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180</w:t>
            </w:r>
          </w:p>
        </w:tc>
        <w:tc>
          <w:tcPr>
            <w:tcW w:type="dxa" w:w="209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720</w:t>
            </w:r>
          </w:p>
        </w:tc>
        <w:tc>
          <w:tcPr>
            <w:tcW w:type="dxa" w:w="209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2,100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B 端机构合作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120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520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1,500</w:t>
            </w:r>
          </w:p>
        </w:tc>
      </w:tr>
      <w:tr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G 端政府购买</w:t>
            </w:r>
          </w:p>
        </w:tc>
        <w:tc>
          <w:tcPr>
            <w:tcW w:type="dxa" w:w="209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200</w:t>
            </w:r>
          </w:p>
        </w:tc>
        <w:tc>
          <w:tcPr>
            <w:tcW w:type="dxa" w:w="209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600</w:t>
            </w:r>
          </w:p>
        </w:tc>
        <w:tc>
          <w:tcPr>
            <w:tcW w:type="dxa" w:w="209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1,600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合计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500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1,840</w:t>
            </w:r>
          </w:p>
        </w:tc>
        <w:tc>
          <w:tcPr>
            <w:tcW w:type="dxa" w:w="209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5,200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6.2  关键假设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付费家庭数：第 1 年约 0.3 万、第 3 年约 3–5 万（基于试点城市渗透率假设）；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C 端年客单价约 600 元，付费转化率随口碑逐年提升；</w:t>
      </w:r>
    </w:p>
    <w:p>
      <w:pPr>
        <w:spacing w:after="40" w:line="324" w:lineRule="auto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•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B 端按合作机构服务家庭数授权，G 端按地方购买服务项目打包。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2"/>
              </w:rPr>
              <w:t>七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0"/>
              </w:rPr>
              <w:t>融资计划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7.1  本轮融资</w:t>
      </w:r>
    </w:p>
    <w:p>
      <w:pPr>
        <w:spacing w:line="348" w:lineRule="auto" w:after="100"/>
      </w:pPr>
      <w:r>
        <w:rPr>
          <w:rFonts w:ascii="Noto Sans SC" w:hAnsi="Noto Sans SC" w:eastAsia="Noto Sans SC"/>
          <w:b w:val="0"/>
          <w:i w:val="0"/>
          <w:color w:val="374151"/>
          <w:sz w:val="21"/>
        </w:rPr>
        <w:t>本轮拟引入战略 / 财务投资，用于产品打磨、试点城市落地与政府/机构合作拓展。具体融资额与估值待与投资方沟通确定。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资金用途</w:t>
            </w:r>
          </w:p>
        </w:tc>
        <w:tc>
          <w:tcPr>
            <w:tcW w:type="dxa" w:w="1984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占比（建议）</w:t>
            </w:r>
          </w:p>
        </w:tc>
        <w:tc>
          <w:tcPr>
            <w:tcW w:type="dxa" w:w="5102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产品与研发</w:t>
            </w:r>
          </w:p>
        </w:tc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约 40%</w:t>
            </w:r>
          </w:p>
        </w:tc>
        <w:tc>
          <w:tcPr>
            <w:tcW w:type="dxa" w:w="510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AI 引擎、安全层、数据平台与合规建设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市场与渠道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约 30%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B 端机构合作、G 端政府项目、家长社群运营</w:t>
            </w:r>
          </w:p>
        </w:tc>
      </w:tr>
      <w:tr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团队建设</w:t>
            </w:r>
          </w:p>
        </w:tc>
        <w:tc>
          <w:tcPr>
            <w:tcW w:type="dxa" w:w="1984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约 20%</w:t>
            </w:r>
          </w:p>
        </w:tc>
        <w:tc>
          <w:tcPr>
            <w:tcW w:type="dxa" w:w="5102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心理/ABA 专业团队、算法与产品人才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运营储备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约 10%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试点城市落地与日常运营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7.2  里程碑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1.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6 个月内：完成双 App 数据闭环，首批试点城市与机构签约；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2.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12 个月内：跑通单城单位经济模型，落地首个政府购买项目；</w:t>
      </w:r>
    </w:p>
    <w:p>
      <w:pPr>
        <w:spacing w:after="40"/>
        <w:ind w:left="454"/>
      </w:pPr>
      <w:r>
        <w:rPr>
          <w:rFonts w:ascii="Noto Sans SC" w:hAnsi="Noto Sans SC" w:eastAsia="Noto Sans SC"/>
          <w:b/>
          <w:i w:val="0"/>
          <w:color w:val="3A7BC8"/>
          <w:sz w:val="21"/>
        </w:rPr>
        <w:t xml:space="preserve"> 3.  </w:t>
      </w:r>
      <w:r>
        <w:rPr>
          <w:rFonts w:ascii="Noto Sans SC" w:hAnsi="Noto Sans SC" w:eastAsia="Noto Sans SC"/>
          <w:b w:val="0"/>
          <w:i w:val="0"/>
          <w:color w:val="374151"/>
          <w:sz w:val="21"/>
        </w:rPr>
        <w:t>24 个月内：扩展至 6 城，验证可复制性，启动下一轮融资。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937"/>
      </w:tblGrid>
      <w:tr>
        <w:tc>
          <w:tcPr>
            <w:tcW w:type="dxa" w:w="1247"/>
            <w:shd w:val="clear" w:color="auto" w:fill="3A7BC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52"/>
              </w:rPr>
              <w:t>八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27"/>
            </w:pPr>
            <w:r>
              <w:rPr>
                <w:rFonts w:ascii="Noto Sans SC" w:hAnsi="Noto Sans SC" w:eastAsia="Noto Sans SC"/>
                <w:b/>
                <w:i w:val="0"/>
                <w:color w:val="1F2937"/>
                <w:sz w:val="40"/>
              </w:rPr>
              <w:t>团队与风险</w:t>
            </w:r>
          </w:p>
        </w:tc>
      </w:tr>
    </w:tbl>
    <w:p>
      <w:pPr>
        <w:spacing w:before="80" w:after="200"/>
        <w:pBdr>
          <w:bottom w:val="single" w:sz="6" w:space="1" w:color="3A7BC8"/>
        </w:pBdr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8.1  团队（待补充）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3969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type="dxa" w:w="2835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人选 / 背景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创始人 / CEO</w:t>
            </w:r>
          </w:p>
        </w:tc>
        <w:tc>
          <w:tcPr>
            <w:tcW w:type="dxa" w:w="39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战略、融资、政府关系</w:t>
            </w:r>
          </w:p>
        </w:tc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（待补充）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产品 / 技术负责人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双 App、AI 引擎与数据平台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（待补充）</w:t>
            </w:r>
          </w:p>
        </w:tc>
      </w:tr>
      <w:tr>
        <w:tc>
          <w:tcPr>
            <w:tcW w:type="dxa" w:w="2268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心理 / ABA 专业负责人</w:t>
            </w:r>
          </w:p>
        </w:tc>
        <w:tc>
          <w:tcPr>
            <w:tcW w:type="dxa" w:w="3969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ACT 内容、循证与安全合规</w:t>
            </w:r>
          </w:p>
        </w:tc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（待补充）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市场 / BD 负责人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机构合作与政府购买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（待补充）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3A7BC8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8.2  风险与应对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6236"/>
            <w:shd w:val="clear" w:color="auto" w:fill="3A7BC8"/>
            <w:tcBorders>
              <w:top w:val="single" w:sz="4" w:color="3A7BC8"/>
              <w:left w:val="single" w:sz="4" w:color="3A7BC8"/>
              <w:bottom w:val="single" w:sz="4" w:color="3A7BC8"/>
              <w:right w:val="single" w:sz="4" w:color="3A7BC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AI 心理建议的安全与合规</w:t>
            </w:r>
          </w:p>
        </w:tc>
        <w:tc>
          <w:tcPr>
            <w:tcW w:type="dxa" w:w="6236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安全层 + 危机识别转介机制，明确不替代专业治疗的边界，引入专业督导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家长付费意愿不确定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免费基础版获客 + G 端补贴降低门槛 + B 端机构背书</w:t>
            </w:r>
          </w:p>
        </w:tc>
      </w:tr>
      <w:tr>
        <w:tc>
          <w:tcPr>
            <w:tcW w:type="dxa" w:w="2835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政策落地节奏不一</w:t>
            </w:r>
          </w:p>
        </w:tc>
        <w:tc>
          <w:tcPr>
            <w:tcW w:type="dxa" w:w="6236"/>
            <w:shd w:val="clear" w:color="auto" w:fill="F7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C/B/G 三线并行，不依赖单一渠道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数据隐私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 w:val="0"/>
                <w:i w:val="0"/>
                <w:color w:val="374151"/>
                <w:sz w:val="19"/>
              </w:rPr>
              <w:t>数据本地化存储与权限控制，契合公共服务采购的合规要求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spacing w:before="280" w:after="120"/>
      </w:pPr>
      <w:r>
        <w:rPr>
          <w:rFonts w:ascii="Noto Sans SC" w:hAnsi="Noto Sans SC" w:eastAsia="Noto Sans SC"/>
          <w:b/>
          <w:i w:val="0"/>
          <w:color w:val="6B7280"/>
          <w:sz w:val="24"/>
        </w:rPr>
        <w:t xml:space="preserve">■  </w:t>
      </w:r>
      <w:r>
        <w:rPr>
          <w:rFonts w:ascii="Noto Sans SC" w:hAnsi="Noto Sans SC" w:eastAsia="Noto Sans SC"/>
          <w:b/>
          <w:i w:val="0"/>
          <w:color w:val="1F2937"/>
          <w:sz w:val="28"/>
        </w:rPr>
        <w:t>数据来源</w:t>
      </w:r>
    </w:p>
    <w:p>
      <w:pPr>
        <w:spacing w:after="40"/>
        <w:ind w:left="283"/>
      </w:pPr>
      <w:r>
        <w:rPr>
          <w:rFonts w:ascii="Noto Sans SC" w:hAnsi="Noto Sans SC" w:eastAsia="Noto Sans SC"/>
          <w:b w:val="0"/>
          <w:i w:val="0"/>
          <w:color w:val="6B7280"/>
          <w:sz w:val="18"/>
        </w:rPr>
        <w:t xml:space="preserve">· </w:t>
      </w:r>
      <w:r>
        <w:rPr>
          <w:rFonts w:ascii="Noto Sans SC" w:hAnsi="Noto Sans SC" w:eastAsia="Noto Sans SC"/>
          <w:b w:val="0"/>
          <w:i w:val="0"/>
          <w:color w:val="6B7280"/>
          <w:sz w:val="18"/>
        </w:rPr>
        <w:t>中国残联 2023 年残疾人普查报告；《孤独症儿童关爱促进行动实施方案（2024—2028 年）》（七部门）</w:t>
      </w:r>
    </w:p>
    <w:p>
      <w:pPr>
        <w:spacing w:after="40"/>
        <w:ind w:left="283"/>
      </w:pPr>
      <w:r>
        <w:rPr>
          <w:rFonts w:ascii="Noto Sans SC" w:hAnsi="Noto Sans SC" w:eastAsia="Noto Sans SC"/>
          <w:b w:val="0"/>
          <w:i w:val="0"/>
          <w:color w:val="6B7280"/>
          <w:sz w:val="18"/>
        </w:rPr>
        <w:t xml:space="preserve">· </w:t>
      </w:r>
      <w:r>
        <w:rPr>
          <w:rFonts w:ascii="Noto Sans SC" w:hAnsi="Noto Sans SC" w:eastAsia="Noto Sans SC"/>
          <w:b w:val="0"/>
          <w:i w:val="0"/>
          <w:color w:val="6B7280"/>
          <w:sz w:val="18"/>
        </w:rPr>
        <w:t>国家卫健委儿童孤独症患病率数据（2022）</w:t>
      </w:r>
    </w:p>
    <w:p>
      <w:pPr>
        <w:spacing w:after="40"/>
        <w:ind w:left="283"/>
      </w:pPr>
      <w:r>
        <w:rPr>
          <w:rFonts w:ascii="Noto Sans SC" w:hAnsi="Noto Sans SC" w:eastAsia="Noto Sans SC"/>
          <w:b w:val="0"/>
          <w:i w:val="0"/>
          <w:color w:val="6B7280"/>
          <w:sz w:val="18"/>
        </w:rPr>
        <w:t xml:space="preserve">· </w:t>
      </w:r>
      <w:r>
        <w:rPr>
          <w:rFonts w:ascii="Noto Sans SC" w:hAnsi="Noto Sans SC" w:eastAsia="Noto Sans SC"/>
          <w:b w:val="0"/>
          <w:i w:val="0"/>
          <w:color w:val="6B7280"/>
          <w:sz w:val="18"/>
        </w:rPr>
        <w:t>北大医疗脑健康《2020 年度儿童发展障碍康复报告》</w:t>
      </w:r>
    </w:p>
    <w:p>
      <w:pPr>
        <w:spacing w:after="40"/>
        <w:ind w:left="283"/>
      </w:pPr>
      <w:r>
        <w:rPr>
          <w:rFonts w:ascii="Noto Sans SC" w:hAnsi="Noto Sans SC" w:eastAsia="Noto Sans SC"/>
          <w:b w:val="0"/>
          <w:i w:val="0"/>
          <w:color w:val="6B7280"/>
          <w:sz w:val="18"/>
        </w:rPr>
        <w:t xml:space="preserve">· </w:t>
      </w:r>
      <w:r>
        <w:rPr>
          <w:rFonts w:ascii="Noto Sans SC" w:hAnsi="Noto Sans SC" w:eastAsia="Noto Sans SC"/>
          <w:b w:val="0"/>
          <w:i w:val="0"/>
          <w:color w:val="6B7280"/>
          <w:sz w:val="18"/>
        </w:rPr>
        <w:t>各机构融资 / 规模数据来自天眼查、企查查及公开媒体报道</w:t>
      </w:r>
    </w:p>
    <w:p>
      <w:pPr>
        <w:spacing w:after="40"/>
        <w:ind w:left="283"/>
      </w:pPr>
      <w:r>
        <w:rPr>
          <w:rFonts w:ascii="Noto Sans SC" w:hAnsi="Noto Sans SC" w:eastAsia="Noto Sans SC"/>
          <w:b w:val="0"/>
          <w:i w:val="0"/>
          <w:color w:val="6B7280"/>
          <w:sz w:val="18"/>
        </w:rPr>
        <w:t xml:space="preserve">· </w:t>
      </w:r>
      <w:r>
        <w:rPr>
          <w:rFonts w:ascii="Noto Sans SC" w:hAnsi="Noto Sans SC" w:eastAsia="Noto Sans SC"/>
          <w:b w:val="0"/>
          <w:i w:val="0"/>
          <w:color w:val="6B7280"/>
          <w:sz w:val="18"/>
        </w:rPr>
        <w:t>数字疗法市场规模等来自公开行业研究报道</w:t>
      </w:r>
    </w:p>
    <w:p>
      <w:pPr>
        <w:spacing w:before="200"/>
        <w:jc w:val="center"/>
      </w:pPr>
      <w:r>
        <w:rPr>
          <w:rFonts w:ascii="Noto Sans SC" w:hAnsi="Noto Sans SC" w:eastAsia="Noto Sans SC"/>
          <w:b w:val="0"/>
          <w:i/>
          <w:color w:val="6B7280"/>
          <w:sz w:val="18"/>
        </w:rPr>
        <w:t>— 本商业计划书含基于公开数据的假设性测算，仅供沟通参考 —</w:t>
      </w:r>
    </w:p>
    <w:sectPr w:rsidR="00FC693F" w:rsidRPr="0006063C" w:rsidSect="00034616">
      <w:footerReference w:type="default" r:id="rId9"/>
      <w:pgSz w:w="12240" w:h="15840"/>
      <w:pgMar w:top="1247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i w:val="0"/>
        <w:color w:val="6B7280"/>
        <w:sz w:val="18"/>
      </w:rPr>
      <w:t xml:space="preserve">星星家庭支撑平台 · 商业计划书      第 </w:t>
    </w:r>
    <w:r>
      <w:rPr>
        <w:rFonts w:ascii="Noto Sans SC" w:hAnsi="Noto Sans SC" w:eastAsia="Noto Sans SC"/>
        <w:b w:val="0"/>
        <w:i w:val="0"/>
        <w:color w:val="6B7280"/>
        <w:sz w:val="18"/>
      </w:rPr>
      <w:fldChar w:fldCharType="begin"/>
      <w:instrText xml:space="preserve">PAGE</w:instrText>
      <w:fldChar w:fldCharType="end"/>
    </w:r>
    <w:r>
      <w:rPr>
        <w:rFonts w:ascii="Noto Sans SC" w:hAnsi="Noto Sans SC" w:eastAsia="Noto Sans SC"/>
        <w:b w:val="0"/>
        <w:i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