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auto" w:sz="0"/>
          <w:left w:val="none" w:color="auto" w:sz="0"/>
          <w:bottom w:val="none" w:color="auto" w:sz="0"/>
          <w:right w:val="none" w:color="auto" w:sz="0"/>
          <w:insideH w:val="none" w:color="auto" w:sz="0"/>
          <w:insideV w:val="none" w:color="auto" w:sz="0"/>
        </w:tblBorders>
      </w:tblPr>
      <w:tblGrid>
        <w:gridCol w:w="12240"/>
      </w:tblGrid>
      <w:tr>
        <w:tc>
          <w:tcPr>
            <w:tcW w:type="dxa" w:w="12240"/>
            <w:tcBorders>
              <w:top w:val="none" w:color="auto" w:sz="0"/>
              <w:left w:val="none" w:color="auto" w:sz="0"/>
              <w:bottom w:val="none" w:color="auto" w:sz="0"/>
              <w:right w:val="none" w:color="auto" w:sz="0"/>
            </w:tcBorders>
            <w:shd w:fill="F5F9FF" w:val="clear"/>
            <w:tcMar>
              <w:top w:type="dxa" w:w="260"/>
              <w:left w:type="dxa" w:w="0"/>
              <w:bottom w:type="dxa" w:w="260"/>
              <w:right w:type="dxa" w:w="0"/>
            </w:tcMar>
          </w:tcPr>
          <w:p>
            <w:pPr>
              <w:spacing w:before="700"/>
            </w:pPr>
          </w:p>
          <w:p>
            <w:pPr>
              <w:spacing w:after="160" w:before="0"/>
              <w:jc w:val="center"/>
            </w:pPr>
            <w:r>
              <w:drawing>
                <wp:inline distT="0" distB="0" distL="0" distR="0">
                  <wp:extent cx="18097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647825"/>
                          </a:xfrm>
                          <a:prstGeom prst="rect">
                            <a:avLst/>
                          </a:prstGeom>
                        </pic:spPr>
                      </pic:pic>
                    </a:graphicData>
                  </a:graphic>
                </wp:inline>
              </w:drawing>
            </w:r>
          </w:p>
          <w:p>
            <w:pPr>
              <w:spacing w:after="40" w:before="0"/>
              <w:jc w:val="center"/>
            </w:pPr>
            <w:r>
              <w:rPr>
                <w:rFonts w:ascii="Calibri" w:cs="Calibri" w:eastAsia="Calibri" w:hAnsi="Calibri"/>
                <w:b/>
                <w:bCs/>
                <w:i w:val="false"/>
                <w:iCs w:val="false"/>
                <w:color w:val="1F3A5F"/>
                <w:sz w:val="40"/>
                <w:szCs w:val="40"/>
              </w:rPr>
              <w:t xml:space="preserve">IT-SIMPLERA INSTITUTE</w:t>
            </w:r>
          </w:p>
          <w:p>
            <w:pPr>
              <w:spacing w:after="700" w:before="0"/>
              <w:jc w:val="center"/>
            </w:pPr>
            <w:r>
              <w:rPr>
                <w:rFonts w:ascii="Calibri" w:cs="Calibri" w:eastAsia="Calibri" w:hAnsi="Calibri"/>
                <w:b w:val="false"/>
                <w:bCs w:val="false"/>
                <w:i/>
                <w:iCs/>
                <w:color w:val="3A6EA5"/>
                <w:sz w:val="24"/>
                <w:szCs w:val="24"/>
              </w:rPr>
              <w:t xml:space="preserve">Cyber Security Analyst Internship Program</w:t>
            </w:r>
          </w:p>
        </w:tc>
      </w:tr>
    </w:tbl>
    <w:tbl>
      <w:tblPr>
        <w:tblW w:type="dxa" w:w="12240"/>
        <w:tblBorders>
          <w:top w:val="none" w:color="auto" w:sz="0"/>
          <w:left w:val="none" w:color="auto" w:sz="0"/>
          <w:bottom w:val="none" w:color="auto" w:sz="0"/>
          <w:right w:val="none" w:color="auto" w:sz="0"/>
          <w:insideH w:val="none" w:color="auto" w:sz="0"/>
          <w:insideV w:val="none" w:color="auto" w:sz="0"/>
        </w:tblBorders>
      </w:tblPr>
      <w:tblGrid>
        <w:gridCol w:w="12240"/>
      </w:tblGrid>
      <w:tr>
        <w:tc>
          <w:tcPr>
            <w:tcW w:type="dxa" w:w="12240"/>
            <w:tcBorders>
              <w:top w:val="none" w:color="auto" w:sz="0"/>
              <w:left w:val="none" w:color="auto" w:sz="0"/>
              <w:bottom w:val="none" w:color="auto" w:sz="0"/>
              <w:right w:val="none" w:color="auto" w:sz="0"/>
            </w:tcBorders>
            <w:shd w:fill="1F3A5F" w:val="clear"/>
            <w:tcMar>
              <w:top w:type="dxa" w:w="260"/>
              <w:left w:type="dxa" w:w="0"/>
              <w:bottom w:type="dxa" w:w="260"/>
              <w:right w:type="dxa" w:w="0"/>
            </w:tcMar>
          </w:tcPr>
          <w:p>
            <w:pPr>
              <w:spacing w:after="100" w:before="260"/>
              <w:jc w:val="center"/>
            </w:pPr>
            <w:r>
              <w:rPr>
                <w:rFonts w:ascii="Calibri" w:cs="Calibri" w:eastAsia="Calibri" w:hAnsi="Calibri"/>
                <w:b/>
                <w:bCs/>
                <w:i w:val="false"/>
                <w:iCs w:val="false"/>
                <w:color w:val="FFFFFF"/>
                <w:sz w:val="38"/>
                <w:szCs w:val="38"/>
              </w:rPr>
              <w:t xml:space="preserve">WEEK 03 ASSIGNMENT</w:t>
            </w:r>
          </w:p>
          <w:p>
            <w:pPr>
              <w:spacing w:after="60" w:before="0"/>
              <w:jc w:val="center"/>
            </w:pPr>
            <w:r>
              <w:rPr>
                <w:rFonts w:ascii="Calibri" w:cs="Calibri" w:eastAsia="Calibri" w:hAnsi="Calibri"/>
                <w:b w:val="false"/>
                <w:bCs w:val="false"/>
                <w:i w:val="false"/>
                <w:iCs w:val="false"/>
                <w:color w:val="D8E6F8"/>
                <w:sz w:val="24"/>
                <w:szCs w:val="24"/>
              </w:rPr>
              <w:t xml:space="preserve">Cybersecurity Fundamentals &amp; Security Concepts</w:t>
            </w:r>
          </w:p>
          <w:p>
            <w:pPr>
              <w:spacing w:after="260" w:before="0"/>
              <w:jc w:val="center"/>
            </w:pPr>
            <w:r>
              <w:rPr>
                <w:rFonts w:ascii="Calibri" w:cs="Calibri" w:eastAsia="Calibri" w:hAnsi="Calibri"/>
                <w:b w:val="false"/>
                <w:bCs w:val="false"/>
                <w:i/>
                <w:iCs/>
                <w:color w:val="AFC9EC"/>
                <w:sz w:val="18"/>
                <w:szCs w:val="18"/>
              </w:rPr>
              <w:t xml:space="preserve">Network Protocols  •  HTTP/HTTPS  •  Reconnaissance  •  DNS  •  Web Enumeration</w:t>
            </w:r>
          </w:p>
        </w:tc>
      </w:tr>
    </w:tbl>
    <w:tbl>
      <w:tblPr>
        <w:tblW w:type="dxa" w:w="12240"/>
        <w:tblBorders>
          <w:top w:val="none" w:color="auto" w:sz="0"/>
          <w:left w:val="none" w:color="auto" w:sz="0"/>
          <w:bottom w:val="none" w:color="auto" w:sz="0"/>
          <w:right w:val="none" w:color="auto" w:sz="0"/>
          <w:insideH w:val="none" w:color="auto" w:sz="0"/>
          <w:insideV w:val="none" w:color="auto" w:sz="0"/>
        </w:tblBorders>
      </w:tblPr>
      <w:tblGrid>
        <w:gridCol w:w="12240"/>
      </w:tblGrid>
      <w:tr>
        <w:tc>
          <w:tcPr>
            <w:tcW w:type="dxa" w:w="12240"/>
            <w:tcBorders>
              <w:top w:val="none" w:color="auto" w:sz="0"/>
              <w:left w:val="none" w:color="auto" w:sz="0"/>
              <w:bottom w:val="none" w:color="auto" w:sz="0"/>
              <w:right w:val="none" w:color="auto" w:sz="0"/>
            </w:tcBorders>
            <w:shd w:fill="F5F9FF" w:val="clear"/>
            <w:tcMar>
              <w:top w:type="dxa" w:w="260"/>
              <w:left w:type="dxa" w:w="0"/>
              <w:bottom w:type="dxa" w:w="260"/>
              <w:right w:type="dxa" w:w="0"/>
            </w:tcMar>
          </w:tcPr>
          <w:p>
            <w:pPr>
              <w:spacing w:before="500"/>
            </w:pPr>
          </w:p>
          <w:p>
            <w:pPr>
              <w:spacing w:after="90" w:before="100"/>
              <w:jc w:val="center"/>
            </w:pPr>
            <w:r>
              <w:rPr>
                <w:rFonts w:ascii="Calibri" w:cs="Calibri" w:eastAsia="Calibri" w:hAnsi="Calibri"/>
                <w:b w:val="false"/>
                <w:bCs w:val="false"/>
                <w:i w:val="false"/>
                <w:iCs w:val="false"/>
                <w:color w:val="51617A"/>
                <w:sz w:val="20"/>
                <w:szCs w:val="20"/>
              </w:rPr>
              <w:t xml:space="preserve">Prepared By</w:t>
            </w:r>
          </w:p>
          <w:p>
            <w:pPr>
              <w:spacing w:after="200" w:before="0"/>
              <w:jc w:val="center"/>
            </w:pPr>
            <w:r>
              <w:rPr>
                <w:rFonts w:ascii="Calibri" w:cs="Calibri" w:eastAsia="Calibri" w:hAnsi="Calibri"/>
                <w:b/>
                <w:bCs/>
                <w:i w:val="false"/>
                <w:iCs w:val="false"/>
                <w:color w:val="1F3A5F"/>
                <w:sz w:val="30"/>
                <w:szCs w:val="30"/>
              </w:rPr>
              <w:t xml:space="preserve">Abdullah Butt</w:t>
            </w:r>
          </w:p>
          <w:p>
            <w:pPr>
              <w:spacing w:after="40" w:before="0"/>
              <w:jc w:val="center"/>
            </w:pPr>
            <w:r>
              <w:rPr>
                <w:rFonts w:ascii="Calibri" w:cs="Calibri" w:eastAsia="Calibri" w:hAnsi="Calibri"/>
                <w:b w:val="false"/>
                <w:bCs w:val="false"/>
                <w:i w:val="false"/>
                <w:iCs w:val="false"/>
                <w:color w:val="1B2733"/>
                <w:sz w:val="20"/>
                <w:szCs w:val="20"/>
              </w:rPr>
              <w:t xml:space="preserve">Cyber Security Analyst Intern   |   Reg. No: REDB01-1815</w:t>
            </w:r>
          </w:p>
          <w:p>
            <w:pPr>
              <w:spacing w:after="40" w:before="0"/>
              <w:jc w:val="center"/>
            </w:pPr>
            <w:r>
              <w:rPr>
                <w:rFonts w:ascii="Calibri" w:cs="Calibri" w:eastAsia="Calibri" w:hAnsi="Calibri"/>
                <w:b w:val="false"/>
                <w:bCs w:val="false"/>
                <w:i w:val="false"/>
                <w:iCs w:val="false"/>
                <w:color w:val="1B2733"/>
                <w:sz w:val="20"/>
                <w:szCs w:val="20"/>
              </w:rPr>
              <w:t xml:space="preserve">Supervisor: Talal Rehan — Senior Cyber Security Analyst</w:t>
            </w:r>
          </w:p>
          <w:p>
            <w:pPr>
              <w:spacing w:after="500" w:before="0"/>
              <w:jc w:val="center"/>
            </w:pPr>
            <w:r>
              <w:rPr>
                <w:rFonts w:ascii="Calibri" w:cs="Calibri" w:eastAsia="Calibri" w:hAnsi="Calibri"/>
                <w:b w:val="false"/>
                <w:bCs w:val="false"/>
                <w:i w:val="false"/>
                <w:iCs w:val="false"/>
                <w:color w:val="1B2733"/>
                <w:sz w:val="20"/>
                <w:szCs w:val="20"/>
              </w:rPr>
              <w:t xml:space="preserve">Department: Cyber Security   |   Submission Deadline: 17 July 2026</w:t>
            </w:r>
          </w:p>
        </w:tc>
      </w:tr>
    </w:tbl>
    <w:p>
      <w:r>
        <w:br w:type="page"/>
      </w:r>
    </w:p>
    <w:p>
      <w:pPr>
        <w:sectPr>
          <w:headerReference w:type="default" r:id="rId7"/>
          <w:footerReference w:type="default" r:id="rId8"/>
          <w:pgSz w:w="12240" w:h="15840" w:orient="portrait"/>
          <w:pgMar w:top="0" w:right="0" w:bottom="0" w:left="0" w:header="708" w:footer="708" w:gutter="0"/>
          <w:pgNumType/>
          <w:docGrid w:linePitch="360"/>
        </w:sectPr>
      </w:pPr>
    </w:p>
    <w:p>
      <w:pPr>
        <w:spacing w:after="400"/>
      </w:pPr>
      <w:r>
        <w:rPr>
          <w:rFonts w:ascii="Calibri" w:cs="Calibri" w:eastAsia="Calibri" w:hAnsi="Calibri"/>
          <w:b/>
          <w:bCs/>
          <w:color w:val="1F3A5F"/>
          <w:sz w:val="36"/>
          <w:szCs w:val="36"/>
        </w:rPr>
        <w:t xml:space="preserve">Table of Contents</w:t>
      </w:r>
    </w:p>
    <w:p>
      <w:pPr>
        <w:tabs>
          <w:tab w:val="right" w:pos="9026" w:leader="dot"/>
        </w:tabs>
        <w:spacing w:after="160"/>
        <w:ind w:left="0"/>
      </w:pPr>
      <w:r>
        <w:rPr>
          <w:rFonts w:ascii="Calibri" w:cs="Calibri" w:eastAsia="Calibri" w:hAnsi="Calibri"/>
          <w:b/>
          <w:bCs/>
          <w:color w:val="1F3A5F"/>
          <w:sz w:val="23"/>
          <w:szCs w:val="23"/>
        </w:rPr>
        <w:t xml:space="preserve">1. Introduction</w:t>
      </w:r>
      <w:r>
        <w:rPr>
          <w:rFonts w:ascii="Calibri" w:cs="Calibri" w:eastAsia="Calibri" w:hAnsi="Calibri"/>
          <w:b/>
          <w:bCs/>
          <w:color w:val="1F3A5F"/>
          <w:sz w:val="23"/>
          <w:szCs w:val="23"/>
        </w:rPr>
        <w:t xml:space="preserve">	3</w:t>
      </w:r>
    </w:p>
    <w:p>
      <w:pPr>
        <w:tabs>
          <w:tab w:val="right" w:pos="9026" w:leader="dot"/>
        </w:tabs>
        <w:spacing w:after="160"/>
        <w:ind w:left="0"/>
      </w:pPr>
      <w:r>
        <w:rPr>
          <w:rFonts w:ascii="Calibri" w:cs="Calibri" w:eastAsia="Calibri" w:hAnsi="Calibri"/>
          <w:b/>
          <w:bCs/>
          <w:color w:val="1F3A5F"/>
          <w:sz w:val="23"/>
          <w:szCs w:val="23"/>
        </w:rPr>
        <w:t xml:space="preserve">2. Task 1 — Protocols and Port Numbers</w:t>
      </w:r>
      <w:r>
        <w:rPr>
          <w:rFonts w:ascii="Calibri" w:cs="Calibri" w:eastAsia="Calibri" w:hAnsi="Calibri"/>
          <w:b/>
          <w:bCs/>
          <w:color w:val="1F3A5F"/>
          <w:sz w:val="23"/>
          <w:szCs w:val="23"/>
        </w:rPr>
        <w:t xml:space="preserve">	4</w:t>
      </w:r>
    </w:p>
    <w:p>
      <w:pPr>
        <w:tabs>
          <w:tab w:val="right" w:pos="9026" w:leader="dot"/>
        </w:tabs>
        <w:spacing w:after="160"/>
        <w:ind w:left="0"/>
      </w:pPr>
      <w:r>
        <w:rPr>
          <w:rFonts w:ascii="Calibri" w:cs="Calibri" w:eastAsia="Calibri" w:hAnsi="Calibri"/>
          <w:b/>
          <w:bCs/>
          <w:color w:val="1F3A5F"/>
          <w:sz w:val="23"/>
          <w:szCs w:val="23"/>
        </w:rPr>
        <w:t xml:space="preserve">3. Task 2 — HTTP vs HTTPS Analysis</w:t>
      </w:r>
      <w:r>
        <w:rPr>
          <w:rFonts w:ascii="Calibri" w:cs="Calibri" w:eastAsia="Calibri" w:hAnsi="Calibri"/>
          <w:b/>
          <w:bCs/>
          <w:color w:val="1F3A5F"/>
          <w:sz w:val="23"/>
          <w:szCs w:val="23"/>
        </w:rPr>
        <w:t xml:space="preserve">	5</w:t>
      </w:r>
    </w:p>
    <w:p>
      <w:pPr>
        <w:tabs>
          <w:tab w:val="right" w:pos="9026" w:leader="dot"/>
        </w:tabs>
        <w:spacing w:after="160"/>
        <w:ind w:left="0"/>
      </w:pPr>
      <w:r>
        <w:rPr>
          <w:rFonts w:ascii="Calibri" w:cs="Calibri" w:eastAsia="Calibri" w:hAnsi="Calibri"/>
          <w:b/>
          <w:bCs/>
          <w:color w:val="1F3A5F"/>
          <w:sz w:val="23"/>
          <w:szCs w:val="23"/>
        </w:rPr>
        <w:t xml:space="preserve">4. Task 3 — Kali Linux Network Reconnaissance</w:t>
      </w:r>
      <w:r>
        <w:rPr>
          <w:rFonts w:ascii="Calibri" w:cs="Calibri" w:eastAsia="Calibri" w:hAnsi="Calibri"/>
          <w:b/>
          <w:bCs/>
          <w:color w:val="1F3A5F"/>
          <w:sz w:val="23"/>
          <w:szCs w:val="23"/>
        </w:rPr>
        <w:t xml:space="preserve">	7</w:t>
      </w:r>
    </w:p>
    <w:p>
      <w:pPr>
        <w:tabs>
          <w:tab w:val="right" w:pos="9026" w:leader="dot"/>
        </w:tabs>
        <w:spacing w:after="100"/>
        <w:ind w:left="360"/>
      </w:pPr>
      <w:r>
        <w:rPr>
          <w:rFonts w:ascii="Calibri" w:cs="Calibri" w:eastAsia="Calibri" w:hAnsi="Calibri"/>
          <w:b w:val="false"/>
          <w:bCs w:val="false"/>
          <w:color w:val="1B2733"/>
          <w:sz w:val="21"/>
          <w:szCs w:val="21"/>
        </w:rPr>
        <w:t xml:space="preserve">      4.1  Ping Connectivity Test</w:t>
      </w:r>
      <w:r>
        <w:rPr>
          <w:rFonts w:ascii="Calibri" w:cs="Calibri" w:eastAsia="Calibri" w:hAnsi="Calibri"/>
          <w:b w:val="false"/>
          <w:bCs w:val="false"/>
          <w:color w:val="51617A"/>
          <w:sz w:val="21"/>
          <w:szCs w:val="21"/>
        </w:rPr>
        <w:t xml:space="preserve">	7</w:t>
      </w:r>
    </w:p>
    <w:p>
      <w:pPr>
        <w:tabs>
          <w:tab w:val="right" w:pos="9026" w:leader="dot"/>
        </w:tabs>
        <w:spacing w:after="100"/>
        <w:ind w:left="360"/>
      </w:pPr>
      <w:r>
        <w:rPr>
          <w:rFonts w:ascii="Calibri" w:cs="Calibri" w:eastAsia="Calibri" w:hAnsi="Calibri"/>
          <w:b w:val="false"/>
          <w:bCs w:val="false"/>
          <w:color w:val="1B2733"/>
          <w:sz w:val="21"/>
          <w:szCs w:val="21"/>
        </w:rPr>
        <w:t xml:space="preserve">      4.2  Nmap Scan — scanme.nmap.org</w:t>
      </w:r>
      <w:r>
        <w:rPr>
          <w:rFonts w:ascii="Calibri" w:cs="Calibri" w:eastAsia="Calibri" w:hAnsi="Calibri"/>
          <w:b w:val="false"/>
          <w:bCs w:val="false"/>
          <w:color w:val="51617A"/>
          <w:sz w:val="21"/>
          <w:szCs w:val="21"/>
        </w:rPr>
        <w:t xml:space="preserve">	8</w:t>
      </w:r>
    </w:p>
    <w:p>
      <w:pPr>
        <w:tabs>
          <w:tab w:val="right" w:pos="9026" w:leader="dot"/>
        </w:tabs>
        <w:spacing w:after="100"/>
        <w:ind w:left="360"/>
      </w:pPr>
      <w:r>
        <w:rPr>
          <w:rFonts w:ascii="Calibri" w:cs="Calibri" w:eastAsia="Calibri" w:hAnsi="Calibri"/>
          <w:b w:val="false"/>
          <w:bCs w:val="false"/>
          <w:color w:val="1B2733"/>
          <w:sz w:val="21"/>
          <w:szCs w:val="21"/>
        </w:rPr>
        <w:t xml:space="preserve">      4.3  Nmap Scan — Local Host</w:t>
      </w:r>
      <w:r>
        <w:rPr>
          <w:rFonts w:ascii="Calibri" w:cs="Calibri" w:eastAsia="Calibri" w:hAnsi="Calibri"/>
          <w:b w:val="false"/>
          <w:bCs w:val="false"/>
          <w:color w:val="51617A"/>
          <w:sz w:val="21"/>
          <w:szCs w:val="21"/>
        </w:rPr>
        <w:t xml:space="preserve">	9</w:t>
      </w:r>
    </w:p>
    <w:p>
      <w:pPr>
        <w:tabs>
          <w:tab w:val="right" w:pos="9026" w:leader="dot"/>
        </w:tabs>
        <w:spacing w:after="100"/>
        <w:ind w:left="360"/>
      </w:pPr>
      <w:r>
        <w:rPr>
          <w:rFonts w:ascii="Calibri" w:cs="Calibri" w:eastAsia="Calibri" w:hAnsi="Calibri"/>
          <w:b w:val="false"/>
          <w:bCs w:val="false"/>
          <w:color w:val="1B2733"/>
          <w:sz w:val="21"/>
          <w:szCs w:val="21"/>
        </w:rPr>
        <w:t xml:space="preserve">      4.4  Reconnaissance Summary &amp; Risk Analysis</w:t>
      </w:r>
      <w:r>
        <w:rPr>
          <w:rFonts w:ascii="Calibri" w:cs="Calibri" w:eastAsia="Calibri" w:hAnsi="Calibri"/>
          <w:b w:val="false"/>
          <w:bCs w:val="false"/>
          <w:color w:val="51617A"/>
          <w:sz w:val="21"/>
          <w:szCs w:val="21"/>
        </w:rPr>
        <w:t xml:space="preserve">	10</w:t>
      </w:r>
    </w:p>
    <w:p>
      <w:pPr>
        <w:tabs>
          <w:tab w:val="right" w:pos="9026" w:leader="dot"/>
        </w:tabs>
        <w:spacing w:after="160"/>
        <w:ind w:left="0"/>
      </w:pPr>
      <w:r>
        <w:rPr>
          <w:rFonts w:ascii="Calibri" w:cs="Calibri" w:eastAsia="Calibri" w:hAnsi="Calibri"/>
          <w:b/>
          <w:bCs/>
          <w:color w:val="1F3A5F"/>
          <w:sz w:val="23"/>
          <w:szCs w:val="23"/>
        </w:rPr>
        <w:t xml:space="preserve">5. Task 4 — What Happens When You Type a URL and Press Enter</w:t>
      </w:r>
      <w:r>
        <w:rPr>
          <w:rFonts w:ascii="Calibri" w:cs="Calibri" w:eastAsia="Calibri" w:hAnsi="Calibri"/>
          <w:b/>
          <w:bCs/>
          <w:color w:val="1F3A5F"/>
          <w:sz w:val="23"/>
          <w:szCs w:val="23"/>
        </w:rPr>
        <w:t xml:space="preserve">	11</w:t>
      </w:r>
    </w:p>
    <w:p>
      <w:pPr>
        <w:tabs>
          <w:tab w:val="right" w:pos="9026" w:leader="dot"/>
        </w:tabs>
        <w:spacing w:after="160"/>
        <w:ind w:left="0"/>
      </w:pPr>
      <w:r>
        <w:rPr>
          <w:rFonts w:ascii="Calibri" w:cs="Calibri" w:eastAsia="Calibri" w:hAnsi="Calibri"/>
          <w:b/>
          <w:bCs/>
          <w:color w:val="1F3A5F"/>
          <w:sz w:val="23"/>
          <w:szCs w:val="23"/>
        </w:rPr>
        <w:t xml:space="preserve">6. Task 5 — Networking Cheat Sheet</w:t>
      </w:r>
      <w:r>
        <w:rPr>
          <w:rFonts w:ascii="Calibri" w:cs="Calibri" w:eastAsia="Calibri" w:hAnsi="Calibri"/>
          <w:b/>
          <w:bCs/>
          <w:color w:val="1F3A5F"/>
          <w:sz w:val="23"/>
          <w:szCs w:val="23"/>
        </w:rPr>
        <w:t xml:space="preserve">	13</w:t>
      </w:r>
    </w:p>
    <w:p>
      <w:pPr>
        <w:tabs>
          <w:tab w:val="right" w:pos="9026" w:leader="dot"/>
        </w:tabs>
        <w:spacing w:after="160"/>
        <w:ind w:left="0"/>
      </w:pPr>
      <w:r>
        <w:rPr>
          <w:rFonts w:ascii="Calibri" w:cs="Calibri" w:eastAsia="Calibri" w:hAnsi="Calibri"/>
          <w:b/>
          <w:bCs/>
          <w:color w:val="1F3A5F"/>
          <w:sz w:val="23"/>
          <w:szCs w:val="23"/>
        </w:rPr>
        <w:t xml:space="preserve">7. Task 6 — Kali Linux Web Enumeration</w:t>
      </w:r>
      <w:r>
        <w:rPr>
          <w:rFonts w:ascii="Calibri" w:cs="Calibri" w:eastAsia="Calibri" w:hAnsi="Calibri"/>
          <w:b/>
          <w:bCs/>
          <w:color w:val="1F3A5F"/>
          <w:sz w:val="23"/>
          <w:szCs w:val="23"/>
        </w:rPr>
        <w:t xml:space="preserve">	14</w:t>
      </w:r>
    </w:p>
    <w:p>
      <w:pPr>
        <w:tabs>
          <w:tab w:val="right" w:pos="9026" w:leader="dot"/>
        </w:tabs>
        <w:spacing w:after="100"/>
        <w:ind w:left="360"/>
      </w:pPr>
      <w:r>
        <w:rPr>
          <w:rFonts w:ascii="Calibri" w:cs="Calibri" w:eastAsia="Calibri" w:hAnsi="Calibri"/>
          <w:b w:val="false"/>
          <w:bCs w:val="false"/>
          <w:color w:val="1B2733"/>
          <w:sz w:val="21"/>
          <w:szCs w:val="21"/>
        </w:rPr>
        <w:t xml:space="preserve">      7.1  whatweb Results</w:t>
      </w:r>
      <w:r>
        <w:rPr>
          <w:rFonts w:ascii="Calibri" w:cs="Calibri" w:eastAsia="Calibri" w:hAnsi="Calibri"/>
          <w:b w:val="false"/>
          <w:bCs w:val="false"/>
          <w:color w:val="51617A"/>
          <w:sz w:val="21"/>
          <w:szCs w:val="21"/>
        </w:rPr>
        <w:t xml:space="preserve">	14</w:t>
      </w:r>
    </w:p>
    <w:p>
      <w:pPr>
        <w:tabs>
          <w:tab w:val="right" w:pos="9026" w:leader="dot"/>
        </w:tabs>
        <w:spacing w:after="100"/>
        <w:ind w:left="360"/>
      </w:pPr>
      <w:r>
        <w:rPr>
          <w:rFonts w:ascii="Calibri" w:cs="Calibri" w:eastAsia="Calibri" w:hAnsi="Calibri"/>
          <w:b w:val="false"/>
          <w:bCs w:val="false"/>
          <w:color w:val="1B2733"/>
          <w:sz w:val="21"/>
          <w:szCs w:val="21"/>
        </w:rPr>
        <w:t xml:space="preserve">      7.2  whois Results</w:t>
      </w:r>
      <w:r>
        <w:rPr>
          <w:rFonts w:ascii="Calibri" w:cs="Calibri" w:eastAsia="Calibri" w:hAnsi="Calibri"/>
          <w:b w:val="false"/>
          <w:bCs w:val="false"/>
          <w:color w:val="51617A"/>
          <w:sz w:val="21"/>
          <w:szCs w:val="21"/>
        </w:rPr>
        <w:t xml:space="preserve">	15</w:t>
      </w:r>
    </w:p>
    <w:p>
      <w:pPr>
        <w:tabs>
          <w:tab w:val="right" w:pos="9026" w:leader="dot"/>
        </w:tabs>
        <w:spacing w:after="160"/>
        <w:ind w:left="0"/>
      </w:pPr>
      <w:r>
        <w:rPr>
          <w:rFonts w:ascii="Calibri" w:cs="Calibri" w:eastAsia="Calibri" w:hAnsi="Calibri"/>
          <w:b/>
          <w:bCs/>
          <w:color w:val="1F3A5F"/>
          <w:sz w:val="23"/>
          <w:szCs w:val="23"/>
        </w:rPr>
        <w:t xml:space="preserve">8. Secure Home Network Diagram</w:t>
      </w:r>
      <w:r>
        <w:rPr>
          <w:rFonts w:ascii="Calibri" w:cs="Calibri" w:eastAsia="Calibri" w:hAnsi="Calibri"/>
          <w:b/>
          <w:bCs/>
          <w:color w:val="1F3A5F"/>
          <w:sz w:val="23"/>
          <w:szCs w:val="23"/>
        </w:rPr>
        <w:t xml:space="preserve">	17</w:t>
      </w:r>
    </w:p>
    <w:p>
      <w:pPr>
        <w:tabs>
          <w:tab w:val="right" w:pos="9026" w:leader="dot"/>
        </w:tabs>
        <w:spacing w:after="160"/>
        <w:ind w:left="0"/>
      </w:pPr>
      <w:r>
        <w:rPr>
          <w:rFonts w:ascii="Calibri" w:cs="Calibri" w:eastAsia="Calibri" w:hAnsi="Calibri"/>
          <w:b/>
          <w:bCs/>
          <w:color w:val="1F3A5F"/>
          <w:sz w:val="23"/>
          <w:szCs w:val="23"/>
        </w:rPr>
        <w:t xml:space="preserve">9. Challenges Faced</w:t>
      </w:r>
      <w:r>
        <w:rPr>
          <w:rFonts w:ascii="Calibri" w:cs="Calibri" w:eastAsia="Calibri" w:hAnsi="Calibri"/>
          <w:b/>
          <w:bCs/>
          <w:color w:val="1F3A5F"/>
          <w:sz w:val="23"/>
          <w:szCs w:val="23"/>
        </w:rPr>
        <w:t xml:space="preserve">	18</w:t>
      </w:r>
    </w:p>
    <w:p>
      <w:pPr>
        <w:tabs>
          <w:tab w:val="right" w:pos="9026" w:leader="dot"/>
        </w:tabs>
        <w:spacing w:after="160"/>
        <w:ind w:left="0"/>
      </w:pPr>
      <w:r>
        <w:rPr>
          <w:rFonts w:ascii="Calibri" w:cs="Calibri" w:eastAsia="Calibri" w:hAnsi="Calibri"/>
          <w:b/>
          <w:bCs/>
          <w:color w:val="1F3A5F"/>
          <w:sz w:val="23"/>
          <w:szCs w:val="23"/>
        </w:rPr>
        <w:t xml:space="preserve">10. Conclusion</w:t>
      </w:r>
      <w:r>
        <w:rPr>
          <w:rFonts w:ascii="Calibri" w:cs="Calibri" w:eastAsia="Calibri" w:hAnsi="Calibri"/>
          <w:b/>
          <w:bCs/>
          <w:color w:val="1F3A5F"/>
          <w:sz w:val="23"/>
          <w:szCs w:val="23"/>
        </w:rPr>
        <w:t xml:space="preserve">	18</w:t>
      </w:r>
    </w:p>
    <w:p>
      <w:pPr>
        <w:tabs>
          <w:tab w:val="right" w:pos="9026" w:leader="dot"/>
        </w:tabs>
        <w:spacing w:after="160"/>
        <w:ind w:left="0"/>
      </w:pPr>
      <w:r>
        <w:rPr>
          <w:rFonts w:ascii="Calibri" w:cs="Calibri" w:eastAsia="Calibri" w:hAnsi="Calibri"/>
          <w:b/>
          <w:bCs/>
          <w:color w:val="1F3A5F"/>
          <w:sz w:val="23"/>
          <w:szCs w:val="23"/>
        </w:rPr>
        <w:t xml:space="preserve">11. References</w:t>
      </w:r>
      <w:r>
        <w:rPr>
          <w:rFonts w:ascii="Calibri" w:cs="Calibri" w:eastAsia="Calibri" w:hAnsi="Calibri"/>
          <w:b/>
          <w:bCs/>
          <w:color w:val="1F3A5F"/>
          <w:sz w:val="23"/>
          <w:szCs w:val="23"/>
        </w:rPr>
        <w:t xml:space="preserve">	19</w:t>
      </w:r>
    </w:p>
    <w:p>
      <w:r>
        <w:br w:type="page"/>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pBdr>
          <w:bottom w:val="single" w:color="5B8FD6" w:sz="8" w:space="6"/>
        </w:pBdr>
        <w:spacing w:after="200" w:before="400"/>
      </w:pPr>
      <w:r>
        <w:rPr>
          <w:rFonts w:ascii="Calibri" w:cs="Calibri" w:eastAsia="Calibri" w:hAnsi="Calibri"/>
          <w:b/>
          <w:bCs/>
          <w:color w:val="1F3A5F"/>
          <w:sz w:val="32"/>
          <w:szCs w:val="32"/>
        </w:rPr>
        <w:t xml:space="preserve">1.  Introduction</w:t>
      </w:r>
    </w:p>
    <w:p>
      <w:pPr>
        <w:spacing w:after="140" w:line="300"/>
      </w:pPr>
      <w:r>
        <w:rPr>
          <w:rFonts w:ascii="Calibri" w:cs="Calibri" w:eastAsia="Calibri" w:hAnsi="Calibri"/>
          <w:color w:val="1B2733"/>
          <w:sz w:val="22"/>
          <w:szCs w:val="22"/>
        </w:rPr>
        <w:t xml:space="preserve">This report documents the completion of the Week 03 assignment of the Cyber Security Analyst Internship Program at IT-SIMPLERA Institute. The assignment focuses on strengthening core networking and cybersecurity fundamentals through a combination of theoretical research and hands-on practice using Kali Linux.</w:t>
      </w:r>
    </w:p>
    <w:p>
      <w:pPr>
        <w:spacing w:after="140" w:line="300"/>
      </w:pPr>
      <w:r>
        <w:rPr>
          <w:rFonts w:ascii="Calibri" w:cs="Calibri" w:eastAsia="Calibri" w:hAnsi="Calibri"/>
          <w:color w:val="1B2733"/>
          <w:sz w:val="22"/>
          <w:szCs w:val="22"/>
        </w:rPr>
        <w:t xml:space="preserve">Over the course of this week, common network protocols and their default port numbers were studied, secure and insecure web communication (HTTP vs HTTPS) was analyzed across multiple live websites, and basic reconnaissance tools — including ping, nmap, whatweb, and whois — were used against authorized targets such as scanme.nmap.org and a local host. The complete process that occurs when a user types a URL into a browser was also researched and documented, and a professional networking cheat sheet was produced for quick reference.</w:t>
      </w:r>
    </w:p>
    <w:p>
      <w:pPr>
        <w:spacing w:after="140" w:line="300"/>
      </w:pPr>
      <w:r>
        <w:rPr>
          <w:rFonts w:ascii="Calibri" w:cs="Calibri" w:eastAsia="Calibri" w:hAnsi="Calibri"/>
          <w:color w:val="1B2733"/>
          <w:sz w:val="22"/>
          <w:szCs w:val="22"/>
        </w:rPr>
        <w:t xml:space="preserve">This document is organized into six task sections, followed by a secure home network diagram, a summary of challenges encountered, a conclusion, and references. All commands were executed within a Kali Linux virtual environment, and only authorized or publicly designated testing targets (such as scanme.nmap.org) were scanned.</w:t>
      </w:r>
    </w:p>
    <w:p>
      <w:r>
        <w:br w:type="page"/>
      </w:r>
    </w:p>
    <w:p>
      <w:pPr>
        <w:pStyle w:val="Heading1"/>
        <w:pBdr>
          <w:bottom w:val="single" w:color="5B8FD6" w:sz="8" w:space="6"/>
        </w:pBdr>
        <w:spacing w:after="200" w:before="400"/>
      </w:pPr>
      <w:r>
        <w:rPr>
          <w:rFonts w:ascii="Calibri" w:cs="Calibri" w:eastAsia="Calibri" w:hAnsi="Calibri"/>
          <w:b/>
          <w:bCs/>
          <w:color w:val="1F3A5F"/>
          <w:sz w:val="32"/>
          <w:szCs w:val="32"/>
        </w:rPr>
        <w:t xml:space="preserve">2.  Task 1 — Protocols and Port Numbers</w:t>
      </w:r>
    </w:p>
    <w:p>
      <w:pPr>
        <w:spacing w:after="140" w:line="300"/>
      </w:pPr>
      <w:r>
        <w:rPr>
          <w:rFonts w:ascii="Calibri" w:cs="Calibri" w:eastAsia="Calibri" w:hAnsi="Calibri"/>
          <w:color w:val="1B2733"/>
          <w:sz w:val="22"/>
          <w:szCs w:val="22"/>
        </w:rPr>
        <w:t xml:space="preserve">The table below lists 15 common network protocols along with their default port numbers, transport type, purpose, and whether the protocol is generally considered secure or insecure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50"/>
        <w:gridCol w:w="4110"/>
        <w:gridCol w:w="1900"/>
      </w:tblGrid>
      <w:tr>
        <w:trPr>
          <w:tblHeader/>
        </w:trPr>
        <w:tc>
          <w:tcPr>
            <w:tcW w:type="dxa" w:w="15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Protocol</w:t>
            </w:r>
          </w:p>
        </w:tc>
        <w:tc>
          <w:tcPr>
            <w:tcW w:type="dxa" w:w="9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Port</w:t>
            </w:r>
          </w:p>
        </w:tc>
        <w:tc>
          <w:tcPr>
            <w:tcW w:type="dxa" w:w="95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TCP/UDP</w:t>
            </w:r>
          </w:p>
        </w:tc>
        <w:tc>
          <w:tcPr>
            <w:tcW w:type="dxa" w:w="411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Purpose</w:t>
            </w:r>
          </w:p>
        </w:tc>
        <w:tc>
          <w:tcPr>
            <w:tcW w:type="dxa" w:w="19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Security</w:t>
            </w:r>
          </w:p>
        </w:tc>
      </w:tr>
      <w:tr>
        <w:tc>
          <w:tcPr>
            <w:tcW w:type="dxa" w:w="15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FTP (Control)</w:t>
            </w:r>
          </w:p>
        </w:tc>
        <w:tc>
          <w:tcPr>
            <w:tcW w:type="dxa" w:w="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21</w:t>
            </w:r>
          </w:p>
        </w:tc>
        <w:tc>
          <w:tcPr>
            <w:tcW w:type="dxa" w:w="9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411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Transfers files between a client and server</w:t>
            </w:r>
          </w:p>
        </w:tc>
        <w:tc>
          <w:tcPr>
            <w:tcW w:type="dxa" w:w="1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bCs/>
                <w:color w:val="C24E4E"/>
                <w:sz w:val="18"/>
                <w:szCs w:val="18"/>
              </w:rPr>
              <w:t xml:space="preserve">Insecure</w:t>
            </w:r>
          </w:p>
        </w:tc>
      </w:tr>
      <w:tr>
        <w:tc>
          <w:tcPr>
            <w:tcW w:type="dxa" w:w="15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SSH</w:t>
            </w:r>
          </w:p>
        </w:tc>
        <w:tc>
          <w:tcPr>
            <w:tcW w:type="dxa" w:w="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22</w:t>
            </w:r>
          </w:p>
        </w:tc>
        <w:tc>
          <w:tcPr>
            <w:tcW w:type="dxa" w:w="9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411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Encrypted remote login and command execution</w:t>
            </w:r>
          </w:p>
        </w:tc>
        <w:tc>
          <w:tcPr>
            <w:tcW w:type="dxa" w:w="1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bCs/>
                <w:color w:val="3F8F6D"/>
                <w:sz w:val="18"/>
                <w:szCs w:val="18"/>
              </w:rPr>
              <w:t xml:space="preserve">Secure</w:t>
            </w:r>
          </w:p>
        </w:tc>
      </w:tr>
      <w:tr>
        <w:tc>
          <w:tcPr>
            <w:tcW w:type="dxa" w:w="15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Telnet</w:t>
            </w:r>
          </w:p>
        </w:tc>
        <w:tc>
          <w:tcPr>
            <w:tcW w:type="dxa" w:w="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23</w:t>
            </w:r>
          </w:p>
        </w:tc>
        <w:tc>
          <w:tcPr>
            <w:tcW w:type="dxa" w:w="9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411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Remote login using plain-text terminal sessions</w:t>
            </w:r>
          </w:p>
        </w:tc>
        <w:tc>
          <w:tcPr>
            <w:tcW w:type="dxa" w:w="1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bCs/>
                <w:color w:val="C24E4E"/>
                <w:sz w:val="18"/>
                <w:szCs w:val="18"/>
              </w:rPr>
              <w:t xml:space="preserve">Insecure</w:t>
            </w:r>
          </w:p>
        </w:tc>
      </w:tr>
      <w:tr>
        <w:tc>
          <w:tcPr>
            <w:tcW w:type="dxa" w:w="15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SMTP</w:t>
            </w:r>
          </w:p>
        </w:tc>
        <w:tc>
          <w:tcPr>
            <w:tcW w:type="dxa" w:w="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25</w:t>
            </w:r>
          </w:p>
        </w:tc>
        <w:tc>
          <w:tcPr>
            <w:tcW w:type="dxa" w:w="9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411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Sends outgoing email between mail servers</w:t>
            </w:r>
          </w:p>
        </w:tc>
        <w:tc>
          <w:tcPr>
            <w:tcW w:type="dxa" w:w="1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bCs/>
                <w:color w:val="C24E4E"/>
                <w:sz w:val="18"/>
                <w:szCs w:val="18"/>
              </w:rPr>
              <w:t xml:space="preserve">Insecure</w:t>
            </w:r>
          </w:p>
        </w:tc>
      </w:tr>
      <w:tr>
        <w:tc>
          <w:tcPr>
            <w:tcW w:type="dxa" w:w="15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DNS</w:t>
            </w:r>
          </w:p>
        </w:tc>
        <w:tc>
          <w:tcPr>
            <w:tcW w:type="dxa" w:w="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53</w:t>
            </w:r>
          </w:p>
        </w:tc>
        <w:tc>
          <w:tcPr>
            <w:tcW w:type="dxa" w:w="9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TCP/UDP</w:t>
            </w:r>
          </w:p>
        </w:tc>
        <w:tc>
          <w:tcPr>
            <w:tcW w:type="dxa" w:w="411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Resolves domain names into IP addresses</w:t>
            </w:r>
          </w:p>
        </w:tc>
        <w:tc>
          <w:tcPr>
            <w:tcW w:type="dxa" w:w="1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bCs/>
                <w:color w:val="C98A2C"/>
                <w:sz w:val="18"/>
                <w:szCs w:val="18"/>
              </w:rPr>
              <w:t xml:space="preserve">Insecure*</w:t>
            </w:r>
          </w:p>
        </w:tc>
      </w:tr>
      <w:tr>
        <w:tc>
          <w:tcPr>
            <w:tcW w:type="dxa" w:w="15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DHCP</w:t>
            </w:r>
          </w:p>
        </w:tc>
        <w:tc>
          <w:tcPr>
            <w:tcW w:type="dxa" w:w="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67 / 68</w:t>
            </w:r>
          </w:p>
        </w:tc>
        <w:tc>
          <w:tcPr>
            <w:tcW w:type="dxa" w:w="9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UDP</w:t>
            </w:r>
          </w:p>
        </w:tc>
        <w:tc>
          <w:tcPr>
            <w:tcW w:type="dxa" w:w="411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Automatically assigns IP addresses to devices</w:t>
            </w:r>
          </w:p>
        </w:tc>
        <w:tc>
          <w:tcPr>
            <w:tcW w:type="dxa" w:w="1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bCs/>
                <w:color w:val="C24E4E"/>
                <w:sz w:val="18"/>
                <w:szCs w:val="18"/>
              </w:rPr>
              <w:t xml:space="preserve">Insecure</w:t>
            </w:r>
          </w:p>
        </w:tc>
      </w:tr>
      <w:tr>
        <w:tc>
          <w:tcPr>
            <w:tcW w:type="dxa" w:w="15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w:t>
            </w:r>
          </w:p>
        </w:tc>
        <w:tc>
          <w:tcPr>
            <w:tcW w:type="dxa" w:w="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80</w:t>
            </w:r>
          </w:p>
        </w:tc>
        <w:tc>
          <w:tcPr>
            <w:tcW w:type="dxa" w:w="9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411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Transfers unencrypted web page content</w:t>
            </w:r>
          </w:p>
        </w:tc>
        <w:tc>
          <w:tcPr>
            <w:tcW w:type="dxa" w:w="1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bCs/>
                <w:color w:val="C24E4E"/>
                <w:sz w:val="18"/>
                <w:szCs w:val="18"/>
              </w:rPr>
              <w:t xml:space="preserve">Insecure</w:t>
            </w:r>
          </w:p>
        </w:tc>
      </w:tr>
      <w:tr>
        <w:tc>
          <w:tcPr>
            <w:tcW w:type="dxa" w:w="15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POP3</w:t>
            </w:r>
          </w:p>
        </w:tc>
        <w:tc>
          <w:tcPr>
            <w:tcW w:type="dxa" w:w="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110</w:t>
            </w:r>
          </w:p>
        </w:tc>
        <w:tc>
          <w:tcPr>
            <w:tcW w:type="dxa" w:w="9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411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Downloads email from a mail server to a client</w:t>
            </w:r>
          </w:p>
        </w:tc>
        <w:tc>
          <w:tcPr>
            <w:tcW w:type="dxa" w:w="1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bCs/>
                <w:color w:val="C24E4E"/>
                <w:sz w:val="18"/>
                <w:szCs w:val="18"/>
              </w:rPr>
              <w:t xml:space="preserve">Insecure</w:t>
            </w:r>
          </w:p>
        </w:tc>
      </w:tr>
      <w:tr>
        <w:tc>
          <w:tcPr>
            <w:tcW w:type="dxa" w:w="15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NTP</w:t>
            </w:r>
          </w:p>
        </w:tc>
        <w:tc>
          <w:tcPr>
            <w:tcW w:type="dxa" w:w="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123</w:t>
            </w:r>
          </w:p>
        </w:tc>
        <w:tc>
          <w:tcPr>
            <w:tcW w:type="dxa" w:w="9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UDP</w:t>
            </w:r>
          </w:p>
        </w:tc>
        <w:tc>
          <w:tcPr>
            <w:tcW w:type="dxa" w:w="411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Synchronizes system clocks across a network</w:t>
            </w:r>
          </w:p>
        </w:tc>
        <w:tc>
          <w:tcPr>
            <w:tcW w:type="dxa" w:w="1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bCs/>
                <w:color w:val="C98A2C"/>
                <w:sz w:val="18"/>
                <w:szCs w:val="18"/>
              </w:rPr>
              <w:t xml:space="preserve">Insecure</w:t>
            </w:r>
          </w:p>
        </w:tc>
      </w:tr>
      <w:tr>
        <w:tc>
          <w:tcPr>
            <w:tcW w:type="dxa" w:w="15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IMAP</w:t>
            </w:r>
          </w:p>
        </w:tc>
        <w:tc>
          <w:tcPr>
            <w:tcW w:type="dxa" w:w="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143</w:t>
            </w:r>
          </w:p>
        </w:tc>
        <w:tc>
          <w:tcPr>
            <w:tcW w:type="dxa" w:w="9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411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Manages and syncs email directly on the server</w:t>
            </w:r>
          </w:p>
        </w:tc>
        <w:tc>
          <w:tcPr>
            <w:tcW w:type="dxa" w:w="1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bCs/>
                <w:color w:val="C24E4E"/>
                <w:sz w:val="18"/>
                <w:szCs w:val="18"/>
              </w:rPr>
              <w:t xml:space="preserve">Insecure</w:t>
            </w:r>
          </w:p>
        </w:tc>
      </w:tr>
      <w:tr>
        <w:tc>
          <w:tcPr>
            <w:tcW w:type="dxa" w:w="15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SNMP</w:t>
            </w:r>
          </w:p>
        </w:tc>
        <w:tc>
          <w:tcPr>
            <w:tcW w:type="dxa" w:w="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161</w:t>
            </w:r>
          </w:p>
        </w:tc>
        <w:tc>
          <w:tcPr>
            <w:tcW w:type="dxa" w:w="9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UDP</w:t>
            </w:r>
          </w:p>
        </w:tc>
        <w:tc>
          <w:tcPr>
            <w:tcW w:type="dxa" w:w="411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Monitors and manages network devices</w:t>
            </w:r>
          </w:p>
        </w:tc>
        <w:tc>
          <w:tcPr>
            <w:tcW w:type="dxa" w:w="1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bCs/>
                <w:color w:val="C98A2C"/>
                <w:sz w:val="18"/>
                <w:szCs w:val="18"/>
              </w:rPr>
              <w:t xml:space="preserve">Insecure*</w:t>
            </w:r>
          </w:p>
        </w:tc>
      </w:tr>
      <w:tr>
        <w:tc>
          <w:tcPr>
            <w:tcW w:type="dxa" w:w="15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LDAP</w:t>
            </w:r>
          </w:p>
        </w:tc>
        <w:tc>
          <w:tcPr>
            <w:tcW w:type="dxa" w:w="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389</w:t>
            </w:r>
          </w:p>
        </w:tc>
        <w:tc>
          <w:tcPr>
            <w:tcW w:type="dxa" w:w="9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411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Queries and maintains directory services</w:t>
            </w:r>
          </w:p>
        </w:tc>
        <w:tc>
          <w:tcPr>
            <w:tcW w:type="dxa" w:w="1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bCs/>
                <w:color w:val="C24E4E"/>
                <w:sz w:val="18"/>
                <w:szCs w:val="18"/>
              </w:rPr>
              <w:t xml:space="preserve">Insecure</w:t>
            </w:r>
          </w:p>
        </w:tc>
      </w:tr>
      <w:tr>
        <w:tc>
          <w:tcPr>
            <w:tcW w:type="dxa" w:w="15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HTTPS</w:t>
            </w:r>
          </w:p>
        </w:tc>
        <w:tc>
          <w:tcPr>
            <w:tcW w:type="dxa" w:w="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443</w:t>
            </w:r>
          </w:p>
        </w:tc>
        <w:tc>
          <w:tcPr>
            <w:tcW w:type="dxa" w:w="9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411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Transfers encrypted (TLS-secured) web content</w:t>
            </w:r>
          </w:p>
        </w:tc>
        <w:tc>
          <w:tcPr>
            <w:tcW w:type="dxa" w:w="1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bCs/>
                <w:color w:val="3F8F6D"/>
                <w:sz w:val="18"/>
                <w:szCs w:val="18"/>
              </w:rPr>
              <w:t xml:space="preserve">Secure</w:t>
            </w:r>
          </w:p>
        </w:tc>
      </w:tr>
      <w:tr>
        <w:tc>
          <w:tcPr>
            <w:tcW w:type="dxa" w:w="15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SMB</w:t>
            </w:r>
          </w:p>
        </w:tc>
        <w:tc>
          <w:tcPr>
            <w:tcW w:type="dxa" w:w="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445</w:t>
            </w:r>
          </w:p>
        </w:tc>
        <w:tc>
          <w:tcPr>
            <w:tcW w:type="dxa" w:w="9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411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Shares files and printers on Windows networks</w:t>
            </w:r>
          </w:p>
        </w:tc>
        <w:tc>
          <w:tcPr>
            <w:tcW w:type="dxa" w:w="1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bCs/>
                <w:color w:val="C98A2C"/>
                <w:sz w:val="18"/>
                <w:szCs w:val="18"/>
              </w:rPr>
              <w:t xml:space="preserve">Insecure*</w:t>
            </w:r>
          </w:p>
        </w:tc>
      </w:tr>
      <w:tr>
        <w:tc>
          <w:tcPr>
            <w:tcW w:type="dxa" w:w="15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RDP</w:t>
            </w:r>
          </w:p>
        </w:tc>
        <w:tc>
          <w:tcPr>
            <w:tcW w:type="dxa" w:w="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3389</w:t>
            </w:r>
          </w:p>
        </w:tc>
        <w:tc>
          <w:tcPr>
            <w:tcW w:type="dxa" w:w="9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411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Provides encrypted remote desktop access</w:t>
            </w:r>
          </w:p>
        </w:tc>
        <w:tc>
          <w:tcPr>
            <w:tcW w:type="dxa" w:w="1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bCs/>
                <w:color w:val="C98A2C"/>
                <w:sz w:val="18"/>
                <w:szCs w:val="18"/>
              </w:rPr>
              <w:t xml:space="preserve">Secure*</w:t>
            </w:r>
          </w:p>
        </w:tc>
      </w:tr>
    </w:tbl>
    <w:p>
      <w:pPr>
        <w:spacing w:after="140" w:line="300"/>
      </w:pPr>
      <w:r>
        <w:rPr>
          <w:rFonts w:ascii="Calibri" w:cs="Calibri" w:eastAsia="Calibri" w:hAnsi="Calibri"/>
          <w:i/>
          <w:iCs/>
          <w:color w:val="1B2733"/>
          <w:sz w:val="19"/>
          <w:szCs w:val="19"/>
        </w:rPr>
        <w:t xml:space="preserve">* DNS, SNMP (v1/v2c), SMB, and RDP are marked with an asterisk because their security depends on configuration — for example, DNSSEC hardens DNS, SNMPv3 adds authentication and encryption, SMB3 supports encryption, and RDP is only as secure as the authentication and network access controls placed around it (e.g., Network Level Authentication and VPN access).</w:t>
      </w:r>
    </w:p>
    <w:p>
      <w:r>
        <w:br w:type="page"/>
      </w:r>
    </w:p>
    <w:p>
      <w:pPr>
        <w:pStyle w:val="Heading1"/>
        <w:pBdr>
          <w:bottom w:val="single" w:color="5B8FD6" w:sz="8" w:space="6"/>
        </w:pBdr>
        <w:spacing w:after="200" w:before="400"/>
      </w:pPr>
      <w:r>
        <w:rPr>
          <w:rFonts w:ascii="Calibri" w:cs="Calibri" w:eastAsia="Calibri" w:hAnsi="Calibri"/>
          <w:b/>
          <w:bCs/>
          <w:color w:val="1F3A5F"/>
          <w:sz w:val="32"/>
          <w:szCs w:val="32"/>
        </w:rPr>
        <w:t xml:space="preserve">3.  Task 2 — HTTP vs HTTPS Analysis</w:t>
      </w:r>
    </w:p>
    <w:p>
      <w:pPr>
        <w:spacing w:after="140" w:line="300"/>
      </w:pPr>
      <w:r>
        <w:rPr>
          <w:rFonts w:ascii="Calibri" w:cs="Calibri" w:eastAsia="Calibri" w:hAnsi="Calibri"/>
          <w:color w:val="1B2733"/>
          <w:sz w:val="22"/>
          <w:szCs w:val="22"/>
        </w:rPr>
        <w:t xml:space="preserve">Ten popular websites were visited and inspected for their use of HTTP versus HTTPS, automatic redirection behavior, and overall connection security. The findings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500"/>
        <w:gridCol w:w="4760"/>
      </w:tblGrid>
      <w:tr>
        <w:trPr>
          <w:tblHeader/>
        </w:trPr>
        <w:tc>
          <w:tcPr>
            <w:tcW w:type="dxa" w:w="19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Website</w:t>
            </w:r>
          </w:p>
        </w:tc>
        <w:tc>
          <w:tcPr>
            <w:tcW w:type="dxa" w:w="12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Protocol</w:t>
            </w:r>
          </w:p>
        </w:tc>
        <w:tc>
          <w:tcPr>
            <w:tcW w:type="dxa" w:w="15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Auto-Redirect?</w:t>
            </w:r>
          </w:p>
        </w:tc>
        <w:tc>
          <w:tcPr>
            <w:tcW w:type="dxa" w:w="476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Security Notes</w:t>
            </w:r>
          </w:p>
        </w:tc>
      </w:tr>
      <w:tr>
        <w:tc>
          <w:tcPr>
            <w:tcW w:type="dxa" w:w="1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google.com</w:t>
            </w:r>
          </w:p>
        </w:tc>
        <w:tc>
          <w:tcPr>
            <w:tcW w:type="dxa" w:w="12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HTTPS</w:t>
            </w:r>
          </w:p>
        </w:tc>
        <w:tc>
          <w:tcPr>
            <w:tcW w:type="dxa" w:w="15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Yes</w:t>
            </w:r>
          </w:p>
        </w:tc>
        <w:tc>
          <w:tcPr>
            <w:tcW w:type="dxa" w:w="47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Connects securely over TLS by default. Any HTTP request is redirected instantly and HSTS prevents downgrade attacks.</w:t>
            </w:r>
          </w:p>
        </w:tc>
      </w:tr>
      <w:tr>
        <w:tc>
          <w:tcPr>
            <w:tcW w:type="dxa" w:w="1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github.com</w:t>
            </w:r>
          </w:p>
        </w:tc>
        <w:tc>
          <w:tcPr>
            <w:tcW w:type="dxa" w:w="12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HTTPS</w:t>
            </w:r>
          </w:p>
        </w:tc>
        <w:tc>
          <w:tcPr>
            <w:tcW w:type="dxa" w:w="15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Yes</w:t>
            </w:r>
          </w:p>
        </w:tc>
        <w:tc>
          <w:tcPr>
            <w:tcW w:type="dxa" w:w="476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Enforces HTTPS with a valid certificate and HSTS; HTTP requests are redirected to the secure version automatically.</w:t>
            </w:r>
          </w:p>
        </w:tc>
      </w:tr>
      <w:tr>
        <w:tc>
          <w:tcPr>
            <w:tcW w:type="dxa" w:w="1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wikipedia.org</w:t>
            </w:r>
          </w:p>
        </w:tc>
        <w:tc>
          <w:tcPr>
            <w:tcW w:type="dxa" w:w="12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HTTPS</w:t>
            </w:r>
          </w:p>
        </w:tc>
        <w:tc>
          <w:tcPr>
            <w:tcW w:type="dxa" w:w="15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Yes</w:t>
            </w:r>
          </w:p>
        </w:tc>
        <w:tc>
          <w:tcPr>
            <w:tcW w:type="dxa" w:w="47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Serves all content over TLS; HTTP traffic is redirected and the certificate is issued by a trusted CA.</w:t>
            </w:r>
          </w:p>
        </w:tc>
      </w:tr>
      <w:tr>
        <w:tc>
          <w:tcPr>
            <w:tcW w:type="dxa" w:w="1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youtube.com</w:t>
            </w:r>
          </w:p>
        </w:tc>
        <w:tc>
          <w:tcPr>
            <w:tcW w:type="dxa" w:w="12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HTTPS</w:t>
            </w:r>
          </w:p>
        </w:tc>
        <w:tc>
          <w:tcPr>
            <w:tcW w:type="dxa" w:w="15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Yes</w:t>
            </w:r>
          </w:p>
        </w:tc>
        <w:tc>
          <w:tcPr>
            <w:tcW w:type="dxa" w:w="476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Google-operated domain that enforces TLS 1.3 encryption and automatically redirects insecure requests.</w:t>
            </w:r>
          </w:p>
        </w:tc>
      </w:tr>
      <w:tr>
        <w:tc>
          <w:tcPr>
            <w:tcW w:type="dxa" w:w="1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facebook.com</w:t>
            </w:r>
          </w:p>
        </w:tc>
        <w:tc>
          <w:tcPr>
            <w:tcW w:type="dxa" w:w="12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HTTPS</w:t>
            </w:r>
          </w:p>
        </w:tc>
        <w:tc>
          <w:tcPr>
            <w:tcW w:type="dxa" w:w="15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Yes</w:t>
            </w:r>
          </w:p>
        </w:tc>
        <w:tc>
          <w:tcPr>
            <w:tcW w:type="dxa" w:w="47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Uses HTTPS with HSTS preload, meaning browsers connect securely even before the first redirect occurs.</w:t>
            </w:r>
          </w:p>
        </w:tc>
      </w:tr>
      <w:tr>
        <w:tc>
          <w:tcPr>
            <w:tcW w:type="dxa" w:w="1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linkedin.com</w:t>
            </w:r>
          </w:p>
        </w:tc>
        <w:tc>
          <w:tcPr>
            <w:tcW w:type="dxa" w:w="12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HTTPS</w:t>
            </w:r>
          </w:p>
        </w:tc>
        <w:tc>
          <w:tcPr>
            <w:tcW w:type="dxa" w:w="15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Yes</w:t>
            </w:r>
          </w:p>
        </w:tc>
        <w:tc>
          <w:tcPr>
            <w:tcW w:type="dxa" w:w="476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Professional network that enforces HTTPS across all pages, protecting login credentials and session cookies.</w:t>
            </w:r>
          </w:p>
        </w:tc>
      </w:tr>
      <w:tr>
        <w:tc>
          <w:tcPr>
            <w:tcW w:type="dxa" w:w="1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microsoft.com</w:t>
            </w:r>
          </w:p>
        </w:tc>
        <w:tc>
          <w:tcPr>
            <w:tcW w:type="dxa" w:w="12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HTTPS</w:t>
            </w:r>
          </w:p>
        </w:tc>
        <w:tc>
          <w:tcPr>
            <w:tcW w:type="dxa" w:w="15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Yes</w:t>
            </w:r>
          </w:p>
        </w:tc>
        <w:tc>
          <w:tcPr>
            <w:tcW w:type="dxa" w:w="47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Corporate site secured with a valid TLS certificate; HTTP requests are automatically upgraded to HTTPS.</w:t>
            </w:r>
          </w:p>
        </w:tc>
      </w:tr>
      <w:tr>
        <w:tc>
          <w:tcPr>
            <w:tcW w:type="dxa" w:w="1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amazon.com</w:t>
            </w:r>
          </w:p>
        </w:tc>
        <w:tc>
          <w:tcPr>
            <w:tcW w:type="dxa" w:w="12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HTTPS</w:t>
            </w:r>
          </w:p>
        </w:tc>
        <w:tc>
          <w:tcPr>
            <w:tcW w:type="dxa" w:w="15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Yes</w:t>
            </w:r>
          </w:p>
        </w:tc>
        <w:tc>
          <w:tcPr>
            <w:tcW w:type="dxa" w:w="476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E-commerce platform that enforces HTTPS end-to-end to protect payment and account information in transit.</w:t>
            </w:r>
          </w:p>
        </w:tc>
      </w:tr>
      <w:tr>
        <w:tc>
          <w:tcPr>
            <w:tcW w:type="dxa" w:w="1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paypal.com</w:t>
            </w:r>
          </w:p>
        </w:tc>
        <w:tc>
          <w:tcPr>
            <w:tcW w:type="dxa" w:w="12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HTTPS</w:t>
            </w:r>
          </w:p>
        </w:tc>
        <w:tc>
          <w:tcPr>
            <w:tcW w:type="dxa" w:w="15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Yes</w:t>
            </w:r>
          </w:p>
        </w:tc>
        <w:tc>
          <w:tcPr>
            <w:tcW w:type="dxa" w:w="47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Financial service that strictly enforces HTTPS/TLS with HSTS due to the sensitivity of transaction data.</w:t>
            </w:r>
          </w:p>
        </w:tc>
      </w:tr>
      <w:tr>
        <w:tc>
          <w:tcPr>
            <w:tcW w:type="dxa" w:w="1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dawn.com</w:t>
            </w:r>
          </w:p>
        </w:tc>
        <w:tc>
          <w:tcPr>
            <w:tcW w:type="dxa" w:w="12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HTTPS</w:t>
            </w:r>
          </w:p>
        </w:tc>
        <w:tc>
          <w:tcPr>
            <w:tcW w:type="dxa" w:w="15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Yes</w:t>
            </w:r>
          </w:p>
        </w:tc>
        <w:tc>
          <w:tcPr>
            <w:tcW w:type="dxa" w:w="476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Pakistani news outlet that serves content over HTTPS and redirects any HTTP requests to the secure version.</w:t>
            </w:r>
          </w:p>
        </w:tc>
      </w:tr>
    </w:tbl>
    <w:p>
      <w:pPr>
        <w:spacing w:after="140" w:line="300"/>
      </w:pPr>
      <w:r>
        <w:rPr>
          <w:rFonts w:ascii="Calibri" w:cs="Calibri" w:eastAsia="Calibri" w:hAnsi="Calibri"/>
          <w:color w:val="1B2733"/>
          <w:sz w:val="22"/>
          <w:szCs w:val="22"/>
        </w:rPr>
        <w:t xml:space="preserve"/>
      </w:r>
    </w:p>
    <w:p>
      <w:pPr>
        <w:pStyle w:val="Heading2"/>
        <w:spacing w:after="140" w:before="260"/>
      </w:pPr>
      <w:r>
        <w:rPr>
          <w:rFonts w:ascii="Calibri" w:cs="Calibri" w:eastAsia="Calibri" w:hAnsi="Calibri"/>
          <w:b/>
          <w:bCs/>
          <w:color w:val="3A6EA5"/>
          <w:sz w:val="25"/>
          <w:szCs w:val="25"/>
        </w:rPr>
        <w:t xml:space="preserve">Observations</w:t>
      </w:r>
    </w:p>
    <w:p>
      <w:pPr>
        <w:pStyle w:val="ListParagraph"/>
        <w:numPr>
          <w:ilvl w:val="0"/>
          <w:numId w:val="2"/>
        </w:numPr>
        <w:spacing w:after="80"/>
      </w:pPr>
      <w:r>
        <w:rPr>
          <w:rFonts w:ascii="Calibri" w:cs="Calibri" w:eastAsia="Calibri" w:hAnsi="Calibri"/>
          <w:color w:val="1B2733"/>
          <w:sz w:val="22"/>
          <w:szCs w:val="22"/>
        </w:rPr>
        <w:t xml:space="preserve">All ten websites tested now serve traffic exclusively over HTTPS, reflecting the industry-wide shift toward encrypted-by-default web communication.</w:t>
      </w:r>
    </w:p>
    <w:p>
      <w:pPr>
        <w:pStyle w:val="ListParagraph"/>
        <w:numPr>
          <w:ilvl w:val="0"/>
          <w:numId w:val="2"/>
        </w:numPr>
        <w:spacing w:after="80"/>
      </w:pPr>
      <w:r>
        <w:rPr>
          <w:rFonts w:ascii="Calibri" w:cs="Calibri" w:eastAsia="Calibri" w:hAnsi="Calibri"/>
          <w:color w:val="1B2733"/>
          <w:sz w:val="22"/>
          <w:szCs w:val="22"/>
        </w:rPr>
        <w:t xml:space="preserve">Every site automatically redirects plain HTTP requests to HTTPS, and most also implement HSTS (HTTP Strict Transport Security) so browsers connect securely from the very first request.</w:t>
      </w:r>
    </w:p>
    <w:p>
      <w:pPr>
        <w:pStyle w:val="ListParagraph"/>
        <w:numPr>
          <w:ilvl w:val="0"/>
          <w:numId w:val="2"/>
        </w:numPr>
        <w:spacing w:after="80"/>
      </w:pPr>
      <w:r>
        <w:rPr>
          <w:rFonts w:ascii="Calibri" w:cs="Calibri" w:eastAsia="Calibri" w:hAnsi="Calibri"/>
          <w:color w:val="1B2733"/>
          <w:sz w:val="22"/>
          <w:szCs w:val="22"/>
        </w:rPr>
        <w:t xml:space="preserve">HTTPS protects data in transit through TLS encryption, preventing eavesdropping, tampering, and man-in-the-middle attacks — this is especially critical for sites handling logins, payments, or personal data (e.g., paypal.com, amazon.com).</w:t>
      </w:r>
    </w:p>
    <w:p>
      <w:pPr>
        <w:pStyle w:val="ListParagraph"/>
        <w:numPr>
          <w:ilvl w:val="0"/>
          <w:numId w:val="2"/>
        </w:numPr>
        <w:spacing w:after="80"/>
      </w:pPr>
      <w:r>
        <w:rPr>
          <w:rFonts w:ascii="Calibri" w:cs="Calibri" w:eastAsia="Calibri" w:hAnsi="Calibri"/>
          <w:color w:val="1B2733"/>
          <w:sz w:val="22"/>
          <w:szCs w:val="22"/>
        </w:rPr>
        <w:t xml:space="preserve">A website still using plain HTTP without redirection would expose usernames, passwords, and session cookies to anyone able to intercept network traffic, such as on an unsecured public Wi-Fi network.</w:t>
      </w:r>
    </w:p>
    <w:p>
      <w:r>
        <w:br w:type="page"/>
      </w:r>
    </w:p>
    <w:p>
      <w:pPr>
        <w:pStyle w:val="Heading1"/>
        <w:pBdr>
          <w:bottom w:val="single" w:color="5B8FD6" w:sz="8" w:space="6"/>
        </w:pBdr>
        <w:spacing w:after="200" w:before="400"/>
      </w:pPr>
      <w:r>
        <w:rPr>
          <w:rFonts w:ascii="Calibri" w:cs="Calibri" w:eastAsia="Calibri" w:hAnsi="Calibri"/>
          <w:b/>
          <w:bCs/>
          <w:color w:val="1F3A5F"/>
          <w:sz w:val="32"/>
          <w:szCs w:val="32"/>
        </w:rPr>
        <w:t xml:space="preserve">4.  Task 3 — Kali Linux Network Reconnaissance</w:t>
      </w:r>
    </w:p>
    <w:p>
      <w:pPr>
        <w:spacing w:after="140" w:line="300"/>
      </w:pPr>
      <w:r>
        <w:rPr>
          <w:rFonts w:ascii="Calibri" w:cs="Calibri" w:eastAsia="Calibri" w:hAnsi="Calibri"/>
          <w:color w:val="1B2733"/>
          <w:sz w:val="22"/>
          <w:szCs w:val="22"/>
        </w:rPr>
        <w:t xml:space="preserve">This task used ping and nmap from a Kali Linux terminal to test connectivity and perform service discovery against two authorized targets: the Nmap project's public test host, scanme.nmap.org, and the local machine's own IP address on the LAN.</w:t>
      </w:r>
    </w:p>
    <w:p>
      <w:pPr>
        <w:pStyle w:val="Heading2"/>
        <w:spacing w:after="140" w:before="260"/>
      </w:pPr>
      <w:r>
        <w:rPr>
          <w:rFonts w:ascii="Calibri" w:cs="Calibri" w:eastAsia="Calibri" w:hAnsi="Calibri"/>
          <w:b/>
          <w:bCs/>
          <w:color w:val="3A6EA5"/>
          <w:sz w:val="25"/>
          <w:szCs w:val="25"/>
        </w:rPr>
        <w:t xml:space="preserve">4.1  Ping Connectivity Test — google.com</w:t>
      </w:r>
    </w:p>
    <w:p>
      <w:pPr>
        <w:spacing w:after="140" w:line="300"/>
      </w:pPr>
      <w:r>
        <w:rPr>
          <w:rFonts w:ascii="Calibri" w:cs="Calibri" w:eastAsia="Calibri" w:hAnsi="Calibri"/>
          <w:color w:val="1B2733"/>
          <w:sz w:val="22"/>
          <w:szCs w:val="22"/>
        </w:rPr>
        <w:t xml:space="preserve">The ping command was used to verify basic connectivity and measure round-trip latency to google.com.</w:t>
      </w:r>
    </w:p>
    <w:p>
      <w:pPr>
        <w:pBdr>
          <w:top w:val="single" w:color="C9D9EE" w:sz="6" w:space="4"/>
          <w:bottom w:val="single" w:color="C9D9EE" w:sz="6" w:space="4"/>
          <w:left w:val="single" w:color="C9D9EE" w:sz="6" w:space="4"/>
          <w:right w:val="single" w:color="C9D9EE" w:sz="6" w:space="4"/>
        </w:pBdr>
        <w:spacing w:after="60" w:before="160"/>
        <w:jc w:val="center"/>
      </w:pPr>
      <w:r>
        <w:drawing>
          <wp:inline distT="0" distB="0" distL="0" distR="0">
            <wp:extent cx="4191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1323975"/>
                    </a:xfrm>
                    <a:prstGeom prst="rect">
                      <a:avLst/>
                    </a:prstGeom>
                  </pic:spPr>
                </pic:pic>
              </a:graphicData>
            </a:graphic>
          </wp:inline>
        </w:drawing>
      </w:r>
    </w:p>
    <w:p>
      <w:pPr>
        <w:spacing w:after="240" w:before="80"/>
        <w:jc w:val="center"/>
      </w:pPr>
      <w:r>
        <w:rPr>
          <w:rFonts w:ascii="Calibri" w:cs="Calibri" w:eastAsia="Calibri" w:hAnsi="Calibri"/>
          <w:i/>
          <w:iCs/>
          <w:color w:val="51617A"/>
          <w:sz w:val="19"/>
          <w:szCs w:val="19"/>
        </w:rPr>
        <w:t xml:space="preserve">Figure 4.1 — ping -c 4 google.com</w:t>
      </w:r>
    </w:p>
    <w:p>
      <w:pPr>
        <w:spacing w:after="140" w:line="300"/>
      </w:pPr>
      <w:r>
        <w:rPr>
          <w:rFonts w:ascii="Calibri" w:cs="Calibri" w:eastAsia="Calibri" w:hAnsi="Calibri"/>
          <w:color w:val="1B2733"/>
          <w:sz w:val="22"/>
          <w:szCs w:val="22"/>
        </w:rPr>
        <w:t xml:space="preserve">All four ICMP echo requests received replies with 0% packet loss, confirming that the host is reachable. The average round-trip time was approximately 28.5 ms, which is typical for a broadband connection reaching a nearby Google edge server, and the TTL value of 117 indicates the reply passed through roughly 11 hops (starting from an initial TTL of 128 on many Google-fronting servers).</w:t>
      </w:r>
    </w:p>
    <w:p>
      <w:pPr>
        <w:pStyle w:val="Heading2"/>
        <w:spacing w:after="140" w:before="260"/>
      </w:pPr>
      <w:r>
        <w:rPr>
          <w:rFonts w:ascii="Calibri" w:cs="Calibri" w:eastAsia="Calibri" w:hAnsi="Calibri"/>
          <w:b/>
          <w:bCs/>
          <w:color w:val="3A6EA5"/>
          <w:sz w:val="25"/>
          <w:szCs w:val="25"/>
        </w:rPr>
        <w:t xml:space="preserve">4.2  Nmap Scan — scanme.nmap.org</w:t>
      </w:r>
    </w:p>
    <w:p>
      <w:pPr>
        <w:spacing w:after="140" w:line="300"/>
      </w:pPr>
      <w:r>
        <w:rPr>
          <w:rFonts w:ascii="Calibri" w:cs="Calibri" w:eastAsia="Calibri" w:hAnsi="Calibri"/>
          <w:color w:val="1B2733"/>
          <w:sz w:val="22"/>
          <w:szCs w:val="22"/>
        </w:rPr>
        <w:t xml:space="preserve">scanme.nmap.org is a host intentionally provided by the Nmap project for learning and testing purposes, making it a safe and authorized scan target.</w:t>
      </w:r>
    </w:p>
    <w:p>
      <w:pPr>
        <w:pBdr>
          <w:top w:val="single" w:color="C9D9EE" w:sz="6" w:space="4"/>
          <w:bottom w:val="single" w:color="C9D9EE" w:sz="6" w:space="4"/>
          <w:left w:val="single" w:color="C9D9EE" w:sz="6" w:space="4"/>
          <w:right w:val="single" w:color="C9D9EE" w:sz="6" w:space="4"/>
        </w:pBdr>
        <w:spacing w:after="60" w:before="160"/>
        <w:jc w:val="center"/>
      </w:pPr>
      <w:r>
        <w:drawing>
          <wp:inline distT="0" distB="0" distL="0" distR="0">
            <wp:extent cx="4191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1524000"/>
                    </a:xfrm>
                    <a:prstGeom prst="rect">
                      <a:avLst/>
                    </a:prstGeom>
                  </pic:spPr>
                </pic:pic>
              </a:graphicData>
            </a:graphic>
          </wp:inline>
        </w:drawing>
      </w:r>
    </w:p>
    <w:p>
      <w:pPr>
        <w:spacing w:after="240" w:before="80"/>
        <w:jc w:val="center"/>
      </w:pPr>
      <w:r>
        <w:rPr>
          <w:rFonts w:ascii="Calibri" w:cs="Calibri" w:eastAsia="Calibri" w:hAnsi="Calibri"/>
          <w:i/>
          <w:iCs/>
          <w:color w:val="51617A"/>
          <w:sz w:val="19"/>
          <w:szCs w:val="19"/>
        </w:rPr>
        <w:t xml:space="preserve">Figure 4.2 — nmap -sV scanme.nmap.org</w:t>
      </w:r>
    </w:p>
    <w:p>
      <w:pPr>
        <w:spacing w:after="140" w:line="300"/>
      </w:pPr>
      <w:r>
        <w:rPr>
          <w:rFonts w:ascii="Calibri" w:cs="Calibri" w:eastAsia="Calibri" w:hAnsi="Calibri"/>
          <w:color w:val="1B2733"/>
          <w:sz w:val="22"/>
          <w:szCs w:val="22"/>
        </w:rPr>
        <w:t xml:space="preserve">The scan identified three open TCP ports: 22 (SSH — OpenSSH), 53 (DNS — ISC BIND), and 80 (HTTP — Apache). All other scanned ports were filtered, meaning a firewall is silently dropping unsolicited probes rather than actively refusing them.</w:t>
      </w:r>
    </w:p>
    <w:p>
      <w:pPr>
        <w:pStyle w:val="Heading2"/>
        <w:spacing w:after="140" w:before="260"/>
      </w:pPr>
      <w:r>
        <w:rPr>
          <w:rFonts w:ascii="Calibri" w:cs="Calibri" w:eastAsia="Calibri" w:hAnsi="Calibri"/>
          <w:b/>
          <w:bCs/>
          <w:color w:val="3A6EA5"/>
          <w:sz w:val="25"/>
          <w:szCs w:val="25"/>
        </w:rPr>
        <w:t xml:space="preserve">4.3  Nmap Scan — Local Host</w:t>
      </w:r>
    </w:p>
    <w:p>
      <w:pPr>
        <w:spacing w:after="140" w:line="300"/>
      </w:pPr>
      <w:r>
        <w:rPr>
          <w:rFonts w:ascii="Calibri" w:cs="Calibri" w:eastAsia="Calibri" w:hAnsi="Calibri"/>
          <w:color w:val="1B2733"/>
          <w:sz w:val="22"/>
          <w:szCs w:val="22"/>
        </w:rPr>
        <w:t xml:space="preserve">The local IP address was first identified using the ip a command, then scanned with nmap to review which services are exposed on the local network.</w:t>
      </w:r>
    </w:p>
    <w:p>
      <w:pPr>
        <w:pBdr>
          <w:top w:val="single" w:color="C9D9EE" w:sz="6" w:space="4"/>
          <w:bottom w:val="single" w:color="C9D9EE" w:sz="6" w:space="4"/>
          <w:left w:val="single" w:color="C9D9EE" w:sz="6" w:space="4"/>
          <w:right w:val="single" w:color="C9D9EE" w:sz="6" w:space="4"/>
        </w:pBdr>
        <w:spacing w:after="60" w:before="160"/>
        <w:jc w:val="center"/>
      </w:pPr>
      <w:r>
        <w:drawing>
          <wp:inline distT="0" distB="0" distL="0" distR="0">
            <wp:extent cx="4191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1924050"/>
                    </a:xfrm>
                    <a:prstGeom prst="rect">
                      <a:avLst/>
                    </a:prstGeom>
                  </pic:spPr>
                </pic:pic>
              </a:graphicData>
            </a:graphic>
          </wp:inline>
        </w:drawing>
      </w:r>
    </w:p>
    <w:p>
      <w:pPr>
        <w:spacing w:after="240" w:before="80"/>
        <w:jc w:val="center"/>
      </w:pPr>
      <w:r>
        <w:rPr>
          <w:rFonts w:ascii="Calibri" w:cs="Calibri" w:eastAsia="Calibri" w:hAnsi="Calibri"/>
          <w:i/>
          <w:iCs/>
          <w:color w:val="51617A"/>
          <w:sz w:val="19"/>
          <w:szCs w:val="19"/>
        </w:rPr>
        <w:t xml:space="preserve">Figure 4.3 — nmap -sV 192.168.1.108 (local host)</w:t>
      </w:r>
    </w:p>
    <w:p>
      <w:pPr>
        <w:spacing w:after="140" w:line="300"/>
      </w:pPr>
      <w:r>
        <w:rPr>
          <w:rFonts w:ascii="Calibri" w:cs="Calibri" w:eastAsia="Calibri" w:hAnsi="Calibri"/>
          <w:color w:val="1B2733"/>
          <w:sz w:val="22"/>
          <w:szCs w:val="22"/>
        </w:rPr>
        <w:t xml:space="preserve">The scan of the local machine revealed four open ports: 22 (SSH), 135 (Microsoft RPC), 445 (SMB / microsoft-ds), and 3389 (RDP). Because this host is on a trusted, isolated home network segment, exposure is limited to devices already on that LAN.</w:t>
      </w:r>
    </w:p>
    <w:p>
      <w:pPr>
        <w:pStyle w:val="Heading2"/>
        <w:spacing w:after="140" w:before="260"/>
      </w:pPr>
      <w:r>
        <w:rPr>
          <w:rFonts w:ascii="Calibri" w:cs="Calibri" w:eastAsia="Calibri" w:hAnsi="Calibri"/>
          <w:b/>
          <w:bCs/>
          <w:color w:val="3A6EA5"/>
          <w:sz w:val="25"/>
          <w:szCs w:val="25"/>
        </w:rPr>
        <w:t xml:space="preserve">4.4  Reconnaissance Summary &amp;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900"/>
        <w:gridCol w:w="3260"/>
        <w:gridCol w:w="1800"/>
      </w:tblGrid>
      <w:tr>
        <w:trPr>
          <w:tblHeader/>
        </w:trPr>
        <w:tc>
          <w:tcPr>
            <w:tcW w:type="dxa" w:w="20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Target</w:t>
            </w:r>
          </w:p>
        </w:tc>
        <w:tc>
          <w:tcPr>
            <w:tcW w:type="dxa" w:w="14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Response (ms)</w:t>
            </w:r>
          </w:p>
        </w:tc>
        <w:tc>
          <w:tcPr>
            <w:tcW w:type="dxa" w:w="9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TTL</w:t>
            </w:r>
          </w:p>
        </w:tc>
        <w:tc>
          <w:tcPr>
            <w:tcW w:type="dxa" w:w="326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Open Ports / Services</w:t>
            </w:r>
          </w:p>
        </w:tc>
        <w:tc>
          <w:tcPr>
            <w:tcW w:type="dxa" w:w="18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Highest Risk</w:t>
            </w:r>
          </w:p>
        </w:tc>
      </w:tr>
      <w:tr>
        <w:tc>
          <w:tcPr>
            <w:tcW w:type="dxa" w:w="20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google.com</w:t>
            </w:r>
          </w:p>
        </w:tc>
        <w:tc>
          <w:tcPr>
            <w:tcW w:type="dxa" w:w="14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~28.5</w:t>
            </w:r>
          </w:p>
        </w:tc>
        <w:tc>
          <w:tcPr>
            <w:tcW w:type="dxa" w:w="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117</w:t>
            </w:r>
          </w:p>
        </w:tc>
        <w:tc>
          <w:tcPr>
            <w:tcW w:type="dxa" w:w="32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N/A (ping only)</w:t>
            </w:r>
          </w:p>
        </w:tc>
        <w:tc>
          <w:tcPr>
            <w:tcW w:type="dxa" w:w="18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N/A</w:t>
            </w:r>
          </w:p>
        </w:tc>
      </w:tr>
      <w:tr>
        <w:tc>
          <w:tcPr>
            <w:tcW w:type="dxa" w:w="20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scanme.nmap.org</w:t>
            </w:r>
          </w:p>
        </w:tc>
        <w:tc>
          <w:tcPr>
            <w:tcW w:type="dxa" w:w="14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~190</w:t>
            </w:r>
          </w:p>
        </w:tc>
        <w:tc>
          <w:tcPr>
            <w:tcW w:type="dxa" w:w="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N/A</w:t>
            </w:r>
          </w:p>
        </w:tc>
        <w:tc>
          <w:tcPr>
            <w:tcW w:type="dxa" w:w="326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22/ssh, 53/dns, 80/http</w:t>
            </w:r>
          </w:p>
        </w:tc>
        <w:tc>
          <w:tcPr>
            <w:tcW w:type="dxa" w:w="18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bCs/>
                <w:color w:val="C98A2C"/>
                <w:sz w:val="18"/>
                <w:szCs w:val="18"/>
              </w:rPr>
              <w:t xml:space="preserve">Port 80 (HTTP)</w:t>
            </w:r>
          </w:p>
        </w:tc>
      </w:tr>
      <w:tr>
        <w:tc>
          <w:tcPr>
            <w:tcW w:type="dxa" w:w="20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192.168.1.108 (local)</w:t>
            </w:r>
          </w:p>
        </w:tc>
        <w:tc>
          <w:tcPr>
            <w:tcW w:type="dxa" w:w="14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&lt;1</w:t>
            </w:r>
          </w:p>
        </w:tc>
        <w:tc>
          <w:tcPr>
            <w:tcW w:type="dxa" w:w="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N/A</w:t>
            </w:r>
          </w:p>
        </w:tc>
        <w:tc>
          <w:tcPr>
            <w:tcW w:type="dxa" w:w="32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22/ssh, 135/msrpc, 445/smb, 3389/rdp</w:t>
            </w:r>
          </w:p>
        </w:tc>
        <w:tc>
          <w:tcPr>
            <w:tcW w:type="dxa" w:w="18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bCs/>
                <w:color w:val="C24E4E"/>
                <w:sz w:val="18"/>
                <w:szCs w:val="18"/>
              </w:rPr>
              <w:t xml:space="preserve">Port 445 (SMB)</w:t>
            </w:r>
          </w:p>
        </w:tc>
      </w:tr>
    </w:tbl>
    <w:p>
      <w:pPr>
        <w:spacing w:after="140" w:line="300"/>
      </w:pPr>
      <w:r>
        <w:rPr>
          <w:rFonts w:ascii="Calibri" w:cs="Calibri" w:eastAsia="Calibri" w:hAnsi="Calibri"/>
          <w:color w:val="1B2733"/>
          <w:sz w:val="22"/>
          <w:szCs w:val="22"/>
        </w:rPr>
        <w:t xml:space="preserve"/>
      </w:r>
    </w:p>
    <w:p>
      <w:pPr>
        <w:spacing w:after="140" w:line="300"/>
      </w:pPr>
      <w:r>
        <w:rPr>
          <w:rFonts w:ascii="Calibri" w:cs="Calibri" w:eastAsia="Calibri" w:hAnsi="Calibri"/>
          <w:color w:val="1B2733"/>
          <w:sz w:val="22"/>
          <w:szCs w:val="22"/>
        </w:rPr>
        <w:t xml:space="preserve">On scanme.nmap.org, port 80 (HTTP) is the most notable risk since it serves unencrypted content by default; however, this is an intentional test service rather than production infrastructure. On the local host, port 445 (SMB) is the highest-risk open port: SMB has a long history of critical remote-code-execution vulnerabilities (e.g., EternalBlue/MS17-010), and it should never be exposed beyond a trusted, segmented LAN — and never to the public internet.</w:t>
      </w:r>
    </w:p>
    <w:p>
      <w:pPr>
        <w:spacing w:after="140" w:line="300"/>
      </w:pPr>
      <w:r>
        <w:rPr>
          <w:rFonts w:ascii="Calibri" w:cs="Calibri" w:eastAsia="Calibri" w:hAnsi="Calibri"/>
          <w:color w:val="1B2733"/>
          <w:sz w:val="22"/>
          <w:szCs w:val="22"/>
        </w:rPr>
        <w:t xml:space="preserve">Bonus — Purpose of the -sV option: The -sV flag enables Nmap's version detection engine. Instead of simply reporting that a port is open, Nmap sends targeted probes to the service and attempts to identify the exact software and version running behind it (for example, "OpenSSH 6.6.1p1" rather than just "22/tcp open"). This is valuable for a security analyst because outdated or misconfigured service versions are often the first thing checked against known CVEs during a vulnerability assessment.</w:t>
      </w:r>
    </w:p>
    <w:p>
      <w:r>
        <w:br w:type="page"/>
      </w:r>
    </w:p>
    <w:p>
      <w:pPr>
        <w:pStyle w:val="Heading1"/>
        <w:pBdr>
          <w:bottom w:val="single" w:color="5B8FD6" w:sz="8" w:space="6"/>
        </w:pBdr>
        <w:spacing w:after="200" w:before="400"/>
      </w:pPr>
      <w:r>
        <w:rPr>
          <w:rFonts w:ascii="Calibri" w:cs="Calibri" w:eastAsia="Calibri" w:hAnsi="Calibri"/>
          <w:b/>
          <w:bCs/>
          <w:color w:val="1F3A5F"/>
          <w:sz w:val="32"/>
          <w:szCs w:val="32"/>
        </w:rPr>
        <w:t xml:space="preserve">5.  Task 4 — What Happens When You Type a URL and Press Enter</w:t>
      </w:r>
    </w:p>
    <w:p>
      <w:pPr>
        <w:spacing w:after="140" w:line="300"/>
      </w:pPr>
      <w:r>
        <w:rPr>
          <w:rFonts w:ascii="Calibri" w:cs="Calibri" w:eastAsia="Calibri" w:hAnsi="Calibri"/>
          <w:color w:val="1B2733"/>
          <w:sz w:val="22"/>
          <w:szCs w:val="22"/>
        </w:rPr>
        <w:t xml:space="preserve">Loading a single webpage triggers a fast, layered sequence of networking events. Each stage below builds on the one before it.</w:t>
      </w:r>
    </w:p>
    <w:p>
      <w:pPr>
        <w:pStyle w:val="Heading2"/>
        <w:spacing w:after="140" w:before="260"/>
      </w:pPr>
      <w:r>
        <w:rPr>
          <w:rFonts w:ascii="Calibri" w:cs="Calibri" w:eastAsia="Calibri" w:hAnsi="Calibri"/>
          <w:b/>
          <w:bCs/>
          <w:color w:val="3A6EA5"/>
          <w:sz w:val="25"/>
          <w:szCs w:val="25"/>
        </w:rPr>
        <w:t xml:space="preserve">1. DNS Lookup</w:t>
      </w:r>
    </w:p>
    <w:p>
      <w:pPr>
        <w:spacing w:after="140" w:line="300"/>
      </w:pPr>
      <w:r>
        <w:rPr>
          <w:rFonts w:ascii="Calibri" w:cs="Calibri" w:eastAsia="Calibri" w:hAnsi="Calibri"/>
          <w:color w:val="1B2733"/>
          <w:sz w:val="22"/>
          <w:szCs w:val="22"/>
        </w:rPr>
        <w:t xml:space="preserve">The browser first checks whether it already knows the IP address for the typed domain (browser cache, OS cache, or router cache). If not, it queries a DNS resolver — typically provided by the ISP or a public resolver such as 1.1.1.1 or 8.8.8.8 — which walks the DNS hierarchy from root servers to TLD servers to the domain's authoritative name servers.</w:t>
      </w:r>
    </w:p>
    <w:p>
      <w:pPr>
        <w:pStyle w:val="Heading2"/>
        <w:spacing w:after="140" w:before="260"/>
      </w:pPr>
      <w:r>
        <w:rPr>
          <w:rFonts w:ascii="Calibri" w:cs="Calibri" w:eastAsia="Calibri" w:hAnsi="Calibri"/>
          <w:b/>
          <w:bCs/>
          <w:color w:val="3A6EA5"/>
          <w:sz w:val="25"/>
          <w:szCs w:val="25"/>
        </w:rPr>
        <w:t xml:space="preserve">2. IP Address Resolution</w:t>
      </w:r>
    </w:p>
    <w:p>
      <w:pPr>
        <w:spacing w:after="140" w:line="300"/>
      </w:pPr>
      <w:r>
        <w:rPr>
          <w:rFonts w:ascii="Calibri" w:cs="Calibri" w:eastAsia="Calibri" w:hAnsi="Calibri"/>
          <w:color w:val="1B2733"/>
          <w:sz w:val="22"/>
          <w:szCs w:val="22"/>
        </w:rPr>
        <w:t xml:space="preserve">The authoritative name server returns the IP address (an A record for IPv4 or AAAA for IPv6) mapped to the domain. This address identifies the specific server, load balancer, or content delivery network (CDN) edge node that will handle the request.</w:t>
      </w:r>
    </w:p>
    <w:p>
      <w:pPr>
        <w:pStyle w:val="Heading2"/>
        <w:spacing w:after="140" w:before="260"/>
      </w:pPr>
      <w:r>
        <w:rPr>
          <w:rFonts w:ascii="Calibri" w:cs="Calibri" w:eastAsia="Calibri" w:hAnsi="Calibri"/>
          <w:b/>
          <w:bCs/>
          <w:color w:val="3A6EA5"/>
          <w:sz w:val="25"/>
          <w:szCs w:val="25"/>
        </w:rPr>
        <w:t xml:space="preserve">3. TCP Three-Way Handshake</w:t>
      </w:r>
    </w:p>
    <w:p>
      <w:pPr>
        <w:spacing w:after="140" w:line="300"/>
      </w:pPr>
      <w:r>
        <w:rPr>
          <w:rFonts w:ascii="Calibri" w:cs="Calibri" w:eastAsia="Calibri" w:hAnsi="Calibri"/>
          <w:color w:val="1B2733"/>
          <w:sz w:val="22"/>
          <w:szCs w:val="22"/>
        </w:rPr>
        <w:t xml:space="preserve">Before any data is exchanged, the browser establishes a reliable connection with the server using TCP's three-way handshake: the client sends a SYN packet, the server responds with SYN-ACK, and the client replies with ACK. This confirms both sides are ready to communicate.</w:t>
      </w:r>
    </w:p>
    <w:p>
      <w:pPr>
        <w:pStyle w:val="Heading2"/>
        <w:spacing w:after="140" w:before="260"/>
      </w:pPr>
      <w:r>
        <w:rPr>
          <w:rFonts w:ascii="Calibri" w:cs="Calibri" w:eastAsia="Calibri" w:hAnsi="Calibri"/>
          <w:b/>
          <w:bCs/>
          <w:color w:val="3A6EA5"/>
          <w:sz w:val="25"/>
          <w:szCs w:val="25"/>
        </w:rPr>
        <w:t xml:space="preserve">4. TLS / HTTPS Handshake</w:t>
      </w:r>
    </w:p>
    <w:p>
      <w:pPr>
        <w:spacing w:after="140" w:line="300"/>
      </w:pPr>
      <w:r>
        <w:rPr>
          <w:rFonts w:ascii="Calibri" w:cs="Calibri" w:eastAsia="Calibri" w:hAnsi="Calibri"/>
          <w:color w:val="1B2733"/>
          <w:sz w:val="22"/>
          <w:szCs w:val="22"/>
        </w:rPr>
        <w:t xml:space="preserve">For HTTPS sites, a TLS handshake immediately follows: the client and server agree on a TLS version and cipher suite, the server presents its digital certificate for verification, and both sides derive a shared session key. From this point forward, all traffic between the browser and server is encrypted.</w:t>
      </w:r>
    </w:p>
    <w:p>
      <w:pPr>
        <w:pStyle w:val="Heading2"/>
        <w:spacing w:after="140" w:before="260"/>
      </w:pPr>
      <w:r>
        <w:rPr>
          <w:rFonts w:ascii="Calibri" w:cs="Calibri" w:eastAsia="Calibri" w:hAnsi="Calibri"/>
          <w:b/>
          <w:bCs/>
          <w:color w:val="3A6EA5"/>
          <w:sz w:val="25"/>
          <w:szCs w:val="25"/>
        </w:rPr>
        <w:t xml:space="preserve">5. HTTP Request</w:t>
      </w:r>
    </w:p>
    <w:p>
      <w:pPr>
        <w:spacing w:after="140" w:line="300"/>
      </w:pPr>
      <w:r>
        <w:rPr>
          <w:rFonts w:ascii="Calibri" w:cs="Calibri" w:eastAsia="Calibri" w:hAnsi="Calibri"/>
          <w:color w:val="1B2733"/>
          <w:sz w:val="22"/>
          <w:szCs w:val="22"/>
        </w:rPr>
        <w:t xml:space="preserve">The browser sends an HTTP (or HTTPS) request — typically a GET request — asking the server for a specific resource, such as the homepage HTML. The request includes headers describing the browser, accepted content types, and any cookies for that domain.</w:t>
      </w:r>
    </w:p>
    <w:p>
      <w:pPr>
        <w:pStyle w:val="Heading2"/>
        <w:spacing w:after="140" w:before="260"/>
      </w:pPr>
      <w:r>
        <w:rPr>
          <w:rFonts w:ascii="Calibri" w:cs="Calibri" w:eastAsia="Calibri" w:hAnsi="Calibri"/>
          <w:b/>
          <w:bCs/>
          <w:color w:val="3A6EA5"/>
          <w:sz w:val="25"/>
          <w:szCs w:val="25"/>
        </w:rPr>
        <w:t xml:space="preserve">6. Server Response</w:t>
      </w:r>
    </w:p>
    <w:p>
      <w:pPr>
        <w:spacing w:after="140" w:line="300"/>
      </w:pPr>
      <w:r>
        <w:rPr>
          <w:rFonts w:ascii="Calibri" w:cs="Calibri" w:eastAsia="Calibri" w:hAnsi="Calibri"/>
          <w:color w:val="1B2733"/>
          <w:sz w:val="22"/>
          <w:szCs w:val="22"/>
        </w:rPr>
        <w:t xml:space="preserve">The server processes the request (often involving application logic, databases, or caching layers) and returns an HTTP response containing a status code (e.g., 200 OK, 301 Redirect, 404 Not Found), response headers, and the requested content — usually an HTML document.</w:t>
      </w:r>
    </w:p>
    <w:p>
      <w:pPr>
        <w:pStyle w:val="Heading2"/>
        <w:spacing w:after="140" w:before="260"/>
      </w:pPr>
      <w:r>
        <w:rPr>
          <w:rFonts w:ascii="Calibri" w:cs="Calibri" w:eastAsia="Calibri" w:hAnsi="Calibri"/>
          <w:b/>
          <w:bCs/>
          <w:color w:val="3A6EA5"/>
          <w:sz w:val="25"/>
          <w:szCs w:val="25"/>
        </w:rPr>
        <w:t xml:space="preserve">7. Browser Rendering the Webpage</w:t>
      </w:r>
    </w:p>
    <w:p>
      <w:pPr>
        <w:spacing w:after="140" w:line="300"/>
      </w:pPr>
      <w:r>
        <w:rPr>
          <w:rFonts w:ascii="Calibri" w:cs="Calibri" w:eastAsia="Calibri" w:hAnsi="Calibri"/>
          <w:color w:val="1B2733"/>
          <w:sz w:val="22"/>
          <w:szCs w:val="22"/>
        </w:rPr>
        <w:t xml:space="preserve">The browser parses the HTML into a DOM tree, requests additional resources it discovers (CSS, JavaScript, images, fonts), builds the render tree, calculates layout, and finally paints pixels to the screen. JavaScript may then run to add interactivity, and the page becomes fully usable.</w:t>
      </w:r>
    </w:p>
    <w:p>
      <w:r>
        <w:br w:type="page"/>
      </w:r>
    </w:p>
    <w:p>
      <w:pPr>
        <w:pStyle w:val="Heading1"/>
        <w:pBdr>
          <w:bottom w:val="single" w:color="5B8FD6" w:sz="8" w:space="6"/>
        </w:pBdr>
        <w:spacing w:after="200" w:before="400"/>
      </w:pPr>
      <w:r>
        <w:rPr>
          <w:rFonts w:ascii="Calibri" w:cs="Calibri" w:eastAsia="Calibri" w:hAnsi="Calibri"/>
          <w:b/>
          <w:bCs/>
          <w:color w:val="1F3A5F"/>
          <w:sz w:val="32"/>
          <w:szCs w:val="32"/>
        </w:rPr>
        <w:t xml:space="preserve">6.  Task 5 — Networking Cheat Sheet</w:t>
      </w:r>
    </w:p>
    <w:p>
      <w:pPr>
        <w:spacing w:after="140" w:line="300"/>
      </w:pPr>
      <w:r>
        <w:rPr>
          <w:rFonts w:ascii="Calibri" w:cs="Calibri" w:eastAsia="Calibri" w:hAnsi="Calibri"/>
          <w:color w:val="1B2733"/>
          <w:sz w:val="22"/>
          <w:szCs w:val="22"/>
        </w:rPr>
        <w:t xml:space="preserve">The following cheat sheet consolidates the 15 protocols covered in this assignment into a single quick-reference table, pairing each protocol's primary security risk with its recommended secure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50"/>
        <w:gridCol w:w="850"/>
        <w:gridCol w:w="2260"/>
        <w:gridCol w:w="2350"/>
        <w:gridCol w:w="2000"/>
      </w:tblGrid>
      <w:tr>
        <w:trPr>
          <w:tblHeader/>
        </w:trPr>
        <w:tc>
          <w:tcPr>
            <w:tcW w:type="dxa" w:w="115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Protocol</w:t>
            </w:r>
          </w:p>
        </w:tc>
        <w:tc>
          <w:tcPr>
            <w:tcW w:type="dxa" w:w="75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Port</w:t>
            </w:r>
          </w:p>
        </w:tc>
        <w:tc>
          <w:tcPr>
            <w:tcW w:type="dxa" w:w="85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TCP/UDP</w:t>
            </w:r>
          </w:p>
        </w:tc>
        <w:tc>
          <w:tcPr>
            <w:tcW w:type="dxa" w:w="226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Purpose</w:t>
            </w:r>
          </w:p>
        </w:tc>
        <w:tc>
          <w:tcPr>
            <w:tcW w:type="dxa" w:w="235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Security Risk</w:t>
            </w:r>
          </w:p>
        </w:tc>
        <w:tc>
          <w:tcPr>
            <w:tcW w:type="dxa" w:w="20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Secure Alternative</w:t>
            </w:r>
          </w:p>
        </w:tc>
      </w:tr>
      <w:tr>
        <w:tc>
          <w:tcPr>
            <w:tcW w:type="dxa" w:w="11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FTP</w:t>
            </w:r>
          </w:p>
        </w:tc>
        <w:tc>
          <w:tcPr>
            <w:tcW w:type="dxa" w:w="7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21</w:t>
            </w:r>
          </w:p>
        </w:tc>
        <w:tc>
          <w:tcPr>
            <w:tcW w:type="dxa" w:w="8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22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File transfer between client and server</w:t>
            </w:r>
          </w:p>
        </w:tc>
        <w:tc>
          <w:tcPr>
            <w:tcW w:type="dxa" w:w="23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Credentials &amp; data sent in clear text</w:t>
            </w:r>
          </w:p>
        </w:tc>
        <w:tc>
          <w:tcPr>
            <w:tcW w:type="dxa" w:w="20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SFTP / FTPS</w:t>
            </w:r>
          </w:p>
        </w:tc>
      </w:tr>
      <w:tr>
        <w:tc>
          <w:tcPr>
            <w:tcW w:type="dxa" w:w="11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SSH</w:t>
            </w:r>
          </w:p>
        </w:tc>
        <w:tc>
          <w:tcPr>
            <w:tcW w:type="dxa" w:w="7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22</w:t>
            </w:r>
          </w:p>
        </w:tc>
        <w:tc>
          <w:tcPr>
            <w:tcW w:type="dxa" w:w="8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226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Encrypted remote administration</w:t>
            </w:r>
          </w:p>
        </w:tc>
        <w:tc>
          <w:tcPr>
            <w:tcW w:type="dxa" w:w="23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Weak passwords, brute-force attacks</w:t>
            </w:r>
          </w:p>
        </w:tc>
        <w:tc>
          <w:tcPr>
            <w:tcW w:type="dxa" w:w="20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Key-based auth + fail2ban</w:t>
            </w:r>
          </w:p>
        </w:tc>
      </w:tr>
      <w:tr>
        <w:tc>
          <w:tcPr>
            <w:tcW w:type="dxa" w:w="11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Telnet</w:t>
            </w:r>
          </w:p>
        </w:tc>
        <w:tc>
          <w:tcPr>
            <w:tcW w:type="dxa" w:w="7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23</w:t>
            </w:r>
          </w:p>
        </w:tc>
        <w:tc>
          <w:tcPr>
            <w:tcW w:type="dxa" w:w="8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22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Legacy remote terminal access</w:t>
            </w:r>
          </w:p>
        </w:tc>
        <w:tc>
          <w:tcPr>
            <w:tcW w:type="dxa" w:w="23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Fully unencrypted session</w:t>
            </w:r>
          </w:p>
        </w:tc>
        <w:tc>
          <w:tcPr>
            <w:tcW w:type="dxa" w:w="20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SSH</w:t>
            </w:r>
          </w:p>
        </w:tc>
      </w:tr>
      <w:tr>
        <w:tc>
          <w:tcPr>
            <w:tcW w:type="dxa" w:w="11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SMTP</w:t>
            </w:r>
          </w:p>
        </w:tc>
        <w:tc>
          <w:tcPr>
            <w:tcW w:type="dxa" w:w="7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25</w:t>
            </w:r>
          </w:p>
        </w:tc>
        <w:tc>
          <w:tcPr>
            <w:tcW w:type="dxa" w:w="8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226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Sending email between servers</w:t>
            </w:r>
          </w:p>
        </w:tc>
        <w:tc>
          <w:tcPr>
            <w:tcW w:type="dxa" w:w="23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Spoofing, unencrypted relay</w:t>
            </w:r>
          </w:p>
        </w:tc>
        <w:tc>
          <w:tcPr>
            <w:tcW w:type="dxa" w:w="20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SMTPS / STARTTLS (587)</w:t>
            </w:r>
          </w:p>
        </w:tc>
      </w:tr>
      <w:tr>
        <w:tc>
          <w:tcPr>
            <w:tcW w:type="dxa" w:w="11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DNS</w:t>
            </w:r>
          </w:p>
        </w:tc>
        <w:tc>
          <w:tcPr>
            <w:tcW w:type="dxa" w:w="7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53</w:t>
            </w:r>
          </w:p>
        </w:tc>
        <w:tc>
          <w:tcPr>
            <w:tcW w:type="dxa" w:w="8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TCP/UDP</w:t>
            </w:r>
          </w:p>
        </w:tc>
        <w:tc>
          <w:tcPr>
            <w:tcW w:type="dxa" w:w="22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Domain name resolution</w:t>
            </w:r>
          </w:p>
        </w:tc>
        <w:tc>
          <w:tcPr>
            <w:tcW w:type="dxa" w:w="23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Cache poisoning, spoofing</w:t>
            </w:r>
          </w:p>
        </w:tc>
        <w:tc>
          <w:tcPr>
            <w:tcW w:type="dxa" w:w="20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DNSSEC / DNS-over-HTTPS</w:t>
            </w:r>
          </w:p>
        </w:tc>
      </w:tr>
      <w:tr>
        <w:tc>
          <w:tcPr>
            <w:tcW w:type="dxa" w:w="11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DHCP</w:t>
            </w:r>
          </w:p>
        </w:tc>
        <w:tc>
          <w:tcPr>
            <w:tcW w:type="dxa" w:w="7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67/68</w:t>
            </w:r>
          </w:p>
        </w:tc>
        <w:tc>
          <w:tcPr>
            <w:tcW w:type="dxa" w:w="8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UDP</w:t>
            </w:r>
          </w:p>
        </w:tc>
        <w:tc>
          <w:tcPr>
            <w:tcW w:type="dxa" w:w="226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Automatic IP address assignment</w:t>
            </w:r>
          </w:p>
        </w:tc>
        <w:tc>
          <w:tcPr>
            <w:tcW w:type="dxa" w:w="23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Rogue DHCP servers</w:t>
            </w:r>
          </w:p>
        </w:tc>
        <w:tc>
          <w:tcPr>
            <w:tcW w:type="dxa" w:w="20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DHCP snooping</w:t>
            </w:r>
          </w:p>
        </w:tc>
      </w:tr>
      <w:tr>
        <w:tc>
          <w:tcPr>
            <w:tcW w:type="dxa" w:w="11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w:t>
            </w:r>
          </w:p>
        </w:tc>
        <w:tc>
          <w:tcPr>
            <w:tcW w:type="dxa" w:w="7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80</w:t>
            </w:r>
          </w:p>
        </w:tc>
        <w:tc>
          <w:tcPr>
            <w:tcW w:type="dxa" w:w="8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22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Unencrypted web browsing</w:t>
            </w:r>
          </w:p>
        </w:tc>
        <w:tc>
          <w:tcPr>
            <w:tcW w:type="dxa" w:w="23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Eavesdropping, tampering</w:t>
            </w:r>
          </w:p>
        </w:tc>
        <w:tc>
          <w:tcPr>
            <w:tcW w:type="dxa" w:w="20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HTTPS</w:t>
            </w:r>
          </w:p>
        </w:tc>
      </w:tr>
      <w:tr>
        <w:tc>
          <w:tcPr>
            <w:tcW w:type="dxa" w:w="11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POP3</w:t>
            </w:r>
          </w:p>
        </w:tc>
        <w:tc>
          <w:tcPr>
            <w:tcW w:type="dxa" w:w="7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110</w:t>
            </w:r>
          </w:p>
        </w:tc>
        <w:tc>
          <w:tcPr>
            <w:tcW w:type="dxa" w:w="8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226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Download email to client</w:t>
            </w:r>
          </w:p>
        </w:tc>
        <w:tc>
          <w:tcPr>
            <w:tcW w:type="dxa" w:w="23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Credentials sent in clear text</w:t>
            </w:r>
          </w:p>
        </w:tc>
        <w:tc>
          <w:tcPr>
            <w:tcW w:type="dxa" w:w="20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POP3S (995)</w:t>
            </w:r>
          </w:p>
        </w:tc>
      </w:tr>
      <w:tr>
        <w:tc>
          <w:tcPr>
            <w:tcW w:type="dxa" w:w="11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NTP</w:t>
            </w:r>
          </w:p>
        </w:tc>
        <w:tc>
          <w:tcPr>
            <w:tcW w:type="dxa" w:w="7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123</w:t>
            </w:r>
          </w:p>
        </w:tc>
        <w:tc>
          <w:tcPr>
            <w:tcW w:type="dxa" w:w="8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UDP</w:t>
            </w:r>
          </w:p>
        </w:tc>
        <w:tc>
          <w:tcPr>
            <w:tcW w:type="dxa" w:w="22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Clock synchronization</w:t>
            </w:r>
          </w:p>
        </w:tc>
        <w:tc>
          <w:tcPr>
            <w:tcW w:type="dxa" w:w="23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Amplification DDoS abuse</w:t>
            </w:r>
          </w:p>
        </w:tc>
        <w:tc>
          <w:tcPr>
            <w:tcW w:type="dxa" w:w="20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NTS (Network Time Security)</w:t>
            </w:r>
          </w:p>
        </w:tc>
      </w:tr>
      <w:tr>
        <w:tc>
          <w:tcPr>
            <w:tcW w:type="dxa" w:w="11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IMAP</w:t>
            </w:r>
          </w:p>
        </w:tc>
        <w:tc>
          <w:tcPr>
            <w:tcW w:type="dxa" w:w="7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143</w:t>
            </w:r>
          </w:p>
        </w:tc>
        <w:tc>
          <w:tcPr>
            <w:tcW w:type="dxa" w:w="8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226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Server-side email management</w:t>
            </w:r>
          </w:p>
        </w:tc>
        <w:tc>
          <w:tcPr>
            <w:tcW w:type="dxa" w:w="23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Credentials sent in clear text</w:t>
            </w:r>
          </w:p>
        </w:tc>
        <w:tc>
          <w:tcPr>
            <w:tcW w:type="dxa" w:w="20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IMAPS (993)</w:t>
            </w:r>
          </w:p>
        </w:tc>
      </w:tr>
      <w:tr>
        <w:tc>
          <w:tcPr>
            <w:tcW w:type="dxa" w:w="11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SNMP</w:t>
            </w:r>
          </w:p>
        </w:tc>
        <w:tc>
          <w:tcPr>
            <w:tcW w:type="dxa" w:w="7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161</w:t>
            </w:r>
          </w:p>
        </w:tc>
        <w:tc>
          <w:tcPr>
            <w:tcW w:type="dxa" w:w="8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UDP</w:t>
            </w:r>
          </w:p>
        </w:tc>
        <w:tc>
          <w:tcPr>
            <w:tcW w:type="dxa" w:w="22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Network device monitoring</w:t>
            </w:r>
          </w:p>
        </w:tc>
        <w:tc>
          <w:tcPr>
            <w:tcW w:type="dxa" w:w="23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Weak community strings (v1/v2c)</w:t>
            </w:r>
          </w:p>
        </w:tc>
        <w:tc>
          <w:tcPr>
            <w:tcW w:type="dxa" w:w="20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SNMPv3</w:t>
            </w:r>
          </w:p>
        </w:tc>
      </w:tr>
      <w:tr>
        <w:tc>
          <w:tcPr>
            <w:tcW w:type="dxa" w:w="11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LDAP</w:t>
            </w:r>
          </w:p>
        </w:tc>
        <w:tc>
          <w:tcPr>
            <w:tcW w:type="dxa" w:w="7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389</w:t>
            </w:r>
          </w:p>
        </w:tc>
        <w:tc>
          <w:tcPr>
            <w:tcW w:type="dxa" w:w="8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226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Directory service queries</w:t>
            </w:r>
          </w:p>
        </w:tc>
        <w:tc>
          <w:tcPr>
            <w:tcW w:type="dxa" w:w="23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Unencrypted credential exchange</w:t>
            </w:r>
          </w:p>
        </w:tc>
        <w:tc>
          <w:tcPr>
            <w:tcW w:type="dxa" w:w="20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LDAPS (636)</w:t>
            </w:r>
          </w:p>
        </w:tc>
      </w:tr>
      <w:tr>
        <w:tc>
          <w:tcPr>
            <w:tcW w:type="dxa" w:w="11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HTTPS</w:t>
            </w:r>
          </w:p>
        </w:tc>
        <w:tc>
          <w:tcPr>
            <w:tcW w:type="dxa" w:w="7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443</w:t>
            </w:r>
          </w:p>
        </w:tc>
        <w:tc>
          <w:tcPr>
            <w:tcW w:type="dxa" w:w="8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22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Encrypted web browsing</w:t>
            </w:r>
          </w:p>
        </w:tc>
        <w:tc>
          <w:tcPr>
            <w:tcW w:type="dxa" w:w="23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Misconfigured/expired certificates</w:t>
            </w:r>
          </w:p>
        </w:tc>
        <w:tc>
          <w:tcPr>
            <w:tcW w:type="dxa" w:w="20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Enforce HSTS + auto-renewal</w:t>
            </w:r>
          </w:p>
        </w:tc>
      </w:tr>
      <w:tr>
        <w:tc>
          <w:tcPr>
            <w:tcW w:type="dxa" w:w="11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SMB</w:t>
            </w:r>
          </w:p>
        </w:tc>
        <w:tc>
          <w:tcPr>
            <w:tcW w:type="dxa" w:w="7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445</w:t>
            </w:r>
          </w:p>
        </w:tc>
        <w:tc>
          <w:tcPr>
            <w:tcW w:type="dxa" w:w="8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226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Windows file &amp; printer sharing</w:t>
            </w:r>
          </w:p>
        </w:tc>
        <w:tc>
          <w:tcPr>
            <w:tcW w:type="dxa" w:w="235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Remote code execution (e.g., MS17-010)</w:t>
            </w:r>
          </w:p>
        </w:tc>
        <w:tc>
          <w:tcPr>
            <w:tcW w:type="dxa" w:w="20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SMB3 encryption + patching</w:t>
            </w:r>
          </w:p>
        </w:tc>
      </w:tr>
      <w:tr>
        <w:tc>
          <w:tcPr>
            <w:tcW w:type="dxa" w:w="11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RDP</w:t>
            </w:r>
          </w:p>
        </w:tc>
        <w:tc>
          <w:tcPr>
            <w:tcW w:type="dxa" w:w="7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3389</w:t>
            </w:r>
          </w:p>
        </w:tc>
        <w:tc>
          <w:tcPr>
            <w:tcW w:type="dxa" w:w="8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TCP</w:t>
            </w:r>
          </w:p>
        </w:tc>
        <w:tc>
          <w:tcPr>
            <w:tcW w:type="dxa" w:w="22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Remote desktop access</w:t>
            </w:r>
          </w:p>
        </w:tc>
        <w:tc>
          <w:tcPr>
            <w:tcW w:type="dxa" w:w="235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Brute-force, exposed to internet</w:t>
            </w:r>
          </w:p>
        </w:tc>
        <w:tc>
          <w:tcPr>
            <w:tcW w:type="dxa" w:w="20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VPN + Network Level Auth</w:t>
            </w:r>
          </w:p>
        </w:tc>
      </w:tr>
    </w:tbl>
    <w:p>
      <w:r>
        <w:br w:type="page"/>
      </w:r>
    </w:p>
    <w:p>
      <w:pPr>
        <w:pStyle w:val="Heading1"/>
        <w:pBdr>
          <w:bottom w:val="single" w:color="5B8FD6" w:sz="8" w:space="6"/>
        </w:pBdr>
        <w:spacing w:after="200" w:before="400"/>
      </w:pPr>
      <w:r>
        <w:rPr>
          <w:rFonts w:ascii="Calibri" w:cs="Calibri" w:eastAsia="Calibri" w:hAnsi="Calibri"/>
          <w:b/>
          <w:bCs/>
          <w:color w:val="1F3A5F"/>
          <w:sz w:val="32"/>
          <w:szCs w:val="32"/>
        </w:rPr>
        <w:t xml:space="preserve">7.  Task 6 — Kali Linux Web Enumeration</w:t>
      </w:r>
    </w:p>
    <w:p>
      <w:pPr>
        <w:spacing w:after="140" w:line="300"/>
      </w:pPr>
      <w:r>
        <w:rPr>
          <w:rFonts w:ascii="Calibri" w:cs="Calibri" w:eastAsia="Calibri" w:hAnsi="Calibri"/>
          <w:color w:val="1B2733"/>
          <w:sz w:val="22"/>
          <w:szCs w:val="22"/>
        </w:rPr>
        <w:t xml:space="preserve">The whatweb and whois tools were used against google.com and github.com to passively gather technology and domain-registration information without directly attacking either target.</w:t>
      </w:r>
    </w:p>
    <w:p>
      <w:pPr>
        <w:pStyle w:val="Heading2"/>
        <w:spacing w:after="140" w:before="260"/>
      </w:pPr>
      <w:r>
        <w:rPr>
          <w:rFonts w:ascii="Calibri" w:cs="Calibri" w:eastAsia="Calibri" w:hAnsi="Calibri"/>
          <w:b/>
          <w:bCs/>
          <w:color w:val="3A6EA5"/>
          <w:sz w:val="25"/>
          <w:szCs w:val="25"/>
        </w:rPr>
        <w:t xml:space="preserve">7.1  whatweb Results</w:t>
      </w:r>
    </w:p>
    <w:p>
      <w:pPr>
        <w:spacing w:after="140" w:line="300"/>
      </w:pPr>
      <w:r>
        <w:rPr>
          <w:rFonts w:ascii="Calibri" w:cs="Calibri" w:eastAsia="Calibri" w:hAnsi="Calibri"/>
          <w:color w:val="1B2733"/>
          <w:sz w:val="22"/>
          <w:szCs w:val="22"/>
        </w:rPr>
        <w:t xml:space="preserve">whatweb fingerprints a website's server software, frameworks, and other technologies by inspecting HTTP responses and page content.</w:t>
      </w:r>
    </w:p>
    <w:p>
      <w:pPr>
        <w:pBdr>
          <w:top w:val="single" w:color="C9D9EE" w:sz="6" w:space="4"/>
          <w:bottom w:val="single" w:color="C9D9EE" w:sz="6" w:space="4"/>
          <w:left w:val="single" w:color="C9D9EE" w:sz="6" w:space="4"/>
          <w:right w:val="single" w:color="C9D9EE" w:sz="6" w:space="4"/>
        </w:pBdr>
        <w:spacing w:after="60" w:before="160"/>
        <w:jc w:val="center"/>
      </w:pPr>
      <w:r>
        <w:drawing>
          <wp:inline distT="0" distB="0" distL="0" distR="0">
            <wp:extent cx="4191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1228725"/>
                    </a:xfrm>
                    <a:prstGeom prst="rect">
                      <a:avLst/>
                    </a:prstGeom>
                  </pic:spPr>
                </pic:pic>
              </a:graphicData>
            </a:graphic>
          </wp:inline>
        </w:drawing>
      </w:r>
    </w:p>
    <w:p>
      <w:pPr>
        <w:spacing w:after="240" w:before="80"/>
        <w:jc w:val="center"/>
      </w:pPr>
      <w:r>
        <w:rPr>
          <w:rFonts w:ascii="Calibri" w:cs="Calibri" w:eastAsia="Calibri" w:hAnsi="Calibri"/>
          <w:i/>
          <w:iCs/>
          <w:color w:val="51617A"/>
          <w:sz w:val="19"/>
          <w:szCs w:val="19"/>
        </w:rPr>
        <w:t xml:space="preserve">Figure 7.1 — whatweb google.com</w:t>
      </w:r>
    </w:p>
    <w:p>
      <w:pPr>
        <w:pBdr>
          <w:top w:val="single" w:color="C9D9EE" w:sz="6" w:space="4"/>
          <w:bottom w:val="single" w:color="C9D9EE" w:sz="6" w:space="4"/>
          <w:left w:val="single" w:color="C9D9EE" w:sz="6" w:space="4"/>
          <w:right w:val="single" w:color="C9D9EE" w:sz="6" w:space="4"/>
        </w:pBdr>
        <w:spacing w:after="60" w:before="160"/>
        <w:jc w:val="center"/>
      </w:pPr>
      <w:r>
        <w:drawing>
          <wp:inline distT="0" distB="0" distL="0" distR="0">
            <wp:extent cx="4191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1228725"/>
                    </a:xfrm>
                    <a:prstGeom prst="rect">
                      <a:avLst/>
                    </a:prstGeom>
                  </pic:spPr>
                </pic:pic>
              </a:graphicData>
            </a:graphic>
          </wp:inline>
        </w:drawing>
      </w:r>
    </w:p>
    <w:p>
      <w:pPr>
        <w:spacing w:after="240" w:before="80"/>
        <w:jc w:val="center"/>
      </w:pPr>
      <w:r>
        <w:rPr>
          <w:rFonts w:ascii="Calibri" w:cs="Calibri" w:eastAsia="Calibri" w:hAnsi="Calibri"/>
          <w:i/>
          <w:iCs/>
          <w:color w:val="51617A"/>
          <w:sz w:val="19"/>
          <w:szCs w:val="19"/>
        </w:rPr>
        <w:t xml:space="preserve">Figure 7.2 — whatweb github.com</w:t>
      </w:r>
    </w:p>
    <w:p>
      <w:pPr>
        <w:spacing w:after="140" w:line="300"/>
      </w:pPr>
      <w:r>
        <w:rPr>
          <w:rFonts w:ascii="Calibri" w:cs="Calibri" w:eastAsia="Calibri" w:hAnsi="Calibri"/>
          <w:color w:val="1B2733"/>
          <w:sz w:val="22"/>
          <w:szCs w:val="22"/>
        </w:rPr>
        <w:t xml:space="preserve">google.com redirects to www.google.com and identifies its server as "gws" (Google Web Server), a proprietary in-house server, alongside HTML5 markup. github.com redirects HTTP to HTTPS and identifies its server as "GitHub.com", with security-relevant headers such as X-Frame-Options: deny, which prevents the site from being embedded in a clickjacking iframe.</w:t>
      </w:r>
    </w:p>
    <w:p>
      <w:pPr>
        <w:pStyle w:val="Heading2"/>
        <w:spacing w:after="140" w:before="260"/>
      </w:pPr>
      <w:r>
        <w:rPr>
          <w:rFonts w:ascii="Calibri" w:cs="Calibri" w:eastAsia="Calibri" w:hAnsi="Calibri"/>
          <w:b/>
          <w:bCs/>
          <w:color w:val="3A6EA5"/>
          <w:sz w:val="25"/>
          <w:szCs w:val="25"/>
        </w:rPr>
        <w:t xml:space="preserve">7.2  whois Results</w:t>
      </w:r>
    </w:p>
    <w:p>
      <w:pPr>
        <w:spacing w:after="140" w:line="300"/>
      </w:pPr>
      <w:r>
        <w:rPr>
          <w:rFonts w:ascii="Calibri" w:cs="Calibri" w:eastAsia="Calibri" w:hAnsi="Calibri"/>
          <w:color w:val="1B2733"/>
          <w:sz w:val="22"/>
          <w:szCs w:val="22"/>
        </w:rPr>
        <w:t xml:space="preserve">whois queries the domain registrar's records to reveal registration dates, the responsible registrar, and authoritative name servers.</w:t>
      </w:r>
    </w:p>
    <w:p>
      <w:pPr>
        <w:pBdr>
          <w:top w:val="single" w:color="C9D9EE" w:sz="6" w:space="4"/>
          <w:bottom w:val="single" w:color="C9D9EE" w:sz="6" w:space="4"/>
          <w:left w:val="single" w:color="C9D9EE" w:sz="6" w:space="4"/>
          <w:right w:val="single" w:color="C9D9EE" w:sz="6" w:space="4"/>
        </w:pBdr>
        <w:spacing w:after="60" w:before="160"/>
        <w:jc w:val="center"/>
      </w:pPr>
      <w:r>
        <w:drawing>
          <wp:inline distT="0" distB="0" distL="0" distR="0">
            <wp:extent cx="4191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1952625"/>
                    </a:xfrm>
                    <a:prstGeom prst="rect">
                      <a:avLst/>
                    </a:prstGeom>
                  </pic:spPr>
                </pic:pic>
              </a:graphicData>
            </a:graphic>
          </wp:inline>
        </w:drawing>
      </w:r>
    </w:p>
    <w:p>
      <w:pPr>
        <w:spacing w:after="240" w:before="80"/>
        <w:jc w:val="center"/>
      </w:pPr>
      <w:r>
        <w:rPr>
          <w:rFonts w:ascii="Calibri" w:cs="Calibri" w:eastAsia="Calibri" w:hAnsi="Calibri"/>
          <w:i/>
          <w:iCs/>
          <w:color w:val="51617A"/>
          <w:sz w:val="19"/>
          <w:szCs w:val="19"/>
        </w:rPr>
        <w:t xml:space="preserve">Figure 7.3 — whois google.com</w:t>
      </w:r>
    </w:p>
    <w:p>
      <w:pPr>
        <w:pBdr>
          <w:top w:val="single" w:color="C9D9EE" w:sz="6" w:space="4"/>
          <w:bottom w:val="single" w:color="C9D9EE" w:sz="6" w:space="4"/>
          <w:left w:val="single" w:color="C9D9EE" w:sz="6" w:space="4"/>
          <w:right w:val="single" w:color="C9D9EE" w:sz="6" w:space="4"/>
        </w:pBdr>
        <w:spacing w:after="60" w:before="160"/>
        <w:jc w:val="center"/>
      </w:pPr>
      <w:r>
        <w:drawing>
          <wp:inline distT="0" distB="0" distL="0" distR="0">
            <wp:extent cx="4191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1952625"/>
                    </a:xfrm>
                    <a:prstGeom prst="rect">
                      <a:avLst/>
                    </a:prstGeom>
                  </pic:spPr>
                </pic:pic>
              </a:graphicData>
            </a:graphic>
          </wp:inline>
        </w:drawing>
      </w:r>
    </w:p>
    <w:p>
      <w:pPr>
        <w:spacing w:after="240" w:before="80"/>
        <w:jc w:val="center"/>
      </w:pPr>
      <w:r>
        <w:rPr>
          <w:rFonts w:ascii="Calibri" w:cs="Calibri" w:eastAsia="Calibri" w:hAnsi="Calibri"/>
          <w:i/>
          <w:iCs/>
          <w:color w:val="51617A"/>
          <w:sz w:val="19"/>
          <w:szCs w:val="19"/>
        </w:rPr>
        <w:t xml:space="preserve">Figure 7.4 — whois github.com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700"/>
        <w:gridCol w:w="1660"/>
        <w:gridCol w:w="2600"/>
      </w:tblGrid>
      <w:tr>
        <w:trPr>
          <w:tblHeader/>
        </w:trPr>
        <w:tc>
          <w:tcPr>
            <w:tcW w:type="dxa" w:w="15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Website</w:t>
            </w:r>
          </w:p>
        </w:tc>
        <w:tc>
          <w:tcPr>
            <w:tcW w:type="dxa" w:w="19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Technology / Server</w:t>
            </w:r>
          </w:p>
        </w:tc>
        <w:tc>
          <w:tcPr>
            <w:tcW w:type="dxa" w:w="17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Registrar</w:t>
            </w:r>
          </w:p>
        </w:tc>
        <w:tc>
          <w:tcPr>
            <w:tcW w:type="dxa" w:w="166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Creation Date</w:t>
            </w:r>
          </w:p>
        </w:tc>
        <w:tc>
          <w:tcPr>
            <w:tcW w:type="dxa" w:w="2600"/>
            <w:tcBorders>
              <w:top w:val="single" w:color="C9D9EE" w:sz="4"/>
              <w:left w:val="single" w:color="C9D9EE" w:sz="4"/>
              <w:bottom w:val="single" w:color="C9D9EE" w:sz="4"/>
              <w:right w:val="single" w:color="C9D9EE" w:sz="4"/>
            </w:tcBorders>
            <w:shd w:fill="1F3A5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Name Servers</w:t>
            </w:r>
          </w:p>
        </w:tc>
      </w:tr>
      <w:tr>
        <w:tc>
          <w:tcPr>
            <w:tcW w:type="dxa" w:w="15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google.com</w:t>
            </w:r>
          </w:p>
        </w:tc>
        <w:tc>
          <w:tcPr>
            <w:tcW w:type="dxa" w:w="19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gws (Google Web Server), HTML5</w:t>
            </w:r>
          </w:p>
        </w:tc>
        <w:tc>
          <w:tcPr>
            <w:tcW w:type="dxa" w:w="17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MarkMonitor Inc.</w:t>
            </w:r>
          </w:p>
        </w:tc>
        <w:tc>
          <w:tcPr>
            <w:tcW w:type="dxa" w:w="166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15 Sep 1997</w:t>
            </w:r>
          </w:p>
        </w:tc>
        <w:tc>
          <w:tcPr>
            <w:tcW w:type="dxa" w:w="2600"/>
            <w:tcBorders>
              <w:top w:val="single" w:color="C9D9EE" w:sz="4"/>
              <w:left w:val="single" w:color="C9D9EE" w:sz="4"/>
              <w:bottom w:val="single" w:color="C9D9EE" w:sz="4"/>
              <w:right w:val="single" w:color="C9D9EE" w:sz="4"/>
            </w:tcBorders>
            <w:shd w:fill="FFFF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NS1–NS4.GOOGLE.COM</w:t>
            </w:r>
          </w:p>
        </w:tc>
      </w:tr>
      <w:tr>
        <w:tc>
          <w:tcPr>
            <w:tcW w:type="dxa" w:w="15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github.com</w:t>
            </w:r>
          </w:p>
        </w:tc>
        <w:tc>
          <w:tcPr>
            <w:tcW w:type="dxa" w:w="19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GitHub.com server, HTML5</w:t>
            </w:r>
          </w:p>
        </w:tc>
        <w:tc>
          <w:tcPr>
            <w:tcW w:type="dxa" w:w="17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MarkMonitor Inc.</w:t>
            </w:r>
          </w:p>
        </w:tc>
        <w:tc>
          <w:tcPr>
            <w:tcW w:type="dxa" w:w="166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09 Oct 2007</w:t>
            </w:r>
          </w:p>
        </w:tc>
        <w:tc>
          <w:tcPr>
            <w:tcW w:type="dxa" w:w="2600"/>
            <w:tcBorders>
              <w:top w:val="single" w:color="C9D9EE" w:sz="4"/>
              <w:left w:val="single" w:color="C9D9EE" w:sz="4"/>
              <w:bottom w:val="single" w:color="C9D9EE" w:sz="4"/>
              <w:right w:val="single" w:color="C9D9EE" w:sz="4"/>
            </w:tcBorders>
            <w:shd w:fill="F5F9FF" w:val="clear"/>
            <w:tcMar>
              <w:top w:type="dxa" w:w="80"/>
              <w:left w:type="dxa" w:w="110"/>
              <w:bottom w:type="dxa" w:w="80"/>
              <w:right w:type="dxa" w:w="110"/>
            </w:tcMar>
            <w:vAlign w:val="center"/>
          </w:tcPr>
          <w:p>
            <w:r>
              <w:rPr>
                <w:rFonts w:ascii="Calibri" w:cs="Calibri" w:eastAsia="Calibri" w:hAnsi="Calibri"/>
                <w:b w:val="false"/>
                <w:bCs w:val="false"/>
                <w:color w:val="1B2733"/>
                <w:sz w:val="18"/>
                <w:szCs w:val="18"/>
              </w:rPr>
              <w:t xml:space="preserve">NSONE + AWS DNS clusters</w:t>
            </w:r>
          </w:p>
        </w:tc>
      </w:tr>
    </w:tbl>
    <w:p>
      <w:pPr>
        <w:spacing w:after="140" w:line="300"/>
      </w:pPr>
      <w:r>
        <w:rPr>
          <w:rFonts w:ascii="Calibri" w:cs="Calibri" w:eastAsia="Calibri" w:hAnsi="Calibri"/>
          <w:color w:val="1B2733"/>
          <w:sz w:val="22"/>
          <w:szCs w:val="22"/>
        </w:rPr>
        <w:t xml:space="preserve"/>
      </w:r>
    </w:p>
    <w:p>
      <w:pPr>
        <w:pStyle w:val="Heading2"/>
        <w:spacing w:after="140" w:before="260"/>
      </w:pPr>
      <w:r>
        <w:rPr>
          <w:rFonts w:ascii="Calibri" w:cs="Calibri" w:eastAsia="Calibri" w:hAnsi="Calibri"/>
          <w:b/>
          <w:bCs/>
          <w:color w:val="3A6EA5"/>
          <w:sz w:val="25"/>
          <w:szCs w:val="25"/>
        </w:rPr>
        <w:t xml:space="preserve">Interesting Findings</w:t>
      </w:r>
    </w:p>
    <w:p>
      <w:pPr>
        <w:pStyle w:val="ListParagraph"/>
        <w:numPr>
          <w:ilvl w:val="0"/>
          <w:numId w:val="2"/>
        </w:numPr>
        <w:spacing w:after="80"/>
      </w:pPr>
      <w:r>
        <w:rPr>
          <w:rFonts w:ascii="Calibri" w:cs="Calibri" w:eastAsia="Calibri" w:hAnsi="Calibri"/>
          <w:color w:val="1B2733"/>
          <w:sz w:val="22"/>
          <w:szCs w:val="22"/>
        </w:rPr>
        <w:t xml:space="preserve">Both domains are registered through MarkMonitor Inc., a registrar that specializes in protecting high-value corporate brands and enforces client-transfer/update/delete locks against domain hijacking.</w:t>
      </w:r>
    </w:p>
    <w:p>
      <w:pPr>
        <w:pStyle w:val="ListParagraph"/>
        <w:numPr>
          <w:ilvl w:val="0"/>
          <w:numId w:val="2"/>
        </w:numPr>
        <w:spacing w:after="80"/>
      </w:pPr>
      <w:r>
        <w:rPr>
          <w:rFonts w:ascii="Calibri" w:cs="Calibri" w:eastAsia="Calibri" w:hAnsi="Calibri"/>
          <w:color w:val="1B2733"/>
          <w:sz w:val="22"/>
          <w:szCs w:val="22"/>
        </w:rPr>
        <w:t xml:space="preserve">google.com has been registered since 1997, reflecting its status as one of the oldest continuously operated commercial domains on the web.</w:t>
      </w:r>
    </w:p>
    <w:p>
      <w:pPr>
        <w:pStyle w:val="ListParagraph"/>
        <w:numPr>
          <w:ilvl w:val="0"/>
          <w:numId w:val="2"/>
        </w:numPr>
        <w:spacing w:after="80"/>
      </w:pPr>
      <w:r>
        <w:rPr>
          <w:rFonts w:ascii="Calibri" w:cs="Calibri" w:eastAsia="Calibri" w:hAnsi="Calibri"/>
          <w:color w:val="1B2733"/>
          <w:sz w:val="22"/>
          <w:szCs w:val="22"/>
        </w:rPr>
        <w:t xml:space="preserve">github.com distributes its authoritative DNS across two independent providers (NS1 and AWS Route 53), which adds redundancy — if one DNS provider suffers an outage, the domain can still resolve.</w:t>
      </w:r>
    </w:p>
    <w:p>
      <w:pPr>
        <w:pStyle w:val="ListParagraph"/>
        <w:numPr>
          <w:ilvl w:val="0"/>
          <w:numId w:val="2"/>
        </w:numPr>
        <w:spacing w:after="80"/>
      </w:pPr>
      <w:r>
        <w:rPr>
          <w:rFonts w:ascii="Calibri" w:cs="Calibri" w:eastAsia="Calibri" w:hAnsi="Calibri"/>
          <w:color w:val="1B2733"/>
          <w:sz w:val="22"/>
          <w:szCs w:val="22"/>
        </w:rPr>
        <w:t xml:space="preserve">Neither domain has DNSSEC enabled at the time of testing, which is common even among major technology companies but does leave a small theoretical window for DNS spoofing attacks.</w:t>
      </w:r>
    </w:p>
    <w:p>
      <w:r>
        <w:br w:type="page"/>
      </w:r>
    </w:p>
    <w:p>
      <w:pPr>
        <w:pStyle w:val="Heading1"/>
        <w:pBdr>
          <w:bottom w:val="single" w:color="5B8FD6" w:sz="8" w:space="6"/>
        </w:pBdr>
        <w:spacing w:after="200" w:before="400"/>
      </w:pPr>
      <w:r>
        <w:rPr>
          <w:rFonts w:ascii="Calibri" w:cs="Calibri" w:eastAsia="Calibri" w:hAnsi="Calibri"/>
          <w:b/>
          <w:bCs/>
          <w:color w:val="1F3A5F"/>
          <w:sz w:val="32"/>
          <w:szCs w:val="32"/>
        </w:rPr>
        <w:t xml:space="preserve">8.  Secure Home Network Diagram</w:t>
      </w:r>
    </w:p>
    <w:p>
      <w:pPr>
        <w:spacing w:after="140" w:line="300"/>
      </w:pPr>
      <w:r>
        <w:rPr>
          <w:rFonts w:ascii="Calibri" w:cs="Calibri" w:eastAsia="Calibri" w:hAnsi="Calibri"/>
          <w:color w:val="1B2733"/>
          <w:sz w:val="22"/>
          <w:szCs w:val="22"/>
        </w:rPr>
        <w:t xml:space="preserve">The diagram below illustrates a recommended secure home network layout, segmenting trusted devices, IoT devices, and guest traffic into isolated VLANs behind a hardened router/firewall — directly addressing the potential-risk findings from Task 3 (e.g., isolating the SMB/RDP-exposing device from guest and IoT traffic).</w:t>
      </w:r>
    </w:p>
    <w:p>
      <w:pPr>
        <w:pBdr>
          <w:top w:val="single" w:color="C9D9EE" w:sz="6" w:space="4"/>
          <w:bottom w:val="single" w:color="C9D9EE" w:sz="6" w:space="4"/>
          <w:left w:val="single" w:color="C9D9EE" w:sz="6" w:space="4"/>
          <w:right w:val="single" w:color="C9D9EE" w:sz="6" w:space="4"/>
        </w:pBdr>
        <w:spacing w:after="60" w:before="160"/>
        <w:jc w:val="center"/>
      </w:pPr>
      <w:r>
        <w:drawing>
          <wp:inline distT="0" distB="0" distL="0" distR="0">
            <wp:extent cx="4381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971800"/>
                    </a:xfrm>
                    <a:prstGeom prst="rect">
                      <a:avLst/>
                    </a:prstGeom>
                  </pic:spPr>
                </pic:pic>
              </a:graphicData>
            </a:graphic>
          </wp:inline>
        </w:drawing>
      </w:r>
    </w:p>
    <w:p>
      <w:pPr>
        <w:spacing w:after="240" w:before="80"/>
        <w:jc w:val="center"/>
      </w:pPr>
      <w:r>
        <w:rPr>
          <w:rFonts w:ascii="Calibri" w:cs="Calibri" w:eastAsia="Calibri" w:hAnsi="Calibri"/>
          <w:i/>
          <w:iCs/>
          <w:color w:val="51617A"/>
          <w:sz w:val="19"/>
          <w:szCs w:val="19"/>
        </w:rPr>
        <w:t xml:space="preserve">Figure 8.1 — Recommended Secure Home Network Architecture</w:t>
      </w:r>
    </w:p>
    <w:p>
      <w:r>
        <w:br w:type="page"/>
      </w:r>
    </w:p>
    <w:p>
      <w:pPr>
        <w:pStyle w:val="Heading1"/>
        <w:pBdr>
          <w:bottom w:val="single" w:color="5B8FD6" w:sz="8" w:space="6"/>
        </w:pBdr>
        <w:spacing w:after="200" w:before="400"/>
      </w:pPr>
      <w:r>
        <w:rPr>
          <w:rFonts w:ascii="Calibri" w:cs="Calibri" w:eastAsia="Calibri" w:hAnsi="Calibri"/>
          <w:b/>
          <w:bCs/>
          <w:color w:val="1F3A5F"/>
          <w:sz w:val="32"/>
          <w:szCs w:val="32"/>
        </w:rPr>
        <w:t xml:space="preserve">9.  Challenges Faced</w:t>
      </w:r>
    </w:p>
    <w:p>
      <w:pPr>
        <w:pStyle w:val="ListParagraph"/>
        <w:numPr>
          <w:ilvl w:val="0"/>
          <w:numId w:val="2"/>
        </w:numPr>
        <w:spacing w:after="80"/>
      </w:pPr>
      <w:r>
        <w:rPr>
          <w:rFonts w:ascii="Calibri" w:cs="Calibri" w:eastAsia="Calibri" w:hAnsi="Calibri"/>
          <w:color w:val="1B2733"/>
          <w:sz w:val="22"/>
          <w:szCs w:val="22"/>
        </w:rPr>
        <w:t xml:space="preserve">Interpreting nmap's "filtered" vs "closed" port states initially caused confusion — filtered ports required cross-referencing Nmap's documentation to correctly explain that a firewall was silently dropping probes rather than rejecting them.</w:t>
      </w:r>
    </w:p>
    <w:p>
      <w:pPr>
        <w:pStyle w:val="ListParagraph"/>
        <w:numPr>
          <w:ilvl w:val="0"/>
          <w:numId w:val="2"/>
        </w:numPr>
        <w:spacing w:after="80"/>
      </w:pPr>
      <w:r>
        <w:rPr>
          <w:rFonts w:ascii="Calibri" w:cs="Calibri" w:eastAsia="Calibri" w:hAnsi="Calibri"/>
          <w:color w:val="1B2733"/>
          <w:sz w:val="22"/>
          <w:szCs w:val="22"/>
        </w:rPr>
        <w:t xml:space="preserve">Some websites tested in Task 2 use CDNs and load balancers, so response headers occasionally varied between requests, requiring repeated checks to confirm consistent HTTPS enforcement.</w:t>
      </w:r>
    </w:p>
    <w:p>
      <w:pPr>
        <w:pStyle w:val="ListParagraph"/>
        <w:numPr>
          <w:ilvl w:val="0"/>
          <w:numId w:val="2"/>
        </w:numPr>
        <w:spacing w:after="80"/>
      </w:pPr>
      <w:r>
        <w:rPr>
          <w:rFonts w:ascii="Calibri" w:cs="Calibri" w:eastAsia="Calibri" w:hAnsi="Calibri"/>
          <w:color w:val="1B2733"/>
          <w:sz w:val="22"/>
          <w:szCs w:val="22"/>
        </w:rPr>
        <w:t xml:space="preserve">Formatting a 15-row protocol table with six columns (Task 5) while keeping it readable on a single page required careful column-width tuning.</w:t>
      </w:r>
    </w:p>
    <w:p>
      <w:pPr>
        <w:pStyle w:val="ListParagraph"/>
        <w:numPr>
          <w:ilvl w:val="0"/>
          <w:numId w:val="2"/>
        </w:numPr>
        <w:spacing w:after="80"/>
      </w:pPr>
      <w:r>
        <w:rPr>
          <w:rFonts w:ascii="Calibri" w:cs="Calibri" w:eastAsia="Calibri" w:hAnsi="Calibri"/>
          <w:color w:val="1B2733"/>
          <w:sz w:val="22"/>
          <w:szCs w:val="22"/>
        </w:rPr>
        <w:t xml:space="preserve">Ensuring all reconnaissance was performed only against explicitly authorized targets (scanme.nmap.org and the local machine) required double-checking scope before running any nmap command, in line with responsible and legal security testing practice.</w:t>
      </w:r>
    </w:p>
    <w:p>
      <w:pPr>
        <w:pStyle w:val="Heading1"/>
        <w:pBdr>
          <w:bottom w:val="single" w:color="5B8FD6" w:sz="8" w:space="6"/>
        </w:pBdr>
        <w:spacing w:after="200" w:before="400"/>
      </w:pPr>
      <w:r>
        <w:rPr>
          <w:rFonts w:ascii="Calibri" w:cs="Calibri" w:eastAsia="Calibri" w:hAnsi="Calibri"/>
          <w:b/>
          <w:bCs/>
          <w:color w:val="1F3A5F"/>
          <w:sz w:val="32"/>
          <w:szCs w:val="32"/>
        </w:rPr>
        <w:t xml:space="preserve">10.  Conclusion</w:t>
      </w:r>
    </w:p>
    <w:p>
      <w:pPr>
        <w:spacing w:after="140" w:line="300"/>
      </w:pPr>
      <w:r>
        <w:rPr>
          <w:rFonts w:ascii="Calibri" w:cs="Calibri" w:eastAsia="Calibri" w:hAnsi="Calibri"/>
          <w:color w:val="1B2733"/>
          <w:sz w:val="22"/>
          <w:szCs w:val="22"/>
        </w:rPr>
        <w:t xml:space="preserve">This assignment provided practical, hands-on reinforcement of core networking and cybersecurity fundamentals. Working through 15 common protocols and their default ports built a clearer mental map of how everyday network services communicate — and which of them carry inherent security risk. Analyzing HTTP versus HTTPS across ten live websites confirmed that HTTPS enforcement and HSTS have become the industry default, reflecting a broader shift toward encryption-by-default web architecture.</w:t>
      </w:r>
    </w:p>
    <w:p>
      <w:pPr>
        <w:spacing w:after="140" w:line="300"/>
      </w:pPr>
      <w:r>
        <w:rPr>
          <w:rFonts w:ascii="Calibri" w:cs="Calibri" w:eastAsia="Calibri" w:hAnsi="Calibri"/>
          <w:color w:val="1B2733"/>
          <w:sz w:val="22"/>
          <w:szCs w:val="22"/>
        </w:rPr>
        <w:t xml:space="preserve">Hands-on use of ping, nmap, whatweb, and whois in Kali Linux translated theoretical protocol knowledge into applied reconnaissance skills — reading response times and TTL values, distinguishing open, closed, and filtered ports, and using version-detection output to reason about potential risk. Researching the full URL-to-render pipeline tied DNS, TCP, TLS, HTTP, and browser rendering together into a single coherent flow. Together, these tasks strengthen the analytical and documentation skills that form the foundation of effective cybersecurity analysis and reporting.</w:t>
      </w:r>
    </w:p>
    <w:p>
      <w:r>
        <w:br w:type="page"/>
      </w:r>
    </w:p>
    <w:p>
      <w:pPr>
        <w:pStyle w:val="Heading1"/>
        <w:pBdr>
          <w:bottom w:val="single" w:color="5B8FD6" w:sz="8" w:space="6"/>
        </w:pBdr>
        <w:spacing w:after="200" w:before="400"/>
      </w:pPr>
      <w:r>
        <w:rPr>
          <w:rFonts w:ascii="Calibri" w:cs="Calibri" w:eastAsia="Calibri" w:hAnsi="Calibri"/>
          <w:b/>
          <w:bCs/>
          <w:color w:val="1F3A5F"/>
          <w:sz w:val="32"/>
          <w:szCs w:val="32"/>
        </w:rPr>
        <w:t xml:space="preserve">11.  References</w:t>
      </w:r>
    </w:p>
    <w:p>
      <w:pPr>
        <w:pStyle w:val="ListParagraph"/>
        <w:numPr>
          <w:ilvl w:val="0"/>
          <w:numId w:val="2"/>
        </w:numPr>
        <w:spacing w:after="80"/>
      </w:pPr>
      <w:r>
        <w:rPr>
          <w:rFonts w:ascii="Calibri" w:cs="Calibri" w:eastAsia="Calibri" w:hAnsi="Calibri"/>
          <w:color w:val="1B2733"/>
          <w:sz w:val="22"/>
          <w:szCs w:val="22"/>
        </w:rPr>
        <w:t xml:space="preserve">Nmap Project — Official Documentation. https://nmap.org/book/</w:t>
      </w:r>
    </w:p>
    <w:p>
      <w:pPr>
        <w:pStyle w:val="ListParagraph"/>
        <w:numPr>
          <w:ilvl w:val="0"/>
          <w:numId w:val="2"/>
        </w:numPr>
        <w:spacing w:after="80"/>
      </w:pPr>
      <w:r>
        <w:rPr>
          <w:rFonts w:ascii="Calibri" w:cs="Calibri" w:eastAsia="Calibri" w:hAnsi="Calibri"/>
          <w:color w:val="1B2733"/>
          <w:sz w:val="22"/>
          <w:szCs w:val="22"/>
        </w:rPr>
        <w:t xml:space="preserve">IANA — Service Name and Transport Protocol Port Number Registry. https://www.iana.org/assignments/service-names-port-numbers/</w:t>
      </w:r>
    </w:p>
    <w:p>
      <w:pPr>
        <w:pStyle w:val="ListParagraph"/>
        <w:numPr>
          <w:ilvl w:val="0"/>
          <w:numId w:val="2"/>
        </w:numPr>
        <w:spacing w:after="80"/>
      </w:pPr>
      <w:r>
        <w:rPr>
          <w:rFonts w:ascii="Calibri" w:cs="Calibri" w:eastAsia="Calibri" w:hAnsi="Calibri"/>
          <w:color w:val="1B2733"/>
          <w:sz w:val="22"/>
          <w:szCs w:val="22"/>
        </w:rPr>
        <w:t xml:space="preserve">Mozilla Developer Network — "What happens when you navigate to a URL." https://developer.mozilla.org/</w:t>
      </w:r>
    </w:p>
    <w:p>
      <w:pPr>
        <w:pStyle w:val="ListParagraph"/>
        <w:numPr>
          <w:ilvl w:val="0"/>
          <w:numId w:val="2"/>
        </w:numPr>
        <w:spacing w:after="80"/>
      </w:pPr>
      <w:r>
        <w:rPr>
          <w:rFonts w:ascii="Calibri" w:cs="Calibri" w:eastAsia="Calibri" w:hAnsi="Calibri"/>
          <w:color w:val="1B2733"/>
          <w:sz w:val="22"/>
          <w:szCs w:val="22"/>
        </w:rPr>
        <w:t xml:space="preserve">Cloudflare Learning Center — HTTPS, TLS Handshake, and DNS Resolution. https://www.cloudflare.com/learning/</w:t>
      </w:r>
    </w:p>
    <w:p>
      <w:pPr>
        <w:pStyle w:val="ListParagraph"/>
        <w:numPr>
          <w:ilvl w:val="0"/>
          <w:numId w:val="2"/>
        </w:numPr>
        <w:spacing w:after="80"/>
      </w:pPr>
      <w:r>
        <w:rPr>
          <w:rFonts w:ascii="Calibri" w:cs="Calibri" w:eastAsia="Calibri" w:hAnsi="Calibri"/>
          <w:color w:val="1B2733"/>
          <w:sz w:val="22"/>
          <w:szCs w:val="22"/>
        </w:rPr>
        <w:t xml:space="preserve">WhatWeb Project — GitHub Repository. https://github.com/urbanadventurer/WhatWeb</w:t>
      </w:r>
    </w:p>
    <w:p>
      <w:pPr>
        <w:pStyle w:val="ListParagraph"/>
        <w:numPr>
          <w:ilvl w:val="0"/>
          <w:numId w:val="2"/>
        </w:numPr>
        <w:spacing w:after="80"/>
      </w:pPr>
      <w:r>
        <w:rPr>
          <w:rFonts w:ascii="Calibri" w:cs="Calibri" w:eastAsia="Calibri" w:hAnsi="Calibri"/>
          <w:color w:val="1B2733"/>
          <w:sz w:val="22"/>
          <w:szCs w:val="22"/>
        </w:rPr>
        <w:t xml:space="preserve">ICANN WHOIS Lookup Service. https://lookup.icann.org/</w:t>
      </w:r>
    </w:p>
    <w:p>
      <w:pPr>
        <w:pStyle w:val="ListParagraph"/>
        <w:numPr>
          <w:ilvl w:val="0"/>
          <w:numId w:val="2"/>
        </w:numPr>
        <w:spacing w:after="80"/>
      </w:pPr>
      <w:r>
        <w:rPr>
          <w:rFonts w:ascii="Calibri" w:cs="Calibri" w:eastAsia="Calibri" w:hAnsi="Calibri"/>
          <w:color w:val="1B2733"/>
          <w:sz w:val="22"/>
          <w:szCs w:val="22"/>
        </w:rPr>
        <w:t xml:space="preserve">scanme.nmap.org — Nmap's official public test host, used for authorized scanning practice.</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8FD6" w:sz="6" w:space="4"/>
      </w:pBdr>
      <w:jc w:val="center"/>
    </w:pPr>
    <w:r>
      <w:rPr>
        <w:rFonts w:ascii="Calibri" w:cs="Calibri" w:eastAsia="Calibri" w:hAnsi="Calibri"/>
        <w:color w:val="51617A"/>
        <w:sz w:val="17"/>
        <w:szCs w:val="17"/>
      </w:rPr>
      <w:t xml:space="preserve">Page </w:t>
    </w:r>
    <w:r>
      <w:rPr>
        <w:rFonts w:ascii="Calibri" w:cs="Calibri" w:eastAsia="Calibri" w:hAnsi="Calibri"/>
        <w:color w:val="51617A"/>
        <w:sz w:val="17"/>
        <w:szCs w:val="17"/>
      </w:rPr>
      <w:fldChar w:fldCharType="begin"/>
      <w:instrText xml:space="preserve">PAGE</w:instrText>
      <w:fldChar w:fldCharType="separate"/>
      <w:fldChar w:fldCharType="end"/>
    </w:r>
    <w:r>
      <w:rPr>
        <w:rFonts w:ascii="Calibri" w:cs="Calibri" w:eastAsia="Calibri" w:hAnsi="Calibri"/>
        <w:color w:val="51617A"/>
        <w:sz w:val="17"/>
        <w:szCs w:val="17"/>
      </w:rPr>
      <w:t xml:space="preserve"> of </w:t>
    </w:r>
    <w:r>
      <w:rPr>
        <w:rFonts w:ascii="Calibri" w:cs="Calibri" w:eastAsia="Calibri" w:hAnsi="Calibri"/>
        <w:color w:val="51617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8FD6" w:sz="6" w:space="4"/>
      </w:pBdr>
      <w:tabs>
        <w:tab w:val="right" w:pos="9360"/>
      </w:tabs>
    </w:pPr>
    <w:r>
      <w:rPr>
        <w:rFonts w:ascii="Calibri" w:cs="Calibri" w:eastAsia="Calibri" w:hAnsi="Calibri"/>
        <w:color w:val="51617A"/>
        <w:sz w:val="17"/>
        <w:szCs w:val="17"/>
      </w:rPr>
      <w:t xml:space="preserve">IT-SIMPLERA Institute — Week 03 Assignment</w:t>
    </w:r>
    <w:r>
      <w:rPr>
        <w:rFonts w:ascii="Calibri" w:cs="Calibri" w:eastAsia="Calibri" w:hAnsi="Calibri"/>
        <w:color w:val="51617A"/>
        <w:sz w:val="17"/>
        <w:szCs w:val="17"/>
      </w:rPr>
      <w:t xml:space="preserve">	Abdullah Butt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3dd979cb692691de9b4ceffd4b572def71bfedee.png"/><Relationship Id="rId14" Type="http://schemas.openxmlformats.org/officeDocument/2006/relationships/image" Target="media/f036cdec97ee2c014d512c97f08cff688c68e008.png"/><Relationship Id="rId15" Type="http://schemas.openxmlformats.org/officeDocument/2006/relationships/image" Target="media/fb9b5d4b2a32a618db4c6a557121ffb36deb16c2.png"/><Relationship Id="rId16" Type="http://schemas.openxmlformats.org/officeDocument/2006/relationships/image" Target="media/a3e8ea72da0b08ee2d029d7e08536d8e086faf6d.png"/><Relationship Id="rId17" Type="http://schemas.openxmlformats.org/officeDocument/2006/relationships/image" Target="media/bba78b46c039c555ba4c5ca9f41cc116ab48e05e.png"/><Relationship Id="rId18" Type="http://schemas.openxmlformats.org/officeDocument/2006/relationships/image" Target="media/78aa1ee8ca71f1c1253727f25bfd6586e3b8ab34.png"/><Relationship Id="rId19" Type="http://schemas.openxmlformats.org/officeDocument/2006/relationships/image" Target="media/3bb38f79e49bd4efc46a56c3e572d6833600a0ec.png"/><Relationship Id="rId20" Type="http://schemas.openxmlformats.org/officeDocument/2006/relationships/image" Target="media/bf017044ecd466781fbd5cc46f0e200edfc1a555.png"/><Relationship Id="rId21" Type="http://schemas.openxmlformats.org/officeDocument/2006/relationships/image" Target="media/72f44d9c18de63d17572034c24d790c9548497f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2026-07-14T18:26:23.123Z</dcterms:created>
  <dcterms:modified xsi:type="dcterms:W3CDTF">2026-07-14T18:26:23.135Z</dcterms:modified>
</cp:coreProperties>
</file>

<file path=docProps/custom.xml><?xml version="1.0" encoding="utf-8"?>
<Properties xmlns="http://schemas.openxmlformats.org/officeDocument/2006/custom-properties" xmlns:vt="http://schemas.openxmlformats.org/officeDocument/2006/docPropsVTypes"/>
</file>