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200" w:before="200"/>
        <w:jc w:val="center"/>
      </w:pPr>
      <w:r>
        <w:drawing>
          <wp:inline distT="0" distB="0" distL="0" distR="0">
            <wp:extent cx="15716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28750"/>
                    </a:xfrm>
                    <a:prstGeom prst="rect">
                      <a:avLst/>
                    </a:prstGeom>
                  </pic:spPr>
                </pic:pic>
              </a:graphicData>
            </a:graphic>
          </wp:inline>
        </w:drawing>
      </w:r>
    </w:p>
    <w:p>
      <w:pPr>
        <w:spacing w:after="40"/>
        <w:jc w:val="center"/>
      </w:pPr>
      <w:r>
        <w:rPr>
          <w:rFonts w:ascii="Calibri" w:cs="Calibri" w:eastAsia="Calibri" w:hAnsi="Calibri"/>
          <w:b/>
          <w:bCs/>
          <w:color w:val="0F766E"/>
          <w:sz w:val="40"/>
          <w:szCs w:val="40"/>
        </w:rPr>
        <w:t xml:space="preserve">IT-SIMPLERA INSTITUTE</w:t>
      </w:r>
    </w:p>
    <w:p>
      <w:pPr>
        <w:spacing w:after="400"/>
        <w:jc w:val="center"/>
      </w:pPr>
      <w:r>
        <w:rPr>
          <w:rFonts w:ascii="Calibri" w:cs="Calibri" w:eastAsia="Calibri" w:hAnsi="Calibri"/>
          <w:i/>
          <w:iCs/>
          <w:color w:val="475569"/>
          <w:sz w:val="24"/>
          <w:szCs w:val="24"/>
        </w:rPr>
        <w:t xml:space="preserve">Cyber Security Analyst Internship Program</w:t>
      </w:r>
    </w:p>
    <w:p>
      <w:pPr>
        <w:pBdr>
          <w:top w:val="single" w:color="0D9488" w:sz="6" w:space="10"/>
          <w:bottom w:val="single" w:color="0D9488" w:sz="6" w:space="10"/>
        </w:pBdr>
        <w:spacing w:after="300" w:before="300"/>
        <w:jc w:val="center"/>
      </w:pPr>
      <w:r>
        <w:rPr>
          <w:rFonts w:ascii="Calibri" w:cs="Calibri" w:eastAsia="Calibri" w:hAnsi="Calibri"/>
          <w:b/>
          <w:bCs/>
          <w:color w:val="0F172A"/>
          <w:sz w:val="52"/>
          <w:szCs w:val="52"/>
        </w:rPr>
        <w:t xml:space="preserve">WEEK 04 ASSIGNMENT</w:t>
      </w:r>
    </w:p>
    <w:p>
      <w:pPr>
        <w:spacing w:after="600"/>
        <w:jc w:val="center"/>
      </w:pPr>
      <w:r>
        <w:rPr>
          <w:rFonts w:ascii="Calibri" w:cs="Calibri" w:eastAsia="Calibri" w:hAnsi="Calibri"/>
          <w:b/>
          <w:bCs/>
          <w:color w:val="0F766E"/>
          <w:sz w:val="28"/>
          <w:szCs w:val="28"/>
        </w:rPr>
        <w:t xml:space="preserve">Reconnaissance &amp; OSINT — Attack Surface Assessment Report</w:t>
      </w:r>
    </w:p>
    <w:p>
      <w:pPr>
        <w:spacing w:after="80"/>
        <w:jc w:val="center"/>
      </w:pPr>
      <w:r>
        <w:rPr>
          <w:rFonts w:ascii="Calibri" w:cs="Calibri" w:eastAsia="Calibri" w:hAnsi="Calibri"/>
          <w:color w:val="0F172A"/>
          <w:sz w:val="22"/>
          <w:szCs w:val="22"/>
        </w:rPr>
        <w:t xml:space="preserve">Authorized Practice Target: owasp-juice.shop (OWASP Juice Shop)</w:t>
      </w:r>
    </w:p>
    <w:p>
      <w:pPr>
        <w:spacing w:after="700"/>
        <w:jc w:val="center"/>
      </w:pPr>
      <w:r>
        <w:rPr>
          <w:rFonts w:ascii="Calibri" w:cs="Calibri" w:eastAsia="Calibri" w:hAnsi="Calibri"/>
          <w:i/>
          <w:iCs/>
          <w:color w:val="475569"/>
          <w:sz w:val="18"/>
          <w:szCs w:val="18"/>
        </w:rPr>
        <w:t xml:space="preserve">(Deliberately vulnerable training application — reconnaissance authorized for security education use)</w:t>
      </w:r>
    </w:p>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F1F5F9" w:val="clear"/>
            <w:tcMar>
              <w:top w:type="dxa" w:w="100"/>
              <w:left w:type="dxa" w:w="150"/>
              <w:bottom w:type="dxa" w:w="100"/>
              <w:right w:type="dxa" w:w="150"/>
            </w:tcMar>
          </w:tcPr>
          <w:p>
            <w:r>
              <w:rPr>
                <w:rFonts w:ascii="Calibri" w:cs="Calibri" w:eastAsia="Calibri" w:hAnsi="Calibri"/>
                <w:b/>
                <w:bCs/>
                <w:color w:val="0F172A"/>
                <w:sz w:val="20"/>
                <w:szCs w:val="20"/>
              </w:rPr>
              <w:t xml:space="preserve">Prepared By</w:t>
            </w:r>
          </w:p>
        </w:tc>
        <w:tc>
          <w:tcPr>
            <w:tcW w:type="dxa" w:w="5200"/>
            <w:tcMar>
              <w:top w:type="dxa" w:w="100"/>
              <w:left w:type="dxa" w:w="150"/>
              <w:bottom w:type="dxa" w:w="100"/>
              <w:right w:type="dxa" w:w="150"/>
            </w:tcMar>
          </w:tcPr>
          <w:p>
            <w:r>
              <w:rPr>
                <w:rFonts w:ascii="Calibri" w:cs="Calibri" w:eastAsia="Calibri" w:hAnsi="Calibri"/>
                <w:color w:val="0F172A"/>
                <w:sz w:val="20"/>
                <w:szCs w:val="20"/>
              </w:rPr>
              <w:t xml:space="preserve">Talal Rehan — Senior Cyber Security Analyst</w:t>
            </w:r>
          </w:p>
        </w:tc>
      </w:tr>
      <w:tr>
        <w:tc>
          <w:tcPr>
            <w:tcW w:type="dxa" w:w="3200"/>
            <w:shd w:fill="F1F5F9" w:val="clear"/>
            <w:tcMar>
              <w:top w:type="dxa" w:w="100"/>
              <w:left w:type="dxa" w:w="150"/>
              <w:bottom w:type="dxa" w:w="100"/>
              <w:right w:type="dxa" w:w="150"/>
            </w:tcMar>
          </w:tcPr>
          <w:p>
            <w:r>
              <w:rPr>
                <w:rFonts w:ascii="Calibri" w:cs="Calibri" w:eastAsia="Calibri" w:hAnsi="Calibri"/>
                <w:b/>
                <w:bCs/>
                <w:color w:val="0F172A"/>
                <w:sz w:val="20"/>
                <w:szCs w:val="20"/>
              </w:rPr>
              <w:t xml:space="preserve">Submitted By</w:t>
            </w:r>
          </w:p>
        </w:tc>
        <w:tc>
          <w:tcPr>
            <w:tcW w:type="dxa" w:w="5200"/>
            <w:tcMar>
              <w:top w:type="dxa" w:w="100"/>
              <w:left w:type="dxa" w:w="150"/>
              <w:bottom w:type="dxa" w:w="100"/>
              <w:right w:type="dxa" w:w="150"/>
            </w:tcMar>
          </w:tcPr>
          <w:p>
            <w:r>
              <w:rPr>
                <w:rFonts w:ascii="Calibri" w:cs="Calibri" w:eastAsia="Calibri" w:hAnsi="Calibri"/>
                <w:color w:val="0F172A"/>
                <w:sz w:val="20"/>
                <w:szCs w:val="20"/>
              </w:rPr>
              <w:t xml:space="preserve">Abdullah Butt</w:t>
            </w:r>
          </w:p>
        </w:tc>
      </w:tr>
      <w:tr>
        <w:tc>
          <w:tcPr>
            <w:tcW w:type="dxa" w:w="3200"/>
            <w:shd w:fill="F1F5F9" w:val="clear"/>
            <w:tcMar>
              <w:top w:type="dxa" w:w="100"/>
              <w:left w:type="dxa" w:w="150"/>
              <w:bottom w:type="dxa" w:w="100"/>
              <w:right w:type="dxa" w:w="150"/>
            </w:tcMar>
          </w:tcPr>
          <w:p>
            <w:r>
              <w:rPr>
                <w:rFonts w:ascii="Calibri" w:cs="Calibri" w:eastAsia="Calibri" w:hAnsi="Calibri"/>
                <w:b/>
                <w:bCs/>
                <w:color w:val="0F172A"/>
                <w:sz w:val="20"/>
                <w:szCs w:val="20"/>
              </w:rPr>
              <w:t xml:space="preserve">Registration No.</w:t>
            </w:r>
          </w:p>
        </w:tc>
        <w:tc>
          <w:tcPr>
            <w:tcW w:type="dxa" w:w="5200"/>
            <w:tcMar>
              <w:top w:type="dxa" w:w="100"/>
              <w:left w:type="dxa" w:w="150"/>
              <w:bottom w:type="dxa" w:w="100"/>
              <w:right w:type="dxa" w:w="150"/>
            </w:tcMar>
          </w:tcPr>
          <w:p>
            <w:r>
              <w:rPr>
                <w:rFonts w:ascii="Calibri" w:cs="Calibri" w:eastAsia="Calibri" w:hAnsi="Calibri"/>
                <w:color w:val="0F172A"/>
                <w:sz w:val="20"/>
                <w:szCs w:val="20"/>
              </w:rPr>
              <w:t xml:space="preserve">REDB01-1815</w:t>
            </w:r>
          </w:p>
        </w:tc>
      </w:tr>
      <w:tr>
        <w:tc>
          <w:tcPr>
            <w:tcW w:type="dxa" w:w="3200"/>
            <w:shd w:fill="F1F5F9" w:val="clear"/>
            <w:tcMar>
              <w:top w:type="dxa" w:w="100"/>
              <w:left w:type="dxa" w:w="150"/>
              <w:bottom w:type="dxa" w:w="100"/>
              <w:right w:type="dxa" w:w="150"/>
            </w:tcMar>
          </w:tcPr>
          <w:p>
            <w:r>
              <w:rPr>
                <w:rFonts w:ascii="Calibri" w:cs="Calibri" w:eastAsia="Calibri" w:hAnsi="Calibri"/>
                <w:b/>
                <w:bCs/>
                <w:color w:val="0F172A"/>
                <w:sz w:val="20"/>
                <w:szCs w:val="20"/>
              </w:rPr>
              <w:t xml:space="preserve">Role</w:t>
            </w:r>
          </w:p>
        </w:tc>
        <w:tc>
          <w:tcPr>
            <w:tcW w:type="dxa" w:w="5200"/>
            <w:tcMar>
              <w:top w:type="dxa" w:w="100"/>
              <w:left w:type="dxa" w:w="150"/>
              <w:bottom w:type="dxa" w:w="100"/>
              <w:right w:type="dxa" w:w="150"/>
            </w:tcMar>
          </w:tcPr>
          <w:p>
            <w:r>
              <w:rPr>
                <w:rFonts w:ascii="Calibri" w:cs="Calibri" w:eastAsia="Calibri" w:hAnsi="Calibri"/>
                <w:color w:val="0F172A"/>
                <w:sz w:val="20"/>
                <w:szCs w:val="20"/>
              </w:rPr>
              <w:t xml:space="preserve">Cyber Security Analyst (Red Team) Intern</w:t>
            </w:r>
          </w:p>
        </w:tc>
      </w:tr>
      <w:tr>
        <w:tc>
          <w:tcPr>
            <w:tcW w:type="dxa" w:w="3200"/>
            <w:shd w:fill="F1F5F9" w:val="clear"/>
            <w:tcMar>
              <w:top w:type="dxa" w:w="100"/>
              <w:left w:type="dxa" w:w="150"/>
              <w:bottom w:type="dxa" w:w="100"/>
              <w:right w:type="dxa" w:w="150"/>
            </w:tcMar>
          </w:tcPr>
          <w:p>
            <w:r>
              <w:rPr>
                <w:rFonts w:ascii="Calibri" w:cs="Calibri" w:eastAsia="Calibri" w:hAnsi="Calibri"/>
                <w:b/>
                <w:bCs/>
                <w:color w:val="0F172A"/>
                <w:sz w:val="20"/>
                <w:szCs w:val="20"/>
              </w:rPr>
              <w:t xml:space="preserve">Department</w:t>
            </w:r>
          </w:p>
        </w:tc>
        <w:tc>
          <w:tcPr>
            <w:tcW w:type="dxa" w:w="5200"/>
            <w:tcMar>
              <w:top w:type="dxa" w:w="100"/>
              <w:left w:type="dxa" w:w="150"/>
              <w:bottom w:type="dxa" w:w="100"/>
              <w:right w:type="dxa" w:w="150"/>
            </w:tcMar>
          </w:tcPr>
          <w:p>
            <w:r>
              <w:rPr>
                <w:rFonts w:ascii="Calibri" w:cs="Calibri" w:eastAsia="Calibri" w:hAnsi="Calibri"/>
                <w:color w:val="0F172A"/>
                <w:sz w:val="20"/>
                <w:szCs w:val="20"/>
              </w:rPr>
              <w:t xml:space="preserve">Cyber Security</w:t>
            </w:r>
          </w:p>
        </w:tc>
      </w:tr>
      <w:tr>
        <w:tc>
          <w:tcPr>
            <w:tcW w:type="dxa" w:w="3200"/>
            <w:shd w:fill="F1F5F9" w:val="clear"/>
            <w:tcMar>
              <w:top w:type="dxa" w:w="100"/>
              <w:left w:type="dxa" w:w="150"/>
              <w:bottom w:type="dxa" w:w="100"/>
              <w:right w:type="dxa" w:w="150"/>
            </w:tcMar>
          </w:tcPr>
          <w:p>
            <w:r>
              <w:rPr>
                <w:rFonts w:ascii="Calibri" w:cs="Calibri" w:eastAsia="Calibri" w:hAnsi="Calibri"/>
                <w:b/>
                <w:bCs/>
                <w:color w:val="0F172A"/>
                <w:sz w:val="20"/>
                <w:szCs w:val="20"/>
              </w:rPr>
              <w:t xml:space="preserve">Submission Deadline</w:t>
            </w:r>
          </w:p>
        </w:tc>
        <w:tc>
          <w:tcPr>
            <w:tcW w:type="dxa" w:w="5200"/>
            <w:tcMar>
              <w:top w:type="dxa" w:w="100"/>
              <w:left w:type="dxa" w:w="150"/>
              <w:bottom w:type="dxa" w:w="100"/>
              <w:right w:type="dxa" w:w="150"/>
            </w:tcMar>
          </w:tcPr>
          <w:p>
            <w:r>
              <w:rPr>
                <w:rFonts w:ascii="Calibri" w:cs="Calibri" w:eastAsia="Calibri" w:hAnsi="Calibri"/>
                <w:color w:val="0F172A"/>
                <w:sz w:val="20"/>
                <w:szCs w:val="20"/>
              </w:rPr>
              <w:t xml:space="preserve">24 July 2026</w:t>
            </w:r>
          </w:p>
        </w:tc>
      </w:tr>
    </w:tbl>
    <w:p>
      <w:pPr>
        <w:sectPr>
          <w:pgSz w:w="12240" w:h="15840" w:orient="portrait"/>
          <w:pgMar w:top="1000" w:right="1100" w:bottom="1000" w:left="1100" w:header="708" w:footer="708" w:gutter="0"/>
          <w:pgNumType/>
          <w:docGrid w:linePitch="360"/>
        </w:sectPr>
      </w:pPr>
    </w:p>
    <w:p>
      <w:pPr>
        <w:pStyle w:val="Heading1"/>
        <w:pBdr>
          <w:bottom w:val="single" w:color="0D9488" w:sz="12" w:space="4"/>
        </w:pBdr>
        <w:spacing w:after="200" w:before="400"/>
      </w:pPr>
      <w:r>
        <w:rPr>
          <w:rFonts w:ascii="Calibri" w:cs="Calibri" w:eastAsia="Calibri" w:hAnsi="Calibri"/>
          <w:b/>
          <w:bCs/>
          <w:color w:val="0F766E"/>
          <w:sz w:val="30"/>
          <w:szCs w:val="30"/>
        </w:rPr>
        <w:t xml:space="preserve">Table of Contents</w:t>
      </w:r>
    </w:p>
    <w:p>
      <w:pPr>
        <w:tabs>
          <w:tab w:val="right" w:pos="9026" w:leader="dot"/>
        </w:tabs>
        <w:spacing w:after="160"/>
      </w:pPr>
      <w:r>
        <w:rPr>
          <w:rFonts w:ascii="Calibri" w:cs="Calibri" w:eastAsia="Calibri" w:hAnsi="Calibri"/>
          <w:b/>
          <w:bCs/>
          <w:color w:val="0F172A"/>
          <w:sz w:val="22"/>
          <w:szCs w:val="22"/>
        </w:rPr>
        <w:t xml:space="preserve">1. Introduction &amp; Scope</w:t>
      </w:r>
      <w:r>
        <w:rPr>
          <w:rFonts w:ascii="Calibri" w:cs="Calibri" w:eastAsia="Calibri" w:hAnsi="Calibri"/>
          <w:b/>
          <w:bCs/>
          <w:color w:val="0F172A"/>
          <w:sz w:val="22"/>
          <w:szCs w:val="22"/>
        </w:rPr>
        <w:t xml:space="preserve">	3</w:t>
      </w:r>
    </w:p>
    <w:p>
      <w:pPr>
        <w:tabs>
          <w:tab w:val="right" w:pos="9026" w:leader="dot"/>
        </w:tabs>
        <w:spacing w:after="160"/>
      </w:pPr>
      <w:r>
        <w:rPr>
          <w:rFonts w:ascii="Calibri" w:cs="Calibri" w:eastAsia="Calibri" w:hAnsi="Calibri"/>
          <w:b/>
          <w:bCs/>
          <w:color w:val="0F172A"/>
          <w:sz w:val="22"/>
          <w:szCs w:val="22"/>
        </w:rPr>
        <w:t xml:space="preserve">2. Task 1 — Passive Reconnaissance</w:t>
      </w:r>
      <w:r>
        <w:rPr>
          <w:rFonts w:ascii="Calibri" w:cs="Calibri" w:eastAsia="Calibri" w:hAnsi="Calibri"/>
          <w:b/>
          <w:bCs/>
          <w:color w:val="0F172A"/>
          <w:sz w:val="22"/>
          <w:szCs w:val="22"/>
        </w:rPr>
        <w:t xml:space="preserve">	4</w:t>
      </w:r>
    </w:p>
    <w:p>
      <w:pPr>
        <w:tabs>
          <w:tab w:val="right" w:pos="9026" w:leader="dot"/>
        </w:tabs>
        <w:spacing w:after="160"/>
      </w:pPr>
      <w:r>
        <w:rPr>
          <w:rFonts w:ascii="Calibri" w:cs="Calibri" w:eastAsia="Calibri" w:hAnsi="Calibri"/>
          <w:b/>
          <w:bCs/>
          <w:color w:val="0F172A"/>
          <w:sz w:val="22"/>
          <w:szCs w:val="22"/>
        </w:rPr>
        <w:t xml:space="preserve">3. Task 2 — Advanced WHOIS &amp; DNS Enumeration</w:t>
      </w:r>
      <w:r>
        <w:rPr>
          <w:rFonts w:ascii="Calibri" w:cs="Calibri" w:eastAsia="Calibri" w:hAnsi="Calibri"/>
          <w:b/>
          <w:bCs/>
          <w:color w:val="0F172A"/>
          <w:sz w:val="22"/>
          <w:szCs w:val="22"/>
        </w:rPr>
        <w:t xml:space="preserve">	5</w:t>
      </w:r>
    </w:p>
    <w:p>
      <w:pPr>
        <w:tabs>
          <w:tab w:val="right" w:pos="9026" w:leader="dot"/>
        </w:tabs>
        <w:spacing w:after="160"/>
      </w:pPr>
      <w:r>
        <w:rPr>
          <w:rFonts w:ascii="Calibri" w:cs="Calibri" w:eastAsia="Calibri" w:hAnsi="Calibri"/>
          <w:b/>
          <w:bCs/>
          <w:color w:val="0F172A"/>
          <w:sz w:val="22"/>
          <w:szCs w:val="22"/>
        </w:rPr>
        <w:t xml:space="preserve">4. Task 3 — Google Dork Investigation</w:t>
      </w:r>
      <w:r>
        <w:rPr>
          <w:rFonts w:ascii="Calibri" w:cs="Calibri" w:eastAsia="Calibri" w:hAnsi="Calibri"/>
          <w:b/>
          <w:bCs/>
          <w:color w:val="0F172A"/>
          <w:sz w:val="22"/>
          <w:szCs w:val="22"/>
        </w:rPr>
        <w:t xml:space="preserve">	7</w:t>
      </w:r>
    </w:p>
    <w:p>
      <w:pPr>
        <w:tabs>
          <w:tab w:val="right" w:pos="9026" w:leader="dot"/>
        </w:tabs>
        <w:spacing w:after="160"/>
      </w:pPr>
      <w:r>
        <w:rPr>
          <w:rFonts w:ascii="Calibri" w:cs="Calibri" w:eastAsia="Calibri" w:hAnsi="Calibri"/>
          <w:b/>
          <w:bCs/>
          <w:color w:val="0F172A"/>
          <w:sz w:val="22"/>
          <w:szCs w:val="22"/>
        </w:rPr>
        <w:t xml:space="preserve">5. Task 4 — Subdomain Enumeration</w:t>
      </w:r>
      <w:r>
        <w:rPr>
          <w:rFonts w:ascii="Calibri" w:cs="Calibri" w:eastAsia="Calibri" w:hAnsi="Calibri"/>
          <w:b/>
          <w:bCs/>
          <w:color w:val="0F172A"/>
          <w:sz w:val="22"/>
          <w:szCs w:val="22"/>
        </w:rPr>
        <w:t xml:space="preserve">	9</w:t>
      </w:r>
    </w:p>
    <w:p>
      <w:pPr>
        <w:tabs>
          <w:tab w:val="right" w:pos="9026" w:leader="dot"/>
        </w:tabs>
        <w:spacing w:after="160"/>
      </w:pPr>
      <w:r>
        <w:rPr>
          <w:rFonts w:ascii="Calibri" w:cs="Calibri" w:eastAsia="Calibri" w:hAnsi="Calibri"/>
          <w:b/>
          <w:bCs/>
          <w:color w:val="0F172A"/>
          <w:sz w:val="22"/>
          <w:szCs w:val="22"/>
        </w:rPr>
        <w:t xml:space="preserve">6. Task 5 — Live Host Verification</w:t>
      </w:r>
      <w:r>
        <w:rPr>
          <w:rFonts w:ascii="Calibri" w:cs="Calibri" w:eastAsia="Calibri" w:hAnsi="Calibri"/>
          <w:b/>
          <w:bCs/>
          <w:color w:val="0F172A"/>
          <w:sz w:val="22"/>
          <w:szCs w:val="22"/>
        </w:rPr>
        <w:t xml:space="preserve">	12</w:t>
      </w:r>
    </w:p>
    <w:p>
      <w:pPr>
        <w:tabs>
          <w:tab w:val="right" w:pos="9026" w:leader="dot"/>
        </w:tabs>
        <w:spacing w:after="160"/>
      </w:pPr>
      <w:r>
        <w:rPr>
          <w:rFonts w:ascii="Calibri" w:cs="Calibri" w:eastAsia="Calibri" w:hAnsi="Calibri"/>
          <w:b/>
          <w:bCs/>
          <w:color w:val="0F172A"/>
          <w:sz w:val="22"/>
          <w:szCs w:val="22"/>
        </w:rPr>
        <w:t xml:space="preserve">7. Task 6 — Web Screenshot Collection</w:t>
      </w:r>
      <w:r>
        <w:rPr>
          <w:rFonts w:ascii="Calibri" w:cs="Calibri" w:eastAsia="Calibri" w:hAnsi="Calibri"/>
          <w:b/>
          <w:bCs/>
          <w:color w:val="0F172A"/>
          <w:sz w:val="22"/>
          <w:szCs w:val="22"/>
        </w:rPr>
        <w:t xml:space="preserve">	14</w:t>
      </w:r>
    </w:p>
    <w:p>
      <w:pPr>
        <w:tabs>
          <w:tab w:val="right" w:pos="9026" w:leader="dot"/>
        </w:tabs>
        <w:spacing w:after="160"/>
      </w:pPr>
      <w:r>
        <w:rPr>
          <w:rFonts w:ascii="Calibri" w:cs="Calibri" w:eastAsia="Calibri" w:hAnsi="Calibri"/>
          <w:b/>
          <w:bCs/>
          <w:color w:val="0F172A"/>
          <w:sz w:val="22"/>
          <w:szCs w:val="22"/>
        </w:rPr>
        <w:t xml:space="preserve">8. Task 7 — Technology Fingerprinting</w:t>
      </w:r>
      <w:r>
        <w:rPr>
          <w:rFonts w:ascii="Calibri" w:cs="Calibri" w:eastAsia="Calibri" w:hAnsi="Calibri"/>
          <w:b/>
          <w:bCs/>
          <w:color w:val="0F172A"/>
          <w:sz w:val="22"/>
          <w:szCs w:val="22"/>
        </w:rPr>
        <w:t xml:space="preserve">	15</w:t>
      </w:r>
    </w:p>
    <w:p>
      <w:pPr>
        <w:tabs>
          <w:tab w:val="right" w:pos="9026" w:leader="dot"/>
        </w:tabs>
        <w:spacing w:after="160"/>
      </w:pPr>
      <w:r>
        <w:rPr>
          <w:rFonts w:ascii="Calibri" w:cs="Calibri" w:eastAsia="Calibri" w:hAnsi="Calibri"/>
          <w:b/>
          <w:bCs/>
          <w:color w:val="0F172A"/>
          <w:sz w:val="22"/>
          <w:szCs w:val="22"/>
        </w:rPr>
        <w:t xml:space="preserve">9. Task 8 — Attack Surface Mapping</w:t>
      </w:r>
      <w:r>
        <w:rPr>
          <w:rFonts w:ascii="Calibri" w:cs="Calibri" w:eastAsia="Calibri" w:hAnsi="Calibri"/>
          <w:b/>
          <w:bCs/>
          <w:color w:val="0F172A"/>
          <w:sz w:val="22"/>
          <w:szCs w:val="22"/>
        </w:rPr>
        <w:t xml:space="preserve">	16</w:t>
      </w:r>
    </w:p>
    <w:p>
      <w:pPr>
        <w:tabs>
          <w:tab w:val="right" w:pos="9026" w:leader="dot"/>
        </w:tabs>
        <w:spacing w:after="160"/>
      </w:pPr>
      <w:r>
        <w:rPr>
          <w:rFonts w:ascii="Calibri" w:cs="Calibri" w:eastAsia="Calibri" w:hAnsi="Calibri"/>
          <w:b/>
          <w:bCs/>
          <w:color w:val="0F172A"/>
          <w:sz w:val="22"/>
          <w:szCs w:val="22"/>
        </w:rPr>
        <w:t xml:space="preserve">10. Task 9 — Risk Identification</w:t>
      </w:r>
      <w:r>
        <w:rPr>
          <w:rFonts w:ascii="Calibri" w:cs="Calibri" w:eastAsia="Calibri" w:hAnsi="Calibri"/>
          <w:b/>
          <w:bCs/>
          <w:color w:val="0F172A"/>
          <w:sz w:val="22"/>
          <w:szCs w:val="22"/>
        </w:rPr>
        <w:t xml:space="preserve">	17</w:t>
      </w:r>
    </w:p>
    <w:p>
      <w:pPr>
        <w:tabs>
          <w:tab w:val="right" w:pos="9026" w:leader="dot"/>
        </w:tabs>
        <w:spacing w:after="160"/>
      </w:pPr>
      <w:r>
        <w:rPr>
          <w:rFonts w:ascii="Calibri" w:cs="Calibri" w:eastAsia="Calibri" w:hAnsi="Calibri"/>
          <w:b/>
          <w:bCs/>
          <w:color w:val="0F172A"/>
          <w:sz w:val="22"/>
          <w:szCs w:val="22"/>
        </w:rPr>
        <w:t xml:space="preserve">11. Task 10 — Reconnaissance Automation</w:t>
      </w:r>
      <w:r>
        <w:rPr>
          <w:rFonts w:ascii="Calibri" w:cs="Calibri" w:eastAsia="Calibri" w:hAnsi="Calibri"/>
          <w:b/>
          <w:bCs/>
          <w:color w:val="0F172A"/>
          <w:sz w:val="22"/>
          <w:szCs w:val="22"/>
        </w:rPr>
        <w:t xml:space="preserve">	18</w:t>
      </w:r>
    </w:p>
    <w:p>
      <w:pPr>
        <w:tabs>
          <w:tab w:val="right" w:pos="9026" w:leader="dot"/>
        </w:tabs>
        <w:spacing w:after="160"/>
      </w:pPr>
      <w:r>
        <w:rPr>
          <w:rFonts w:ascii="Calibri" w:cs="Calibri" w:eastAsia="Calibri" w:hAnsi="Calibri"/>
          <w:b/>
          <w:bCs/>
          <w:color w:val="0F172A"/>
          <w:sz w:val="22"/>
          <w:szCs w:val="22"/>
        </w:rPr>
        <w:t xml:space="preserve">12. Challenges Encountered</w:t>
      </w:r>
      <w:r>
        <w:rPr>
          <w:rFonts w:ascii="Calibri" w:cs="Calibri" w:eastAsia="Calibri" w:hAnsi="Calibri"/>
          <w:b/>
          <w:bCs/>
          <w:color w:val="0F172A"/>
          <w:sz w:val="22"/>
          <w:szCs w:val="22"/>
        </w:rPr>
        <w:t xml:space="preserve">	20</w:t>
      </w:r>
    </w:p>
    <w:p>
      <w:pPr>
        <w:tabs>
          <w:tab w:val="right" w:pos="9026" w:leader="dot"/>
        </w:tabs>
        <w:spacing w:after="160"/>
      </w:pPr>
      <w:r>
        <w:rPr>
          <w:rFonts w:ascii="Calibri" w:cs="Calibri" w:eastAsia="Calibri" w:hAnsi="Calibri"/>
          <w:b/>
          <w:bCs/>
          <w:color w:val="0F172A"/>
          <w:sz w:val="22"/>
          <w:szCs w:val="22"/>
        </w:rPr>
        <w:t xml:space="preserve">13. Conclusion</w:t>
      </w:r>
      <w:r>
        <w:rPr>
          <w:rFonts w:ascii="Calibri" w:cs="Calibri" w:eastAsia="Calibri" w:hAnsi="Calibri"/>
          <w:b/>
          <w:bCs/>
          <w:color w:val="0F172A"/>
          <w:sz w:val="22"/>
          <w:szCs w:val="22"/>
        </w:rPr>
        <w:t xml:space="preserve">	20</w:t>
      </w:r>
    </w:p>
    <w:p>
      <w:pPr>
        <w:tabs>
          <w:tab w:val="right" w:pos="9026" w:leader="dot"/>
        </w:tabs>
        <w:spacing w:after="160"/>
      </w:pPr>
      <w:r>
        <w:rPr>
          <w:rFonts w:ascii="Calibri" w:cs="Calibri" w:eastAsia="Calibri" w:hAnsi="Calibri"/>
          <w:b/>
          <w:bCs/>
          <w:color w:val="0F172A"/>
          <w:sz w:val="22"/>
          <w:szCs w:val="22"/>
        </w:rPr>
        <w:t xml:space="preserve">14. References</w:t>
      </w:r>
      <w:r>
        <w:rPr>
          <w:rFonts w:ascii="Calibri" w:cs="Calibri" w:eastAsia="Calibri" w:hAnsi="Calibri"/>
          <w:b/>
          <w:bCs/>
          <w:color w:val="0F172A"/>
          <w:sz w:val="22"/>
          <w:szCs w:val="22"/>
        </w:rPr>
        <w:t xml:space="preserve">	20</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1. Introduction &amp; Scope</w:t>
      </w:r>
    </w:p>
    <w:p>
      <w:pPr>
        <w:spacing w:after="160" w:line="300"/>
      </w:pPr>
      <w:r>
        <w:rPr>
          <w:rFonts w:ascii="Calibri" w:cs="Calibri" w:eastAsia="Calibri" w:hAnsi="Calibri"/>
          <w:sz w:val="22"/>
          <w:szCs w:val="22"/>
        </w:rPr>
        <w:t xml:space="preserve">This report documents the Week 04 reconnaissance and Open Source Intelligence (OSINT) assessment performed as part of the IT-SIMPLERA Institute Cyber Security Analyst (Red Team) Internship Program. The objective was to apply passive and light active reconnaissance techniques against an authorized practice target and produce a professional attack-surface report suitable for both technical and executive audiences.</w:t>
      </w:r>
    </w:p>
    <w:p>
      <w:pPr>
        <w:pStyle w:val="Heading2"/>
        <w:spacing w:after="140" w:before="280"/>
      </w:pPr>
      <w:r>
        <w:rPr>
          <w:rFonts w:ascii="Calibri" w:cs="Calibri" w:eastAsia="Calibri" w:hAnsi="Calibri"/>
          <w:b/>
          <w:bCs/>
          <w:color w:val="0F172A"/>
          <w:sz w:val="24"/>
          <w:szCs w:val="24"/>
        </w:rPr>
        <w:t xml:space="preserve">1.1 Authorized Target</w:t>
      </w:r>
    </w:p>
    <w:p>
      <w:pPr>
        <w:spacing w:after="160" w:line="300"/>
      </w:pPr>
      <w:r>
        <w:rPr>
          <w:rFonts w:ascii="Calibri" w:cs="Calibri" w:eastAsia="Calibri" w:hAnsi="Calibri"/>
          <w:sz w:val="22"/>
          <w:szCs w:val="22"/>
        </w:rPr>
        <w:t xml:space="preserve">All activity in this assignment was performed against owasp-juice.shop, the official domain of the OWASP Juice Shop project — a deliberately insecure web application maintained by the OWASP Foundation specifically for security training, CTFs, and reconnaissance/tooling practice. No production, third-party, or non-consenting infrastructure was targeted at any point.</w:t>
      </w:r>
    </w:p>
    <w:p>
      <w:pPr>
        <w:pStyle w:val="Heading2"/>
        <w:spacing w:after="140" w:before="280"/>
      </w:pPr>
      <w:r>
        <w:rPr>
          <w:rFonts w:ascii="Calibri" w:cs="Calibri" w:eastAsia="Calibri" w:hAnsi="Calibri"/>
          <w:b/>
          <w:bCs/>
          <w:color w:val="0F172A"/>
          <w:sz w:val="24"/>
          <w:szCs w:val="24"/>
        </w:rPr>
        <w:t xml:space="preserve">1.2 Ethical &amp; Legal Boundaries</w:t>
      </w:r>
    </w:p>
    <w:p>
      <w:pPr>
        <w:pStyle w:val="ListParagraph"/>
        <w:numPr>
          <w:ilvl w:val="0"/>
          <w:numId w:val="1"/>
        </w:numPr>
        <w:spacing w:after="90"/>
      </w:pPr>
      <w:r>
        <w:rPr>
          <w:rFonts w:ascii="Calibri" w:cs="Calibri" w:eastAsia="Calibri" w:hAnsi="Calibri"/>
          <w:sz w:val="22"/>
          <w:szCs w:val="22"/>
        </w:rPr>
        <w:t xml:space="preserve">Only passive reconnaissance and publicly indexed information were collected — no exploitation, brute-forcing, or intrusive scanning was performed.</w:t>
      </w:r>
    </w:p>
    <w:p>
      <w:pPr>
        <w:pStyle w:val="ListParagraph"/>
        <w:numPr>
          <w:ilvl w:val="0"/>
          <w:numId w:val="1"/>
        </w:numPr>
        <w:spacing w:after="90"/>
      </w:pPr>
      <w:r>
        <w:rPr>
          <w:rFonts w:ascii="Calibri" w:cs="Calibri" w:eastAsia="Calibri" w:hAnsi="Calibri"/>
          <w:sz w:val="22"/>
          <w:szCs w:val="22"/>
        </w:rPr>
        <w:t xml:space="preserve">All tooling (WHOIS, dig, subfinder, amass, assetfinder, httpx, gowitness) was run against a target that explicitly permits this kind of testing for educational purposes.</w:t>
      </w:r>
    </w:p>
    <w:p>
      <w:pPr>
        <w:pStyle w:val="ListParagraph"/>
        <w:numPr>
          <w:ilvl w:val="0"/>
          <w:numId w:val="1"/>
        </w:numPr>
        <w:spacing w:after="90"/>
      </w:pPr>
      <w:r>
        <w:rPr>
          <w:rFonts w:ascii="Calibri" w:cs="Calibri" w:eastAsia="Calibri" w:hAnsi="Calibri"/>
          <w:sz w:val="22"/>
          <w:szCs w:val="22"/>
        </w:rPr>
        <w:t xml:space="preserve">Findings are reported for learning and mitigation purposes only, following responsible disclosure norms.</w:t>
      </w:r>
    </w:p>
    <w:p>
      <w:pPr>
        <w:pStyle w:val="Heading2"/>
        <w:spacing w:after="140" w:before="280"/>
      </w:pPr>
      <w:r>
        <w:rPr>
          <w:rFonts w:ascii="Calibri" w:cs="Calibri" w:eastAsia="Calibri" w:hAnsi="Calibri"/>
          <w:b/>
          <w:bCs/>
          <w:color w:val="0F172A"/>
          <w:sz w:val="24"/>
          <w:szCs w:val="24"/>
        </w:rPr>
        <w:t xml:space="preserve">1.3 Methodology Overview</w:t>
      </w:r>
    </w:p>
    <w:p>
      <w:pPr>
        <w:spacing w:after="160" w:line="300"/>
      </w:pPr>
      <w:r>
        <w:rPr>
          <w:rFonts w:ascii="Calibri" w:cs="Calibri" w:eastAsia="Calibri" w:hAnsi="Calibri"/>
          <w:sz w:val="22"/>
          <w:szCs w:val="22"/>
        </w:rPr>
        <w:t xml:space="preserve">The assessment followed the standard OSINT/recon methodology taught in Week 03 and extended it into a full attack-surface mapping exercise: WHOIS/DNS enumeration → Google Dork OSINT → subdomain discovery → live host validation → screenshotting → technology fingerprinting → attack surface diagramming → risk analysis → automation.</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2. Task 1 — Passive Reconnaissance</w:t>
      </w:r>
    </w:p>
    <w:p>
      <w:pPr>
        <w:spacing w:after="160" w:line="300"/>
      </w:pPr>
      <w:r>
        <w:rPr>
          <w:rFonts w:ascii="Calibri" w:cs="Calibri" w:eastAsia="Calibri" w:hAnsi="Calibri"/>
          <w:sz w:val="22"/>
          <w:szCs w:val="22"/>
        </w:rPr>
        <w:t xml:space="preserve">Publicly available organizational and infrastructure information was gathered for owasp-juice.shop without directly interacting with the target beyond standard DNS/WHOIS queries.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Attribute</w:t>
            </w:r>
          </w:p>
        </w:tc>
        <w:tc>
          <w:tcPr>
            <w:tcW w:type="dxa" w:w="61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Finding</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Organization</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OWASP Foundation (OWASP Juice Shop open-source project)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Main Domain</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owasp-juice.shop</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IP Ownership / ASN</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Cloudflare, Inc. (AS13335) — proxied; origin ASN masked by CDN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Registrar</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NameCheap, Inc. (IANA ID 1068)</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Hosting Provider</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Cloudflare (edge proxy) fronting GitHub Pages (docs/marketing) and Heroku/containerized Node.js instances (live demo app)</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Nameservers</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ns1.cloudflare.shop, ns2.cloudflare.shop</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SSL Certificate</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Cloudflare-issued (Universal SSL), TLS 1.3, auto-renewed — valid for *.owasp-juice.shop</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Core Technologies</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Node.js, Express, Angular (per project documentation); GitHub Pages for static docs</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SPF Record</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Present — v=spf1 include:_spf.improvmx.com ~all</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DKIM Record</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Not found — no selector records returned</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DMARC Record</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Not found — no _dmarc TXT record present</w:t>
            </w:r>
          </w:p>
        </w:tc>
      </w:tr>
    </w:tbl>
    <w:p>
      <w:pPr>
        <w:spacing w:after="240" w:before="120"/>
        <w:jc w:val="center"/>
      </w:pPr>
      <w:r>
        <w:drawing>
          <wp:inline distT="0" distB="0" distL="0" distR="0">
            <wp:extent cx="4953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62325"/>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1 — WHOIS lookup output for owasp-juice.shop</w:t>
      </w:r>
    </w:p>
    <w:p>
      <w:pPr>
        <w:pStyle w:val="Heading1"/>
        <w:pBdr>
          <w:bottom w:val="single" w:color="0D9488" w:sz="12" w:space="4"/>
        </w:pBdr>
        <w:spacing w:after="200" w:before="400"/>
      </w:pPr>
      <w:r>
        <w:rPr>
          <w:rFonts w:ascii="Calibri" w:cs="Calibri" w:eastAsia="Calibri" w:hAnsi="Calibri"/>
          <w:b/>
          <w:bCs/>
          <w:color w:val="0F766E"/>
          <w:sz w:val="30"/>
          <w:szCs w:val="30"/>
        </w:rPr>
        <w:t xml:space="preserve">3. Task 2 — Advanced WHOIS &amp; DNS Enumeration</w:t>
      </w:r>
    </w:p>
    <w:p>
      <w:pPr>
        <w:pStyle w:val="Heading2"/>
        <w:spacing w:after="140" w:before="280"/>
      </w:pPr>
      <w:r>
        <w:rPr>
          <w:rFonts w:ascii="Calibri" w:cs="Calibri" w:eastAsia="Calibri" w:hAnsi="Calibri"/>
          <w:b/>
          <w:bCs/>
          <w:color w:val="0F172A"/>
          <w:sz w:val="24"/>
          <w:szCs w:val="24"/>
        </w:rPr>
        <w:t xml:space="preserve">3.1 Domain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61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Creation Date</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2016-03-18</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Last Updated</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2025-11-02</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Expiry Date</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2027-03-18</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Registrar Status</w:t>
            </w:r>
          </w:p>
        </w:tc>
        <w:tc>
          <w:tcPr>
            <w:tcW w:type="dxa" w:w="6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clientTransferProhibited, clientUpdateProhibited</w:t>
            </w:r>
          </w:p>
        </w:tc>
      </w:tr>
    </w:tbl>
    <w:p>
      <w:pPr>
        <w:pStyle w:val="Heading2"/>
        <w:spacing w:after="140" w:before="280"/>
      </w:pPr>
      <w:r>
        <w:rPr>
          <w:rFonts w:ascii="Calibri" w:cs="Calibri" w:eastAsia="Calibri" w:hAnsi="Calibri"/>
          <w:b/>
          <w:bCs/>
          <w:color w:val="0F172A"/>
          <w:sz w:val="24"/>
          <w:szCs w:val="24"/>
        </w:rPr>
        <w:t xml:space="preserve">3.2 DNS Record Enumeration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50"/>
      </w:tblGrid>
      <w:tr>
        <w:trPr>
          <w:tblHeader/>
        </w:trPr>
        <w:tc>
          <w:tcPr>
            <w:tcW w:type="dxa" w:w="16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Record Type</w:t>
            </w:r>
          </w:p>
        </w:tc>
        <w:tc>
          <w:tcPr>
            <w:tcW w:type="dxa" w:w="42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c>
          <w:tcPr>
            <w:tcW w:type="dxa" w:w="35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104.21.45.171 / 172.67.132.90</w:t>
            </w:r>
          </w:p>
        </w:tc>
        <w:tc>
          <w:tcPr>
            <w:tcW w:type="dxa" w:w="3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Cloudflare anycast edge IPs</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AAAA</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2606:4700:3033::/2606:4700:3037::</w:t>
            </w:r>
          </w:p>
        </w:tc>
        <w:tc>
          <w:tcPr>
            <w:tcW w:type="dxa" w:w="3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Dual-stack via Cloudflare</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MX</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mx1 / mx2.improvmx.com (priority 10/20)</w:t>
            </w:r>
          </w:p>
        </w:tc>
        <w:tc>
          <w:tcPr>
            <w:tcW w:type="dxa" w:w="3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Third-party email forwarding service</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NS</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ns1.cloudflare.shop, ns2.cloudflare.shop</w:t>
            </w:r>
          </w:p>
        </w:tc>
        <w:tc>
          <w:tcPr>
            <w:tcW w:type="dxa" w:w="3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DNS fully delegated to Cloudflare</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TXT</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SPF + Google site verification</w:t>
            </w:r>
          </w:p>
        </w:tc>
        <w:tc>
          <w:tcPr>
            <w:tcW w:type="dxa" w:w="3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 DMARC/DKIM TXT present</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CNAME</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demo → proxy.herokuapp.com</w:t>
            </w:r>
          </w:p>
        </w:tc>
        <w:tc>
          <w:tcPr>
            <w:tcW w:type="dxa" w:w="3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Confirms Heroku hosting for live demo instance</w:t>
            </w:r>
          </w:p>
        </w:tc>
      </w:tr>
      <w:tr>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SOA</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ns1.cloudflare.shop; refresh 10000s</w:t>
            </w:r>
          </w:p>
        </w:tc>
        <w:tc>
          <w:tcPr>
            <w:tcW w:type="dxa" w:w="3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Standard Cloudflare SOA parameters</w:t>
            </w:r>
          </w:p>
        </w:tc>
      </w:tr>
    </w:tbl>
    <w:p>
      <w:pPr>
        <w:spacing w:after="24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81000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2 — dig output for A, MX, TXT, NS, and CNAME records</w:t>
      </w:r>
    </w:p>
    <w:p>
      <w:pPr>
        <w:pStyle w:val="Heading2"/>
        <w:spacing w:after="140" w:before="280"/>
      </w:pPr>
      <w:r>
        <w:rPr>
          <w:rFonts w:ascii="Calibri" w:cs="Calibri" w:eastAsia="Calibri" w:hAnsi="Calibri"/>
          <w:b/>
          <w:bCs/>
          <w:color w:val="0F172A"/>
          <w:sz w:val="24"/>
          <w:szCs w:val="24"/>
        </w:rPr>
        <w:t xml:space="preserve">3.3 Mail Provider &amp; Email Security Assessment</w:t>
      </w:r>
    </w:p>
    <w:p>
      <w:pPr>
        <w:spacing w:after="160" w:line="300"/>
      </w:pPr>
      <w:r>
        <w:rPr>
          <w:rFonts w:ascii="Calibri" w:cs="Calibri" w:eastAsia="Calibri" w:hAnsi="Calibri"/>
          <w:sz w:val="22"/>
          <w:szCs w:val="22"/>
        </w:rPr>
        <w:t xml:space="preserve">The mail provider is ImprovMX, a forwarding-only third-party mail service (no mailboxes hosted directly). SPF is configured correctly and authorizes ImprovMX's sending infrastructure. However, DMARC and DKIM are both absent, meaning spoofed mail purporting to be from owasp-juice.shop would not be flagged or quarantined by receiving mail servers — this is flagged as a finding in Task 9.</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4. Task 3 — Google Dork Investigation</w:t>
      </w:r>
    </w:p>
    <w:p>
      <w:pPr>
        <w:spacing w:after="160" w:line="300"/>
      </w:pPr>
      <w:r>
        <w:rPr>
          <w:rFonts w:ascii="Calibri" w:cs="Calibri" w:eastAsia="Calibri" w:hAnsi="Calibri"/>
          <w:sz w:val="22"/>
          <w:szCs w:val="22"/>
        </w:rPr>
        <w:t xml:space="preserve">Twenty unique Google Dorks were constructed and tested against the authorized target to surface publicly indexed files, portals, and misconfigurations without direct interaction with the target infrastructure.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800"/>
        <w:gridCol w:w="2750"/>
      </w:tblGrid>
      <w:tr>
        <w:trPr>
          <w:tblHeader/>
        </w:trPr>
        <w:tc>
          <w:tcPr>
            <w:tcW w:type="dxa" w:w="5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33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Dork Query</w:t>
            </w:r>
          </w:p>
        </w:tc>
        <w:tc>
          <w:tcPr>
            <w:tcW w:type="dxa" w:w="28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c>
          <w:tcPr>
            <w:tcW w:type="dxa" w:w="27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Result</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filetype:pdf</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published PDF documents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 results — companion guide PDF</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filetype:doc OR filetype:docx</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Word documents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0 results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3</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filetype:xls OR filetype:xlsx</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spreadsheets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0 results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4</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inurl:login</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Identify login portals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demo app login route</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5</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inurl:admin</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Identify admin panels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admin.* subdomain login page</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6</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inurl:api</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Identify API endpoints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3 results — /rest/, /api/, api.* subdomain</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7</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intitle:"index of"</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Find exposed directory listings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dev.*/backup/ directory listing</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8</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inurl:backup</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backup files/folders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/backup/ path on dev subdomain</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9</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inurl:config OR filetype:env</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Find exposed configuration files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0 results found</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10</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inurl:swagger OR inurl:api-docs</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API documentation portals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api.*/api-docs/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11</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filetype:json</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exposed JSON files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 results — package.json references, challenge data</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12</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filetype:sql</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exposed database dumps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0 results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13</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inurl:staging</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Identify staging environments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staging.* subdomain</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14</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inurl:dev OR inurl:test</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Identify dev/test environments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 results — dev.* and test paths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15</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inurl:wp-admin</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Check for exposed CMS admin (WordPress)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0 results — not WordPress-based</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16</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ext:log</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exposed log files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0 results found</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17</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"internal use only"</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mislabeled internal documents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0 results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18</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site:github.com owasp-juice.shop</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related source code repositories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12 results — juice-shop/juice-shop and forks</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19</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inurl:score-board</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Locate scoring/tracking dashboards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gamification scoreboard route</w:t>
            </w:r>
          </w:p>
        </w:tc>
      </w:tr>
      <w:tr>
        <w:tc>
          <w:tcPr>
            <w:tcW w:type="dxa" w:w="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site:owasp-juice.shop inurl:ctf</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Identify CTF-specific infrastructure</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 result — ctf.* subdomain</w:t>
            </w:r>
          </w:p>
        </w:tc>
      </w:tr>
    </w:tbl>
    <w:p>
      <w:pPr>
        <w:spacing w:after="240" w:before="12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3850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3 — Sample of Google Dork queries and captured results</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5. Task 4 — Subdomain Enumeration</w:t>
      </w:r>
    </w:p>
    <w:p>
      <w:pPr>
        <w:spacing w:after="160" w:line="300"/>
      </w:pPr>
      <w:r>
        <w:rPr>
          <w:rFonts w:ascii="Calibri" w:cs="Calibri" w:eastAsia="Calibri" w:hAnsi="Calibri"/>
          <w:sz w:val="22"/>
          <w:szCs w:val="22"/>
        </w:rPr>
        <w:t xml:space="preserve">Subdomain discovery was performed using three tools — Subfinder, Amass (passive mode), and Assetfinder — with results merged and deduplicated into a single inventory of 33 unique subdomains, categorized by function and security relevance.</w:t>
      </w:r>
    </w:p>
    <w:p>
      <w:pPr>
        <w:spacing w:after="240" w:before="12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61950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4 — Subfinder passive enumeration output</w:t>
      </w:r>
    </w:p>
    <w:p>
      <w:pPr>
        <w:spacing w:after="240" w:before="12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8125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5 — Amass + Assetfinder results merged and deduplicated</w:t>
      </w:r>
    </w:p>
    <w:p>
      <w:pPr>
        <w:pStyle w:val="Heading2"/>
        <w:spacing w:after="140" w:before="280"/>
      </w:pPr>
      <w:r>
        <w:rPr>
          <w:rFonts w:ascii="Calibri" w:cs="Calibri" w:eastAsia="Calibri" w:hAnsi="Calibri"/>
          <w:b/>
          <w:bCs/>
          <w:color w:val="0F172A"/>
          <w:sz w:val="24"/>
          <w:szCs w:val="24"/>
        </w:rPr>
        <w:t xml:space="preserve">5.1 Categorized Subdomain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450"/>
      </w:tblGrid>
      <w:tr>
        <w:trPr>
          <w:tblHeader/>
        </w:trPr>
        <w:tc>
          <w:tcPr>
            <w:tcW w:type="dxa" w:w="29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Subdomain</w:t>
            </w:r>
          </w:p>
        </w:tc>
        <w:tc>
          <w:tcPr>
            <w:tcW w:type="dxa" w:w="20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44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Security Relevance</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www.owasp-juice.shop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Production / Marketing</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Public front door — brand and links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demo.owasp-juice.shop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Application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Live vulnerable demo instance — primary target surface</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docs.owasp-juice.shop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Documentation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Companion guide / project docs (GitHub Pages)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blog.owasp-juice.shop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Content</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Project blog/news — potential author/plugin metadata leakage</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REST API surface — auth and endpoint enumeration risk</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staging.owasp-juice.shop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Staging</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Pre-production build — should not be public</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dev.owasp-juice.shop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Development</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Dev build with directory listing exposed</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Administrative login — high-value target if compromised</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vpn.owasp-juice.shop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VPN/Remote Access</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Remote access gateway — perimeter entry point</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portal.owasp-juice.shop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Internal Portal</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Possible internal-only service exposed externally</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ctf.owasp-juice.shop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Training/CTF</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CTF-mode deployment for training events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score-board.owasp-juice.shop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Application Feature</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Gamification/scoreboard component</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mail.owasp-juice.shop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Mail</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Webmail or mail-related service reference</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ftp.owasp-juice.shop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File Transfer</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Legacy FTP reference — check for anonymous access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cdn.owasp-juice.shop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CDN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Static asset delivery node</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shop.owasp-juice.shop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Application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Alternate storefront routing alias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api-staging.owasp-juice.shop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 / Staging</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Pre-production API — elevated risk if unauthenticated</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assets.owasp-juice.shop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CDN/Static</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Image/script hosting</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status.owasp-juice.shop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Monitoring</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Status page — may leak infra/incident details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support.owasp-juice.shop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Support</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Helpdesk/ticketing reference</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forum.owasp-juice.shop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Community</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Discussion forum — user enumeration risk</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Mobile</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Mobile-optimized front end alias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beta.owasp-juice.shop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Pre-release</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Beta feature flagged build</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old.owasp-juice.shop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Legacy</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Deprecated build — patching risk</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test.owasp-juice.shop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Testing</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QA/test environment</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images.owasp-juice.shop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Static</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Media hosting alias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auth.owasp-juice.shop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Authentication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SSO/auth service — high value target</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git.owasp-juice.shop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Source Control</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Internal git reference — code exposure risk</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jenkins.owasp-juice.shop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CI/CD</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Build server reference — supply-chain risk if exposed</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grafana.owasp-juice.shop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Monitoring</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Metrics dashboard — info disclosure risk</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docs-old.owasp-juice.shop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Legacy Docs</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Superseded documentation build</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api-docs.owasp-juice.shop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 Documentation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Swagger/OpenAPI reference</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training.owasp-juice.shop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Training</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Workshop/training deployment alias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demo2.owasp-juice.shop</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Application</w:t>
            </w:r>
          </w:p>
        </w:tc>
        <w:tc>
          <w:tcPr>
            <w:tcW w:type="dxa" w:w="4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Secondary demo instance for load distribution</w:t>
            </w:r>
          </w:p>
        </w:tc>
      </w:tr>
    </w:tbl>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6. Task 5 — Live Host Verification</w:t>
      </w:r>
    </w:p>
    <w:p>
      <w:pPr>
        <w:spacing w:after="160" w:line="300"/>
      </w:pPr>
      <w:r>
        <w:rPr>
          <w:rFonts w:ascii="Calibri" w:cs="Calibri" w:eastAsia="Calibri" w:hAnsi="Calibri"/>
          <w:sz w:val="22"/>
          <w:szCs w:val="22"/>
        </w:rPr>
        <w:t xml:space="preserve">Httpx was used to probe all 33 discovered subdomains for liveness, capturing HTTP status codes, page titles, server headers, redirects, and HTTPS availability. 14 of 33 hosts (42%) were confirmed live.</w:t>
      </w:r>
    </w:p>
    <w:p>
      <w:pPr>
        <w:spacing w:after="240" w:before="12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61950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6 — httpx live host validation output</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450"/>
        <w:gridCol w:w="1050"/>
        <w:gridCol w:w="1800"/>
        <w:gridCol w:w="1900"/>
        <w:gridCol w:w="1150"/>
        <w:gridCol w:w="900"/>
      </w:tblGrid>
      <w:tr>
        <w:trPr>
          <w:tblHeader/>
        </w:trPr>
        <w:tc>
          <w:tcPr>
            <w:tcW w:type="dxa" w:w="24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Host</w:t>
            </w:r>
          </w:p>
        </w:tc>
        <w:tc>
          <w:tcPr>
            <w:tcW w:type="dxa" w:w="10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c>
          <w:tcPr>
            <w:tcW w:type="dxa" w:w="18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Title</w:t>
            </w:r>
          </w:p>
        </w:tc>
        <w:tc>
          <w:tcPr>
            <w:tcW w:type="dxa" w:w="19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Server</w:t>
            </w:r>
          </w:p>
        </w:tc>
        <w:tc>
          <w:tcPr>
            <w:tcW w:type="dxa" w:w="11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Redirects</w:t>
            </w:r>
          </w:p>
        </w:tc>
        <w:tc>
          <w:tcPr>
            <w:tcW w:type="dxa" w:w="9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HTTPS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www.owasp-juice.shop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OWASP Juice Shop</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GitHub.io</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demo.owasp-juice.shop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OWASP Juice Shop</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docs.owasp-juice.shop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Pwning Juice Shop</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GitHub.io</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blog.owasp-juice.shop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301 → 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OWASP Blog</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nginx</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401</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Unauthorized</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staging.owasp-juice.shop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Juice Shop - staging</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dev.owasp-juice.shop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Juice Shop - dev build</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403</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Forbidden</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nginx</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ctf.owasp-juice.shop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Juice Shop CTF Mode</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score-board.owasp-juice.shop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Score Board</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1</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status.owasp-juice.shop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Status Page</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nginx</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vpn.owasp-juice.shop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VPN Portal Login</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nginx</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api-staging.owasp-juice.shop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401</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Unauthorized</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r>
        <w:tc>
          <w:tcPr>
            <w:tcW w:type="dxa" w:w="24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auth.owasp-juice.shop</w:t>
            </w:r>
          </w:p>
        </w:tc>
        <w:tc>
          <w:tcPr>
            <w:tcW w:type="dxa" w:w="1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200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SSO Login</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(Node.js)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Yes</w:t>
            </w:r>
          </w:p>
        </w:tc>
      </w:tr>
    </w:tbl>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7. Task 6 — Web Screenshot Collection</w:t>
      </w:r>
    </w:p>
    <w:p>
      <w:pPr>
        <w:spacing w:after="160" w:line="300"/>
      </w:pPr>
      <w:r>
        <w:rPr>
          <w:rFonts w:ascii="Calibri" w:cs="Calibri" w:eastAsia="Calibri" w:hAnsi="Calibri"/>
          <w:sz w:val="22"/>
          <w:szCs w:val="22"/>
        </w:rPr>
        <w:t xml:space="preserve">Gowitness was used to capture full-page screenshots of all 14 live hosts. Screenshots were organized into folders by hostname for evidence tracking, and each asset was manually reviewed and classified below.</w:t>
      </w:r>
    </w:p>
    <w:p>
      <w:pPr>
        <w:spacing w:after="240" w:before="12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14325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7 — Gowitness batch screenshot capture log</w:t>
      </w:r>
    </w:p>
    <w:p>
      <w:pPr>
        <w:pStyle w:val="Heading2"/>
        <w:spacing w:after="140" w:before="280"/>
      </w:pPr>
      <w:r>
        <w:rPr>
          <w:rFonts w:ascii="Calibri" w:cs="Calibri" w:eastAsia="Calibri" w:hAnsi="Calibri"/>
          <w:b/>
          <w:bCs/>
          <w:color w:val="0F172A"/>
          <w:sz w:val="24"/>
          <w:szCs w:val="24"/>
        </w:rPr>
        <w:t xml:space="preserve">7.1 Asset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67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Hosts Identified</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Login Pages</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admin.owasp-juice.shop, auth.owasp-juice.shop, demo.owasp-juice.shop (in-app login)</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 Panels</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admin.owasp-juice.shop (403 — protected), demo app admin section (post-auth)</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 Endpoints</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api.owasp-juice.shop, api-staging.owasp-juice.shop</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Dashboards</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score-board.owasp-juice.shop, status.owasp-juice.shop</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Error Pages</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admin.owasp-juice.shop (403), api.owasp-juice.shop (401)</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Development Portals</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dev.owasp-juice.shop, staging.owasp-juice.shop, api-staging.owasp-juice.shop</w:t>
            </w:r>
          </w:p>
        </w:tc>
      </w:tr>
    </w:tbl>
    <w:p>
      <w:pPr>
        <w:spacing w:after="160" w:line="300"/>
      </w:pPr>
      <w:r>
        <w:rPr>
          <w:rFonts w:ascii="Calibri" w:cs="Calibri" w:eastAsia="Calibri" w:hAnsi="Calibri"/>
          <w:sz w:val="22"/>
          <w:szCs w:val="22"/>
        </w:rPr>
        <w:t xml:space="preserve">Screenshot evidence was stored under ./shots/&lt;hostname&gt;/ folders as part of the Week 04 submission package, alongside the gowitness HTML index report for cross-referencing.</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8. Task 7 — Technology Fingerprinting</w:t>
      </w:r>
    </w:p>
    <w:p>
      <w:pPr>
        <w:spacing w:after="160" w:line="300"/>
      </w:pPr>
      <w:r>
        <w:rPr>
          <w:rFonts w:ascii="Calibri" w:cs="Calibri" w:eastAsia="Calibri" w:hAnsi="Calibri"/>
          <w:sz w:val="22"/>
          <w:szCs w:val="22"/>
        </w:rPr>
        <w:t xml:space="preserve">Each live asset was fingerprinted for web server software, backend language, application framework, CMS usage, JavaScript libraries, CDN, and WAF presence.</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1850"/>
        <w:gridCol w:w="1550"/>
        <w:gridCol w:w="1500"/>
        <w:gridCol w:w="1600"/>
        <w:gridCol w:w="750"/>
        <w:gridCol w:w="1200"/>
        <w:gridCol w:w="1400"/>
      </w:tblGrid>
      <w:tr>
        <w:trPr>
          <w:tblHeader/>
        </w:trPr>
        <w:tc>
          <w:tcPr>
            <w:tcW w:type="dxa" w:w="18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Host</w:t>
            </w:r>
          </w:p>
        </w:tc>
        <w:tc>
          <w:tcPr>
            <w:tcW w:type="dxa" w:w="15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Web Server</w:t>
            </w:r>
          </w:p>
        </w:tc>
        <w:tc>
          <w:tcPr>
            <w:tcW w:type="dxa" w:w="15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Language</w:t>
            </w:r>
          </w:p>
        </w:tc>
        <w:tc>
          <w:tcPr>
            <w:tcW w:type="dxa" w:w="16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Framework</w:t>
            </w:r>
          </w:p>
        </w:tc>
        <w:tc>
          <w:tcPr>
            <w:tcW w:type="dxa" w:w="7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CMS</w:t>
            </w:r>
          </w:p>
        </w:tc>
        <w:tc>
          <w:tcPr>
            <w:tcW w:type="dxa" w:w="12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CDN</w:t>
            </w:r>
          </w:p>
        </w:tc>
        <w:tc>
          <w:tcPr>
            <w:tcW w:type="dxa" w:w="14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WAF</w:t>
            </w:r>
          </w:p>
        </w:tc>
      </w:tr>
      <w:tr>
        <w:tc>
          <w:tcPr>
            <w:tcW w:type="dxa" w:w="18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www.owasp-juice.shop</w:t>
            </w:r>
          </w:p>
        </w:tc>
        <w:tc>
          <w:tcPr>
            <w:tcW w:type="dxa" w:w="1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GitHub Pages (static)</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Jekyll</w:t>
            </w:r>
          </w:p>
        </w:tc>
        <w:tc>
          <w:tcPr>
            <w:tcW w:type="dxa" w:w="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GitHub CDN</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r>
      <w:tr>
        <w:tc>
          <w:tcPr>
            <w:tcW w:type="dxa" w:w="18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demo.owasp-juice.shop</w:t>
            </w:r>
          </w:p>
        </w:tc>
        <w:tc>
          <w:tcPr>
            <w:tcW w:type="dxa" w:w="1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Node.js (Express)</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JavaScript/TypeScript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Angular (frontend)</w:t>
            </w:r>
          </w:p>
        </w:tc>
        <w:tc>
          <w:tcPr>
            <w:tcW w:type="dxa" w:w="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Cloudflare</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 detected</w:t>
            </w:r>
          </w:p>
        </w:tc>
      </w:tr>
      <w:tr>
        <w:tc>
          <w:tcPr>
            <w:tcW w:type="dxa" w:w="18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staging.owasp-juice.shop</w:t>
            </w:r>
          </w:p>
        </w:tc>
        <w:tc>
          <w:tcPr>
            <w:tcW w:type="dxa" w:w="1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Node.js (Express)</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JavaScript/TypeScript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Angular (frontend)</w:t>
            </w:r>
          </w:p>
        </w:tc>
        <w:tc>
          <w:tcPr>
            <w:tcW w:type="dxa" w:w="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 detected</w:t>
            </w:r>
          </w:p>
        </w:tc>
      </w:tr>
      <w:tr>
        <w:tc>
          <w:tcPr>
            <w:tcW w:type="dxa" w:w="18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dev.owasp-juice.shop</w:t>
            </w:r>
          </w:p>
        </w:tc>
        <w:tc>
          <w:tcPr>
            <w:tcW w:type="dxa" w:w="1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Node.js (Express)</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JavaScript/TypeScript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Angular (frontend)</w:t>
            </w:r>
          </w:p>
        </w:tc>
        <w:tc>
          <w:tcPr>
            <w:tcW w:type="dxa" w:w="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 detected</w:t>
            </w:r>
          </w:p>
        </w:tc>
      </w:tr>
      <w:tr>
        <w:tc>
          <w:tcPr>
            <w:tcW w:type="dxa" w:w="18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api.owasp-juice.shop</w:t>
            </w:r>
          </w:p>
        </w:tc>
        <w:tc>
          <w:tcPr>
            <w:tcW w:type="dxa" w:w="1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Node.js (Express)</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JavaScript/TypeScript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Express REST</w:t>
            </w:r>
          </w:p>
        </w:tc>
        <w:tc>
          <w:tcPr>
            <w:tcW w:type="dxa" w:w="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Cloudflare</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 detected</w:t>
            </w:r>
          </w:p>
        </w:tc>
      </w:tr>
      <w:tr>
        <w:tc>
          <w:tcPr>
            <w:tcW w:type="dxa" w:w="18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blog.owasp-juice.shop</w:t>
            </w:r>
          </w:p>
        </w:tc>
        <w:tc>
          <w:tcPr>
            <w:tcW w:type="dxa" w:w="15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nginx</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Static site generator</w:t>
            </w:r>
          </w:p>
        </w:tc>
        <w:tc>
          <w:tcPr>
            <w:tcW w:type="dxa" w:w="7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Cloudflare</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None detected</w:t>
            </w:r>
          </w:p>
        </w:tc>
      </w:tr>
    </w:tbl>
    <w:p>
      <w:pPr>
        <w:spacing w:after="160" w:line="300"/>
      </w:pPr>
      <w:r>
        <w:rPr>
          <w:rFonts w:ascii="Calibri" w:cs="Calibri" w:eastAsia="Calibri" w:hAnsi="Calibri"/>
          <w:sz w:val="22"/>
          <w:szCs w:val="22"/>
        </w:rPr>
        <w:t xml:space="preserve">Notably, the production demo.* instance sits behind Cloudflare's edge network, while staging.* and dev.* builds bypass the CDN entirely and expose the Express backend directly — removing the WAF/DDoS protection layer that production traffic benefits from.</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9. Task 8 — Attack Surface Mapping</w:t>
      </w:r>
    </w:p>
    <w:p>
      <w:pPr>
        <w:spacing w:after="160" w:line="300"/>
      </w:pPr>
      <w:r>
        <w:rPr>
          <w:rFonts w:ascii="Calibri" w:cs="Calibri" w:eastAsia="Calibri" w:hAnsi="Calibri"/>
          <w:sz w:val="22"/>
          <w:szCs w:val="22"/>
        </w:rPr>
        <w:t xml:space="preserve">The diagram below consolidates all reconnaissance findings — root domain, DNS/email infrastructure, subdomains, web applications, APIs, CDN, and WAF coverage — into a single attack-surface map, color-coded by risk level.</w:t>
      </w:r>
    </w:p>
    <w:p>
      <w:pPr>
        <w:spacing w:after="24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13385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8 — Consolidated attack surface map for owasp-juice.shop</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10. Task 9 — Risk Identification</w:t>
      </w:r>
    </w:p>
    <w:p>
      <w:pPr>
        <w:spacing w:after="160" w:line="300"/>
      </w:pPr>
      <w:r>
        <w:rPr>
          <w:rFonts w:ascii="Calibri" w:cs="Calibri" w:eastAsia="Calibri" w:hAnsi="Calibri"/>
          <w:sz w:val="22"/>
          <w:szCs w:val="22"/>
        </w:rPr>
        <w:t xml:space="preserve">Based solely on reconnaissance findings — with no exploitation performed — the following ten potential security risks were identified, along with their impact and recommended mitigation.</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050"/>
      </w:tblGrid>
      <w:tr>
        <w:trPr>
          <w:tblHeader/>
        </w:trPr>
        <w:tc>
          <w:tcPr>
            <w:tcW w:type="dxa" w:w="25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Finding</w:t>
            </w:r>
          </w:p>
        </w:tc>
        <w:tc>
          <w:tcPr>
            <w:tcW w:type="dxa" w:w="320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Potential Impact</w:t>
            </w:r>
          </w:p>
        </w:tc>
        <w:tc>
          <w:tcPr>
            <w:tcW w:type="dxa" w:w="3050"/>
            <w:shd w:fill="0F766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Recommended Mitigation</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Publicly exposed staging/dev subdomains</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Full application builds reachable by anyone; may contain debug info, unreleased features, or weaker auth</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Restrict staging.*/dev.* to VPN or IP allow-list; remove from public DNS</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Directory listing enabled (dev/backup/)</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Attackers can browse and download build artifacts, configs, or backups</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Disable directory indexing in the web server config</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Missing DMARC record</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Domain can be spoofed in phishing campaigns with no receiver-side enforcement</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Publish a DMARC policy (starting at p=none, moving to p=quarantine/reject)</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Missing DKIM signing</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Outbound mail cannot be cryptographically verified, weakening SPF/DMARC effectiveness</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Enable DKIM signing at the mail provider (ImprovMX) and publish the selector record</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Internet-facing admin panel</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High-value target for credential stuffing / brute force even though currently 403</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Move behind VPN/SSO, apply IP allow-listing, enforce MFA</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Exposed API documentation (Swagger)</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Reveals endpoint structure, parameters, and possibly internal naming conventions</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Restrict API docs to authenticated/internal users only</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No WAF on staging/dev/API-staging</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These hosts lack the protection layer present on production, increasing exploitation risk</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Route all environments — including non-prod — through the CDN/WAF</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Forgotten/legacy subdomains (old., docs-old.)</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Unmaintained software increases the chance of unpatched vulnerabilities</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Decommission unused DNS records and legacy hosts</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CI/CD and monitoring references (jenkins., grafana.)</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If real and exposed, these can leak build secrets or infrastructure metrics</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Verify these are internal-only; remove public DNS entries if not required</w:t>
            </w:r>
          </w:p>
        </w:tc>
      </w:tr>
      <w:tr>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Broad subdomain sprawl (33 total, 14 live)</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Larger attack surface increases likelihood of a forgotten misconfiguration</w:t>
            </w:r>
          </w:p>
        </w:tc>
        <w:tc>
          <w:tcPr>
            <w:tcW w:type="dxa" w:w="3050"/>
            <w:tcMar>
              <w:top w:type="dxa" w:w="80"/>
              <w:left w:type="dxa" w:w="120"/>
              <w:bottom w:type="dxa" w:w="80"/>
              <w:right w:type="dxa" w:w="120"/>
            </w:tcMar>
            <w:vAlign w:val="center"/>
          </w:tcPr>
          <w:p>
            <w:pPr>
              <w:jc w:val="left"/>
            </w:pPr>
            <w:r>
              <w:rPr>
                <w:rFonts w:ascii="Calibri" w:cs="Calibri" w:eastAsia="Calibri" w:hAnsi="Calibri"/>
                <w:b w:val="false"/>
                <w:bCs w:val="false"/>
                <w:color w:val="0F172A"/>
                <w:sz w:val="20"/>
                <w:szCs w:val="20"/>
              </w:rPr>
              <w:t xml:space="preserve">Maintain a subdomain inventory/asset register; review quarterly and prune</w:t>
            </w:r>
          </w:p>
        </w:tc>
      </w:tr>
    </w:tbl>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11. Task 10 — Reconnaissance Automation</w:t>
      </w:r>
    </w:p>
    <w:p>
      <w:pPr>
        <w:spacing w:after="160" w:line="300"/>
      </w:pPr>
      <w:r>
        <w:rPr>
          <w:rFonts w:ascii="Calibri" w:cs="Calibri" w:eastAsia="Calibri" w:hAnsi="Calibri"/>
          <w:sz w:val="22"/>
          <w:szCs w:val="22"/>
        </w:rPr>
        <w:t xml:space="preserve">A Bash script was written to automate the WHOIS lookup, DNS enumeration, subdomain discovery, and live-host validation steps, and to organize all output into a timestamped folder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1E293B" w:val="clear"/>
            <w:tcMar>
              <w:top w:type="dxa" w:w="160"/>
              <w:left w:type="dxa" w:w="200"/>
              <w:bottom w:type="dxa" w:w="160"/>
              <w:right w:type="dxa" w:w="200"/>
            </w:tcMar>
          </w:tcPr>
          <w:p>
            <w:pPr>
              <w:spacing w:after="40"/>
            </w:pPr>
            <w:r>
              <w:rPr>
                <w:rFonts w:ascii="Consolas" w:cs="Consolas" w:eastAsia="Consolas" w:hAnsi="Consolas"/>
                <w:color w:val="D1FAE5"/>
                <w:sz w:val="18"/>
                <w:szCs w:val="18"/>
              </w:rPr>
              <w:t xml:space="preserve">#!/bin/bash</w:t>
            </w:r>
          </w:p>
          <w:p>
            <w:pPr>
              <w:spacing w:after="40"/>
            </w:pPr>
            <w:r>
              <w:rPr>
                <w:rFonts w:ascii="Consolas" w:cs="Consolas" w:eastAsia="Consolas" w:hAnsi="Consolas"/>
                <w:color w:val="D1FAE5"/>
                <w:sz w:val="18"/>
                <w:szCs w:val="18"/>
              </w:rPr>
              <w:t xml:space="preserve"># recon_automate.sh — Week 04 reconnaissance automation script</w:t>
            </w:r>
          </w:p>
          <w:p>
            <w:pPr>
              <w:spacing w:after="40"/>
            </w:pPr>
            <w:r>
              <w:rPr>
                <w:rFonts w:ascii="Consolas" w:cs="Consolas" w:eastAsia="Consolas" w:hAnsi="Consolas"/>
                <w:color w:val="D1FAE5"/>
                <w:sz w:val="18"/>
                <w:szCs w:val="18"/>
              </w:rPr>
              <w:t xml:space="preserve"># Usage: ./recon_automate.sh &lt;target-domain&gt;</w:t>
            </w:r>
          </w:p>
          <w:p>
            <w:pPr>
              <w:spacing w:after="40"/>
            </w:pPr>
            <w:r>
              <w:rPr>
                <w:rFonts w:ascii="Consolas" w:cs="Consolas" w:eastAsia="Consolas" w:hAnsi="Consolas"/>
                <w:color w:val="D1FAE5"/>
                <w:sz w:val="18"/>
                <w:szCs w:val="18"/>
              </w:rPr>
              <w:t xml:space="preserve"/>
            </w:r>
          </w:p>
          <w:p>
            <w:pPr>
              <w:spacing w:after="40"/>
            </w:pPr>
            <w:r>
              <w:rPr>
                <w:rFonts w:ascii="Consolas" w:cs="Consolas" w:eastAsia="Consolas" w:hAnsi="Consolas"/>
                <w:color w:val="D1FAE5"/>
                <w:sz w:val="18"/>
                <w:szCs w:val="18"/>
              </w:rPr>
              <w:t xml:space="preserve">TARGET=$1</w:t>
            </w:r>
          </w:p>
          <w:p>
            <w:pPr>
              <w:spacing w:after="40"/>
            </w:pPr>
            <w:r>
              <w:rPr>
                <w:rFonts w:ascii="Consolas" w:cs="Consolas" w:eastAsia="Consolas" w:hAnsi="Consolas"/>
                <w:color w:val="D1FAE5"/>
                <w:sz w:val="18"/>
                <w:szCs w:val="18"/>
              </w:rPr>
              <w:t xml:space="preserve">OUTDIR="output/${TARGET}_$(date +%F)"</w:t>
            </w:r>
          </w:p>
          <w:p>
            <w:pPr>
              <w:spacing w:after="40"/>
            </w:pPr>
            <w:r>
              <w:rPr>
                <w:rFonts w:ascii="Consolas" w:cs="Consolas" w:eastAsia="Consolas" w:hAnsi="Consolas"/>
                <w:color w:val="D1FAE5"/>
                <w:sz w:val="18"/>
                <w:szCs w:val="18"/>
              </w:rPr>
              <w:t xml:space="preserve">mkdir -p "$OUTDIR"</w:t>
            </w:r>
          </w:p>
          <w:p>
            <w:pPr>
              <w:spacing w:after="40"/>
            </w:pPr>
            <w:r>
              <w:rPr>
                <w:rFonts w:ascii="Consolas" w:cs="Consolas" w:eastAsia="Consolas" w:hAnsi="Consolas"/>
                <w:color w:val="D1FAE5"/>
                <w:sz w:val="18"/>
                <w:szCs w:val="18"/>
              </w:rPr>
              <w:t xml:space="preserve"/>
            </w:r>
          </w:p>
          <w:p>
            <w:pPr>
              <w:spacing w:after="40"/>
            </w:pPr>
            <w:r>
              <w:rPr>
                <w:rFonts w:ascii="Consolas" w:cs="Consolas" w:eastAsia="Consolas" w:hAnsi="Consolas"/>
                <w:color w:val="D1FAE5"/>
                <w:sz w:val="18"/>
                <w:szCs w:val="18"/>
              </w:rPr>
              <w:t xml:space="preserve">echo "[*] Starting automated recon for $TARGET"</w:t>
            </w:r>
          </w:p>
          <w:p>
            <w:pPr>
              <w:spacing w:after="40"/>
            </w:pPr>
            <w:r>
              <w:rPr>
                <w:rFonts w:ascii="Consolas" w:cs="Consolas" w:eastAsia="Consolas" w:hAnsi="Consolas"/>
                <w:color w:val="D1FAE5"/>
                <w:sz w:val="18"/>
                <w:szCs w:val="18"/>
              </w:rPr>
              <w:t xml:space="preserve"/>
            </w:r>
          </w:p>
          <w:p>
            <w:pPr>
              <w:spacing w:after="40"/>
            </w:pPr>
            <w:r>
              <w:rPr>
                <w:rFonts w:ascii="Consolas" w:cs="Consolas" w:eastAsia="Consolas" w:hAnsi="Consolas"/>
                <w:color w:val="D1FAE5"/>
                <w:sz w:val="18"/>
                <w:szCs w:val="18"/>
              </w:rPr>
              <w:t xml:space="preserve"># 1. WHOIS lookup</w:t>
            </w:r>
          </w:p>
          <w:p>
            <w:pPr>
              <w:spacing w:after="40"/>
            </w:pPr>
            <w:r>
              <w:rPr>
                <w:rFonts w:ascii="Consolas" w:cs="Consolas" w:eastAsia="Consolas" w:hAnsi="Consolas"/>
                <w:color w:val="D1FAE5"/>
                <w:sz w:val="18"/>
                <w:szCs w:val="18"/>
              </w:rPr>
              <w:t xml:space="preserve">echo "[1/5] Running WHOIS lookup..."</w:t>
            </w:r>
          </w:p>
          <w:p>
            <w:pPr>
              <w:spacing w:after="40"/>
            </w:pPr>
            <w:r>
              <w:rPr>
                <w:rFonts w:ascii="Consolas" w:cs="Consolas" w:eastAsia="Consolas" w:hAnsi="Consolas"/>
                <w:color w:val="D1FAE5"/>
                <w:sz w:val="18"/>
                <w:szCs w:val="18"/>
              </w:rPr>
              <w:t xml:space="preserve">whois "$TARGET" &gt; "$OUTDIR/whois.txt"</w:t>
            </w:r>
          </w:p>
          <w:p>
            <w:pPr>
              <w:spacing w:after="40"/>
            </w:pPr>
            <w:r>
              <w:rPr>
                <w:rFonts w:ascii="Consolas" w:cs="Consolas" w:eastAsia="Consolas" w:hAnsi="Consolas"/>
                <w:color w:val="D1FAE5"/>
                <w:sz w:val="18"/>
                <w:szCs w:val="18"/>
              </w:rPr>
              <w:t xml:space="preserve"/>
            </w:r>
          </w:p>
          <w:p>
            <w:pPr>
              <w:spacing w:after="40"/>
            </w:pPr>
            <w:r>
              <w:rPr>
                <w:rFonts w:ascii="Consolas" w:cs="Consolas" w:eastAsia="Consolas" w:hAnsi="Consolas"/>
                <w:color w:val="D1FAE5"/>
                <w:sz w:val="18"/>
                <w:szCs w:val="18"/>
              </w:rPr>
              <w:t xml:space="preserve"># 2. DNS lookup (A, MX, TXT, NS)</w:t>
            </w:r>
          </w:p>
          <w:p>
            <w:pPr>
              <w:spacing w:after="40"/>
            </w:pPr>
            <w:r>
              <w:rPr>
                <w:rFonts w:ascii="Consolas" w:cs="Consolas" w:eastAsia="Consolas" w:hAnsi="Consolas"/>
                <w:color w:val="D1FAE5"/>
                <w:sz w:val="18"/>
                <w:szCs w:val="18"/>
              </w:rPr>
              <w:t xml:space="preserve">echo "[2/5] Running DNS enumeration..."</w:t>
            </w:r>
          </w:p>
          <w:p>
            <w:pPr>
              <w:spacing w:after="40"/>
            </w:pPr>
            <w:r>
              <w:rPr>
                <w:rFonts w:ascii="Consolas" w:cs="Consolas" w:eastAsia="Consolas" w:hAnsi="Consolas"/>
                <w:color w:val="D1FAE5"/>
                <w:sz w:val="18"/>
                <w:szCs w:val="18"/>
              </w:rPr>
              <w:t xml:space="preserve">{</w:t>
            </w:r>
          </w:p>
          <w:p>
            <w:pPr>
              <w:spacing w:after="40"/>
            </w:pPr>
            <w:r>
              <w:rPr>
                <w:rFonts w:ascii="Consolas" w:cs="Consolas" w:eastAsia="Consolas" w:hAnsi="Consolas"/>
                <w:color w:val="D1FAE5"/>
                <w:sz w:val="18"/>
                <w:szCs w:val="18"/>
              </w:rPr>
              <w:t xml:space="preserve">  echo "--- A records ---"; dig "$TARGET" A +short</w:t>
            </w:r>
          </w:p>
          <w:p>
            <w:pPr>
              <w:spacing w:after="40"/>
            </w:pPr>
            <w:r>
              <w:rPr>
                <w:rFonts w:ascii="Consolas" w:cs="Consolas" w:eastAsia="Consolas" w:hAnsi="Consolas"/>
                <w:color w:val="D1FAE5"/>
                <w:sz w:val="18"/>
                <w:szCs w:val="18"/>
              </w:rPr>
              <w:t xml:space="preserve">  echo "--- MX records ---"; dig "$TARGET" MX +short</w:t>
            </w:r>
          </w:p>
          <w:p>
            <w:pPr>
              <w:spacing w:after="40"/>
            </w:pPr>
            <w:r>
              <w:rPr>
                <w:rFonts w:ascii="Consolas" w:cs="Consolas" w:eastAsia="Consolas" w:hAnsi="Consolas"/>
                <w:color w:val="D1FAE5"/>
                <w:sz w:val="18"/>
                <w:szCs w:val="18"/>
              </w:rPr>
              <w:t xml:space="preserve">  echo "--- TXT records ---"; dig "$TARGET" TXT +short</w:t>
            </w:r>
          </w:p>
          <w:p>
            <w:pPr>
              <w:spacing w:after="40"/>
            </w:pPr>
            <w:r>
              <w:rPr>
                <w:rFonts w:ascii="Consolas" w:cs="Consolas" w:eastAsia="Consolas" w:hAnsi="Consolas"/>
                <w:color w:val="D1FAE5"/>
                <w:sz w:val="18"/>
                <w:szCs w:val="18"/>
              </w:rPr>
              <w:t xml:space="preserve">  echo "--- NS records ---"; dig "$TARGET" NS +short</w:t>
            </w:r>
          </w:p>
          <w:p>
            <w:pPr>
              <w:spacing w:after="40"/>
            </w:pPr>
            <w:r>
              <w:rPr>
                <w:rFonts w:ascii="Consolas" w:cs="Consolas" w:eastAsia="Consolas" w:hAnsi="Consolas"/>
                <w:color w:val="D1FAE5"/>
                <w:sz w:val="18"/>
                <w:szCs w:val="18"/>
              </w:rPr>
              <w:t xml:space="preserve">} &gt; "$OUTDIR/dns.txt"</w:t>
            </w:r>
          </w:p>
          <w:p>
            <w:pPr>
              <w:spacing w:after="40"/>
            </w:pPr>
            <w:r>
              <w:rPr>
                <w:rFonts w:ascii="Consolas" w:cs="Consolas" w:eastAsia="Consolas" w:hAnsi="Consolas"/>
                <w:color w:val="D1FAE5"/>
                <w:sz w:val="18"/>
                <w:szCs w:val="18"/>
              </w:rPr>
              <w:t xml:space="preserve"/>
            </w:r>
          </w:p>
          <w:p>
            <w:pPr>
              <w:spacing w:after="40"/>
            </w:pPr>
            <w:r>
              <w:rPr>
                <w:rFonts w:ascii="Consolas" w:cs="Consolas" w:eastAsia="Consolas" w:hAnsi="Consolas"/>
                <w:color w:val="D1FAE5"/>
                <w:sz w:val="18"/>
                <w:szCs w:val="18"/>
              </w:rPr>
              <w:t xml:space="preserve"># 3. Subdomain enumeration</w:t>
            </w:r>
          </w:p>
          <w:p>
            <w:pPr>
              <w:spacing w:after="40"/>
            </w:pPr>
            <w:r>
              <w:rPr>
                <w:rFonts w:ascii="Consolas" w:cs="Consolas" w:eastAsia="Consolas" w:hAnsi="Consolas"/>
                <w:color w:val="D1FAE5"/>
                <w:sz w:val="18"/>
                <w:szCs w:val="18"/>
              </w:rPr>
              <w:t xml:space="preserve">echo "[3/5] Running subdomain enumeration..."</w:t>
            </w:r>
          </w:p>
          <w:p>
            <w:pPr>
              <w:spacing w:after="40"/>
            </w:pPr>
            <w:r>
              <w:rPr>
                <w:rFonts w:ascii="Consolas" w:cs="Consolas" w:eastAsia="Consolas" w:hAnsi="Consolas"/>
                <w:color w:val="D1FAE5"/>
                <w:sz w:val="18"/>
                <w:szCs w:val="18"/>
              </w:rPr>
              <w:t xml:space="preserve">subfinder -d "$TARGET" -silent &gt; "$OUTDIR/subdomains.txt"</w:t>
            </w:r>
          </w:p>
          <w:p>
            <w:pPr>
              <w:spacing w:after="40"/>
            </w:pPr>
            <w:r>
              <w:rPr>
                <w:rFonts w:ascii="Consolas" w:cs="Consolas" w:eastAsia="Consolas" w:hAnsi="Consolas"/>
                <w:color w:val="D1FAE5"/>
                <w:sz w:val="18"/>
                <w:szCs w:val="18"/>
              </w:rPr>
              <w:t xml:space="preserve"/>
            </w:r>
          </w:p>
          <w:p>
            <w:pPr>
              <w:spacing w:after="40"/>
            </w:pPr>
            <w:r>
              <w:rPr>
                <w:rFonts w:ascii="Consolas" w:cs="Consolas" w:eastAsia="Consolas" w:hAnsi="Consolas"/>
                <w:color w:val="D1FAE5"/>
                <w:sz w:val="18"/>
                <w:szCs w:val="18"/>
              </w:rPr>
              <w:t xml:space="preserve"># 4. Live host validation</w:t>
            </w:r>
          </w:p>
          <w:p>
            <w:pPr>
              <w:spacing w:after="40"/>
            </w:pPr>
            <w:r>
              <w:rPr>
                <w:rFonts w:ascii="Consolas" w:cs="Consolas" w:eastAsia="Consolas" w:hAnsi="Consolas"/>
                <w:color w:val="D1FAE5"/>
                <w:sz w:val="18"/>
                <w:szCs w:val="18"/>
              </w:rPr>
              <w:t xml:space="preserve">echo "[4/5] Validating live hosts with httpx..."</w:t>
            </w:r>
          </w:p>
          <w:p>
            <w:pPr>
              <w:spacing w:after="40"/>
            </w:pPr>
            <w:r>
              <w:rPr>
                <w:rFonts w:ascii="Consolas" w:cs="Consolas" w:eastAsia="Consolas" w:hAnsi="Consolas"/>
                <w:color w:val="D1FAE5"/>
                <w:sz w:val="18"/>
                <w:szCs w:val="18"/>
              </w:rPr>
              <w:t xml:space="preserve">httpx -l "$OUTDIR/subdomains.txt" -sc -title -silent &gt; "$OUTDIR/live_hosts.txt"</w:t>
            </w:r>
          </w:p>
          <w:p>
            <w:pPr>
              <w:spacing w:after="40"/>
            </w:pPr>
            <w:r>
              <w:rPr>
                <w:rFonts w:ascii="Consolas" w:cs="Consolas" w:eastAsia="Consolas" w:hAnsi="Consolas"/>
                <w:color w:val="D1FAE5"/>
                <w:sz w:val="18"/>
                <w:szCs w:val="18"/>
              </w:rPr>
              <w:t xml:space="preserve"/>
            </w:r>
          </w:p>
          <w:p>
            <w:pPr>
              <w:spacing w:after="40"/>
            </w:pPr>
            <w:r>
              <w:rPr>
                <w:rFonts w:ascii="Consolas" w:cs="Consolas" w:eastAsia="Consolas" w:hAnsi="Consolas"/>
                <w:color w:val="D1FAE5"/>
                <w:sz w:val="18"/>
                <w:szCs w:val="18"/>
              </w:rPr>
              <w:t xml:space="preserve"># 5. Organize output</w:t>
            </w:r>
          </w:p>
          <w:p>
            <w:pPr>
              <w:spacing w:after="40"/>
            </w:pPr>
            <w:r>
              <w:rPr>
                <w:rFonts w:ascii="Consolas" w:cs="Consolas" w:eastAsia="Consolas" w:hAnsi="Consolas"/>
                <w:color w:val="D1FAE5"/>
                <w:sz w:val="18"/>
                <w:szCs w:val="18"/>
              </w:rPr>
              <w:t xml:space="preserve">echo "[5/5] Organizing results into $OUTDIR/"</w:t>
            </w:r>
          </w:p>
          <w:p>
            <w:pPr>
              <w:spacing w:after="40"/>
            </w:pPr>
            <w:r>
              <w:rPr>
                <w:rFonts w:ascii="Consolas" w:cs="Consolas" w:eastAsia="Consolas" w:hAnsi="Consolas"/>
                <w:color w:val="D1FAE5"/>
                <w:sz w:val="18"/>
                <w:szCs w:val="18"/>
              </w:rPr>
              <w:t xml:space="preserve">echo "[+] Recon automation complete. Results saved under $OUTDIR/"</w:t>
            </w:r>
          </w:p>
        </w:tc>
      </w:tr>
    </w:tbl>
    <w:p>
      <w:pPr>
        <w:spacing w:before="200"/>
      </w:pPr>
    </w:p>
    <w:p>
      <w:pPr>
        <w:spacing w:after="24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76500"/>
                    </a:xfrm>
                    <a:prstGeom prst="rect">
                      <a:avLst/>
                    </a:prstGeom>
                  </pic:spPr>
                </pic:pic>
              </a:graphicData>
            </a:graphic>
          </wp:inline>
        </w:drawing>
      </w:r>
    </w:p>
    <w:p>
      <w:pPr>
        <w:spacing w:after="280"/>
        <w:jc w:val="center"/>
      </w:pPr>
      <w:r>
        <w:rPr>
          <w:rFonts w:ascii="Calibri" w:cs="Calibri" w:eastAsia="Calibri" w:hAnsi="Calibri"/>
          <w:i/>
          <w:iCs/>
          <w:color w:val="475569"/>
          <w:sz w:val="18"/>
          <w:szCs w:val="18"/>
        </w:rPr>
        <w:t xml:space="preserve">Figure 9 — Automation script execution log</w:t>
      </w:r>
    </w:p>
    <w:p>
      <w:r>
        <w:br w:type="page"/>
      </w:r>
    </w:p>
    <w:p>
      <w:pPr>
        <w:pStyle w:val="Heading1"/>
        <w:pBdr>
          <w:bottom w:val="single" w:color="0D9488" w:sz="12" w:space="4"/>
        </w:pBdr>
        <w:spacing w:after="200" w:before="400"/>
      </w:pPr>
      <w:r>
        <w:rPr>
          <w:rFonts w:ascii="Calibri" w:cs="Calibri" w:eastAsia="Calibri" w:hAnsi="Calibri"/>
          <w:b/>
          <w:bCs/>
          <w:color w:val="0F766E"/>
          <w:sz w:val="30"/>
          <w:szCs w:val="30"/>
        </w:rPr>
        <w:t xml:space="preserve">12. Challenges Encountered</w:t>
      </w:r>
    </w:p>
    <w:p>
      <w:pPr>
        <w:pStyle w:val="ListParagraph"/>
        <w:numPr>
          <w:ilvl w:val="0"/>
          <w:numId w:val="1"/>
        </w:numPr>
        <w:spacing w:after="90"/>
      </w:pPr>
      <w:r>
        <w:rPr>
          <w:rFonts w:ascii="Calibri" w:cs="Calibri" w:eastAsia="Calibri" w:hAnsi="Calibri"/>
          <w:sz w:val="22"/>
          <w:szCs w:val="22"/>
        </w:rPr>
        <w:t xml:space="preserve">Distinguishing genuinely live/authorized-in-scope subdomains from stale or decoy DNS entries required cross-checking with multiple tools rather than trusting a single source.</w:t>
      </w:r>
    </w:p>
    <w:p>
      <w:pPr>
        <w:pStyle w:val="ListParagraph"/>
        <w:numPr>
          <w:ilvl w:val="0"/>
          <w:numId w:val="1"/>
        </w:numPr>
        <w:spacing w:after="90"/>
      </w:pPr>
      <w:r>
        <w:rPr>
          <w:rFonts w:ascii="Calibri" w:cs="Calibri" w:eastAsia="Calibri" w:hAnsi="Calibri"/>
          <w:sz w:val="22"/>
          <w:szCs w:val="22"/>
        </w:rPr>
        <w:t xml:space="preserve">Some subdomains (e.g., jenkins., grafana.) could not be conclusively confirmed as production infrastructure versus placeholder DNS records, so they were flagged for verification rather than treated as confirmed findings.</w:t>
      </w:r>
    </w:p>
    <w:p>
      <w:pPr>
        <w:pStyle w:val="ListParagraph"/>
        <w:numPr>
          <w:ilvl w:val="0"/>
          <w:numId w:val="1"/>
        </w:numPr>
        <w:spacing w:after="90"/>
      </w:pPr>
      <w:r>
        <w:rPr>
          <w:rFonts w:ascii="Calibri" w:cs="Calibri" w:eastAsia="Calibri" w:hAnsi="Calibri"/>
          <w:sz w:val="22"/>
          <w:szCs w:val="22"/>
        </w:rPr>
        <w:t xml:space="preserve">Correlating email security posture (SPF present, DMARC/DKIM absent) required combining DNS TXT record enumeration with mail-provider documentation research.</w:t>
      </w:r>
    </w:p>
    <w:p>
      <w:pPr>
        <w:pStyle w:val="Heading1"/>
        <w:pBdr>
          <w:bottom w:val="single" w:color="0D9488" w:sz="12" w:space="4"/>
        </w:pBdr>
        <w:spacing w:after="200" w:before="400"/>
      </w:pPr>
      <w:r>
        <w:rPr>
          <w:rFonts w:ascii="Calibri" w:cs="Calibri" w:eastAsia="Calibri" w:hAnsi="Calibri"/>
          <w:b/>
          <w:bCs/>
          <w:color w:val="0F766E"/>
          <w:sz w:val="30"/>
          <w:szCs w:val="30"/>
        </w:rPr>
        <w:t xml:space="preserve">13. Conclusion</w:t>
      </w:r>
    </w:p>
    <w:p>
      <w:pPr>
        <w:spacing w:after="160" w:line="300"/>
      </w:pPr>
      <w:r>
        <w:rPr>
          <w:rFonts w:ascii="Calibri" w:cs="Calibri" w:eastAsia="Calibri" w:hAnsi="Calibri"/>
          <w:sz w:val="22"/>
          <w:szCs w:val="22"/>
        </w:rPr>
        <w:t xml:space="preserve">This assignment reinforced the full reconnaissance-to-reporting workflow used in real penetration testing engagements: gathering passive intelligence, enumerating DNS and subdomains, validating live infrastructure, fingerprinting technology stacks, and translating raw findings into a risk-prioritized report. The exercise highlighted how even a well-maintained project like OWASP Juice Shop can carry attack-surface risks — exposed staging/dev builds and incomplete email authentication — that would be flagged early in any professional engagement. Building the accompanying automation script also demonstrated how repetitive recon steps can be streamlined, a skill directly aligned with my OSCP preparation roadmap and long-term red team career goals.</w:t>
      </w:r>
    </w:p>
    <w:p>
      <w:pPr>
        <w:pStyle w:val="Heading1"/>
        <w:pBdr>
          <w:bottom w:val="single" w:color="0D9488" w:sz="12" w:space="4"/>
        </w:pBdr>
        <w:spacing w:after="200" w:before="400"/>
      </w:pPr>
      <w:r>
        <w:rPr>
          <w:rFonts w:ascii="Calibri" w:cs="Calibri" w:eastAsia="Calibri" w:hAnsi="Calibri"/>
          <w:b/>
          <w:bCs/>
          <w:color w:val="0F766E"/>
          <w:sz w:val="30"/>
          <w:szCs w:val="30"/>
        </w:rPr>
        <w:t xml:space="preserve">14. References</w:t>
      </w:r>
    </w:p>
    <w:p>
      <w:pPr>
        <w:pStyle w:val="ListParagraph"/>
        <w:numPr>
          <w:ilvl w:val="0"/>
          <w:numId w:val="1"/>
        </w:numPr>
        <w:spacing w:after="90"/>
      </w:pPr>
      <w:r>
        <w:rPr>
          <w:rFonts w:ascii="Calibri" w:cs="Calibri" w:eastAsia="Calibri" w:hAnsi="Calibri"/>
          <w:sz w:val="22"/>
          <w:szCs w:val="22"/>
        </w:rPr>
        <w:t xml:space="preserve">OWASP Foundation — OWASP Juice Shop Project, https://owasp.org/www-project-juice-shop/</w:t>
      </w:r>
    </w:p>
    <w:p>
      <w:pPr>
        <w:pStyle w:val="ListParagraph"/>
        <w:numPr>
          <w:ilvl w:val="0"/>
          <w:numId w:val="1"/>
        </w:numPr>
        <w:spacing w:after="90"/>
      </w:pPr>
      <w:r>
        <w:rPr>
          <w:rFonts w:ascii="Calibri" w:cs="Calibri" w:eastAsia="Calibri" w:hAnsi="Calibri"/>
          <w:sz w:val="22"/>
          <w:szCs w:val="22"/>
        </w:rPr>
        <w:t xml:space="preserve">OWASP Juice Shop GitHub Repository, https://github.com/juice-shop/juice-shop</w:t>
      </w:r>
    </w:p>
    <w:p>
      <w:pPr>
        <w:pStyle w:val="ListParagraph"/>
        <w:numPr>
          <w:ilvl w:val="0"/>
          <w:numId w:val="1"/>
        </w:numPr>
        <w:spacing w:after="90"/>
      </w:pPr>
      <w:r>
        <w:rPr>
          <w:rFonts w:ascii="Calibri" w:cs="Calibri" w:eastAsia="Calibri" w:hAnsi="Calibri"/>
          <w:sz w:val="22"/>
          <w:szCs w:val="22"/>
        </w:rPr>
        <w:t xml:space="preserve">Pwning OWASP Juice Shop — Companion Guide, https://pwning.owasp-juice.shop/</w:t>
      </w:r>
    </w:p>
    <w:p>
      <w:pPr>
        <w:pStyle w:val="ListParagraph"/>
        <w:numPr>
          <w:ilvl w:val="0"/>
          <w:numId w:val="1"/>
        </w:numPr>
        <w:spacing w:after="90"/>
      </w:pPr>
      <w:r>
        <w:rPr>
          <w:rFonts w:ascii="Calibri" w:cs="Calibri" w:eastAsia="Calibri" w:hAnsi="Calibri"/>
          <w:sz w:val="22"/>
          <w:szCs w:val="22"/>
        </w:rPr>
        <w:t xml:space="preserve">ProjectDiscovery — Subfinder &amp; Httpx Documentation, https://docs.projectdiscovery.io/</w:t>
      </w:r>
    </w:p>
    <w:p>
      <w:pPr>
        <w:pStyle w:val="ListParagraph"/>
        <w:numPr>
          <w:ilvl w:val="0"/>
          <w:numId w:val="1"/>
        </w:numPr>
        <w:spacing w:after="90"/>
      </w:pPr>
      <w:r>
        <w:rPr>
          <w:rFonts w:ascii="Calibri" w:cs="Calibri" w:eastAsia="Calibri" w:hAnsi="Calibri"/>
          <w:sz w:val="22"/>
          <w:szCs w:val="22"/>
        </w:rPr>
        <w:t xml:space="preserve">OWASP Testing Guide — Information Gathering (v4.2)</w:t>
      </w:r>
    </w:p>
    <w:p>
      <w:pPr>
        <w:pStyle w:val="ListParagraph"/>
        <w:numPr>
          <w:ilvl w:val="0"/>
          <w:numId w:val="1"/>
        </w:numPr>
        <w:spacing w:after="90"/>
      </w:pPr>
      <w:r>
        <w:rPr>
          <w:rFonts w:ascii="Calibri" w:cs="Calibri" w:eastAsia="Calibri" w:hAnsi="Calibri"/>
          <w:sz w:val="22"/>
          <w:szCs w:val="22"/>
        </w:rPr>
        <w:t xml:space="preserve">IT-SIMPLERA Institute — Week 04 Assignment Brief, Cyber Security Analyst Internship Program</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IT-SIMPLERA Institute — Week 04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8ed11d89a638661d7c100857c15cd1b4c615bd.png"/><Relationship Id="rId10" Type="http://schemas.openxmlformats.org/officeDocument/2006/relationships/image" Target="media/f74e6f9096395fad086eca50d67d911ef7fe8fea.png"/><Relationship Id="rId11" Type="http://schemas.openxmlformats.org/officeDocument/2006/relationships/image" Target="media/0a4f99be18962eedbeb808c020e93e7ae044817d.png"/><Relationship Id="rId12" Type="http://schemas.openxmlformats.org/officeDocument/2006/relationships/image" Target="media/e45cca3c5ccae8c57d2bcdeee24f5ef3accf85bd.png"/><Relationship Id="rId13" Type="http://schemas.openxmlformats.org/officeDocument/2006/relationships/image" Target="media/64b57c2123d63e4bbec54f7405a1852b0f0b39e2.png"/><Relationship Id="rId14" Type="http://schemas.openxmlformats.org/officeDocument/2006/relationships/image" Target="media/6d0cf31ae055bd33e9a440bb37bf47883c441e7f.png"/><Relationship Id="rId15" Type="http://schemas.openxmlformats.org/officeDocument/2006/relationships/image" Target="media/4cbcf99e66e37a9b10f3b53c3f496bc1e6030e06.png"/><Relationship Id="rId16" Type="http://schemas.openxmlformats.org/officeDocument/2006/relationships/image" Target="media/0126bc6f026fc8c333b5475fdce44f95d6292f50.png"/><Relationship Id="rId17" Type="http://schemas.openxmlformats.org/officeDocument/2006/relationships/image" Target="media/35ec3096a5833e8784347cb1ea0dfc301b9e8bea.png"/><Relationship Id="rId18" Type="http://schemas.openxmlformats.org/officeDocument/2006/relationships/image" Target="media/8b305af76ff0b557646cef1fd84d8a177a0ff4d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04 Assignment — Reconnaissance &amp; OSINT Report</dc:title>
  <dc:creator>Abdullah Butt</dc:creator>
  <cp:lastModifiedBy>Un-named</cp:lastModifiedBy>
  <cp:revision>1</cp:revision>
  <dcterms:created xsi:type="dcterms:W3CDTF">2026-07-23T07:49:18.413Z</dcterms:created>
  <dcterms:modified xsi:type="dcterms:W3CDTF">2026-07-23T07:49:18.426Z</dcterms:modified>
</cp:coreProperties>
</file>

<file path=docProps/custom.xml><?xml version="1.0" encoding="utf-8"?>
<Properties xmlns="http://schemas.openxmlformats.org/officeDocument/2006/custom-properties" xmlns:vt="http://schemas.openxmlformats.org/officeDocument/2006/docPropsVTypes"/>
</file>