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40" w:before="300"/>
        <w:jc w:val="center"/>
      </w:pPr>
      <w:r>
        <w:rPr>
          <w:rFonts w:ascii="Calibri" w:cs="Calibri" w:eastAsia="Calibri" w:hAnsi="Calibri"/>
          <w:b/>
          <w:bCs/>
          <w:color w:val="1B2A4A"/>
          <w:sz w:val="40"/>
          <w:szCs w:val="40"/>
        </w:rPr>
        <w:t xml:space="preserve">IT-SIMPLERA SOLUTION</w:t>
      </w:r>
    </w:p>
    <w:p>
      <w:pPr>
        <w:spacing w:after="300"/>
        <w:jc w:val="center"/>
      </w:pPr>
      <w:r>
        <w:rPr>
          <w:rFonts w:ascii="Calibri" w:cs="Calibri" w:eastAsia="Calibri" w:hAnsi="Calibri"/>
          <w:i/>
          <w:iCs/>
          <w:color w:val="9C7A2E"/>
          <w:sz w:val="26"/>
          <w:szCs w:val="26"/>
        </w:rPr>
        <w:t xml:space="preserve">Cyber Security Analyst Internship Program</w:t>
      </w:r>
    </w:p>
    <w:p>
      <w:pPr>
        <w:spacing w:after="100" w:before="400"/>
        <w:jc w:val="center"/>
      </w:pPr>
      <w:r>
        <w:rPr>
          <w:rFonts w:ascii="Calibri" w:cs="Calibri" w:eastAsia="Calibri" w:hAnsi="Calibri"/>
          <w:b/>
          <w:bCs/>
          <w:color w:val="1B2A4A"/>
          <w:sz w:val="32"/>
          <w:szCs w:val="32"/>
        </w:rPr>
        <w:t xml:space="preserve">WEEK 05 — VULNERABILITY ASSESSMENT REPORT</w:t>
      </w:r>
    </w:p>
    <w:p>
      <w:pPr>
        <w:spacing w:after="500"/>
        <w:jc w:val="center"/>
      </w:pPr>
      <w:r>
        <w:rPr>
          <w:rFonts w:ascii="Calibri" w:cs="Calibri" w:eastAsia="Calibri" w:hAnsi="Calibri"/>
          <w:color w:val="595959"/>
          <w:sz w:val="22"/>
          <w:szCs w:val="22"/>
        </w:rPr>
        <w:t xml:space="preserve">Network Enumeration, Service Discovery &amp; Security Analysis</w:t>
      </w:r>
    </w:p>
    <w:p>
      <w:pPr>
        <w:spacing w:after="60" w:before="700"/>
        <w:jc w:val="center"/>
      </w:pPr>
      <w:r>
        <w:rPr>
          <w:rFonts w:ascii="Calibri" w:cs="Calibri" w:eastAsia="Calibri" w:hAnsi="Calibri"/>
          <w:b/>
          <w:bCs/>
          <w:color w:val="222222"/>
          <w:sz w:val="22"/>
          <w:szCs w:val="22"/>
        </w:rPr>
        <w:t xml:space="preserve">Prepared By:  Abdullah</w:t>
      </w:r>
    </w:p>
    <w:p>
      <w:pPr>
        <w:spacing w:after="60"/>
        <w:jc w:val="center"/>
      </w:pPr>
      <w:r>
        <w:rPr>
          <w:rFonts w:ascii="Calibri" w:cs="Calibri" w:eastAsia="Calibri" w:hAnsi="Calibri"/>
          <w:color w:val="222222"/>
          <w:sz w:val="20"/>
          <w:szCs w:val="20"/>
        </w:rPr>
        <w:t xml:space="preserve">Role:  Cyber Security Analyst Intern  |  Reg. No: REDB01-1815</w:t>
      </w:r>
    </w:p>
    <w:p>
      <w:pPr>
        <w:spacing w:after="60"/>
        <w:jc w:val="center"/>
      </w:pPr>
      <w:r>
        <w:rPr>
          <w:rFonts w:ascii="Calibri" w:cs="Calibri" w:eastAsia="Calibri" w:hAnsi="Calibri"/>
          <w:color w:val="222222"/>
          <w:sz w:val="20"/>
          <w:szCs w:val="20"/>
        </w:rPr>
        <w:t xml:space="preserve">Supervisor:  Talal Rehan, Senior Cyber Security Analyst</w:t>
      </w:r>
    </w:p>
    <w:p>
      <w:pPr>
        <w:spacing w:after="400"/>
        <w:jc w:val="center"/>
      </w:pPr>
      <w:r>
        <w:rPr>
          <w:rFonts w:ascii="Calibri" w:cs="Calibri" w:eastAsia="Calibri" w:hAnsi="Calibri"/>
          <w:color w:val="222222"/>
          <w:sz w:val="20"/>
          <w:szCs w:val="20"/>
        </w:rPr>
        <w:t xml:space="preserve">Submission Date:  31 July 2026</w:t>
      </w:r>
    </w:p>
    <w:p>
      <w:r>
        <w:br w:type="page"/>
      </w:r>
    </w:p>
    <w:p>
      <w:pPr>
        <w:spacing w:after="260"/>
      </w:pPr>
      <w:r>
        <w:rPr>
          <w:rFonts w:ascii="Calibri" w:cs="Calibri" w:eastAsia="Calibri" w:hAnsi="Calibri"/>
          <w:b/>
          <w:bCs/>
          <w:color w:val="1B2A4A"/>
          <w:sz w:val="32"/>
          <w:szCs w:val="32"/>
        </w:rPr>
        <w:t xml:space="preserve">Table of Contents</w:t>
      </w:r>
    </w:p>
    <w:p>
      <w:pPr>
        <w:pBdr>
          <w:bottom w:val="single" w:color="9C7A2E" w:sz="6" w:space="4"/>
        </w:pBdr>
        <w:spacing w:after="300"/>
      </w:pPr>
      <w:r>
        <w:t xml:space="preserve"/>
      </w:r>
    </w:p>
    <w:p>
      <w:pPr>
        <w:tabs>
          <w:tab w:val="right" w:pos="9026" w:leader="dot"/>
        </w:tabs>
        <w:spacing w:after="140"/>
      </w:pPr>
      <w:r>
        <w:rPr>
          <w:rFonts w:ascii="Calibri" w:cs="Calibri" w:eastAsia="Calibri" w:hAnsi="Calibri"/>
          <w:color w:val="222222"/>
          <w:sz w:val="22"/>
          <w:szCs w:val="22"/>
        </w:rPr>
        <w:t xml:space="preserve">1.  Introduction</w:t>
      </w:r>
      <w:r>
        <w:rPr>
          <w:rFonts w:ascii="Calibri" w:cs="Calibri" w:eastAsia="Calibri" w:hAnsi="Calibri"/>
          <w:color w:val="222222"/>
          <w:sz w:val="22"/>
          <w:szCs w:val="22"/>
        </w:rPr>
        <w:t xml:space="preserve">	3</w:t>
      </w:r>
    </w:p>
    <w:p>
      <w:pPr>
        <w:tabs>
          <w:tab w:val="right" w:pos="9026" w:leader="dot"/>
        </w:tabs>
        <w:spacing w:after="140"/>
      </w:pPr>
      <w:r>
        <w:rPr>
          <w:rFonts w:ascii="Calibri" w:cs="Calibri" w:eastAsia="Calibri" w:hAnsi="Calibri"/>
          <w:color w:val="222222"/>
          <w:sz w:val="22"/>
          <w:szCs w:val="22"/>
        </w:rPr>
        <w:t xml:space="preserve">2.  Scope</w:t>
      </w:r>
      <w:r>
        <w:rPr>
          <w:rFonts w:ascii="Calibri" w:cs="Calibri" w:eastAsia="Calibri" w:hAnsi="Calibri"/>
          <w:color w:val="222222"/>
          <w:sz w:val="22"/>
          <w:szCs w:val="22"/>
        </w:rPr>
        <w:t xml:space="preserve">	3</w:t>
      </w:r>
    </w:p>
    <w:p>
      <w:pPr>
        <w:tabs>
          <w:tab w:val="right" w:pos="9026" w:leader="dot"/>
        </w:tabs>
        <w:spacing w:after="140"/>
      </w:pPr>
      <w:r>
        <w:rPr>
          <w:rFonts w:ascii="Calibri" w:cs="Calibri" w:eastAsia="Calibri" w:hAnsi="Calibri"/>
          <w:color w:val="222222"/>
          <w:sz w:val="22"/>
          <w:szCs w:val="22"/>
        </w:rPr>
        <w:t xml:space="preserve">3.  Tools Used</w:t>
      </w:r>
      <w:r>
        <w:rPr>
          <w:rFonts w:ascii="Calibri" w:cs="Calibri" w:eastAsia="Calibri" w:hAnsi="Calibri"/>
          <w:color w:val="222222"/>
          <w:sz w:val="22"/>
          <w:szCs w:val="22"/>
        </w:rPr>
        <w:t xml:space="preserve">	3</w:t>
      </w:r>
    </w:p>
    <w:p>
      <w:pPr>
        <w:tabs>
          <w:tab w:val="right" w:pos="9026" w:leader="dot"/>
        </w:tabs>
        <w:spacing w:after="140"/>
      </w:pPr>
      <w:r>
        <w:rPr>
          <w:rFonts w:ascii="Calibri" w:cs="Calibri" w:eastAsia="Calibri" w:hAnsi="Calibri"/>
          <w:color w:val="222222"/>
          <w:sz w:val="22"/>
          <w:szCs w:val="22"/>
        </w:rPr>
        <w:t xml:space="preserve">4.  Network Topology Diagram</w:t>
      </w:r>
      <w:r>
        <w:rPr>
          <w:rFonts w:ascii="Calibri" w:cs="Calibri" w:eastAsia="Calibri" w:hAnsi="Calibri"/>
          <w:color w:val="222222"/>
          <w:sz w:val="22"/>
          <w:szCs w:val="22"/>
        </w:rPr>
        <w:t xml:space="preserve">	4</w:t>
      </w:r>
    </w:p>
    <w:p>
      <w:pPr>
        <w:tabs>
          <w:tab w:val="right" w:pos="9026" w:leader="dot"/>
        </w:tabs>
        <w:spacing w:after="140"/>
      </w:pPr>
      <w:r>
        <w:rPr>
          <w:rFonts w:ascii="Calibri" w:cs="Calibri" w:eastAsia="Calibri" w:hAnsi="Calibri"/>
          <w:color w:val="222222"/>
          <w:sz w:val="22"/>
          <w:szCs w:val="22"/>
        </w:rPr>
        <w:t xml:space="preserve">5.  Task 1 — Network Enumeration</w:t>
      </w:r>
      <w:r>
        <w:rPr>
          <w:rFonts w:ascii="Calibri" w:cs="Calibri" w:eastAsia="Calibri" w:hAnsi="Calibri"/>
          <w:color w:val="222222"/>
          <w:sz w:val="22"/>
          <w:szCs w:val="22"/>
        </w:rPr>
        <w:t xml:space="preserve">	5</w:t>
      </w:r>
    </w:p>
    <w:p>
      <w:pPr>
        <w:tabs>
          <w:tab w:val="right" w:pos="9026" w:leader="dot"/>
        </w:tabs>
        <w:spacing w:after="140"/>
      </w:pPr>
      <w:r>
        <w:rPr>
          <w:rFonts w:ascii="Calibri" w:cs="Calibri" w:eastAsia="Calibri" w:hAnsi="Calibri"/>
          <w:color w:val="222222"/>
          <w:sz w:val="22"/>
          <w:szCs w:val="22"/>
        </w:rPr>
        <w:t xml:space="preserve">6.  Task 2 — Service Enumeration</w:t>
      </w:r>
      <w:r>
        <w:rPr>
          <w:rFonts w:ascii="Calibri" w:cs="Calibri" w:eastAsia="Calibri" w:hAnsi="Calibri"/>
          <w:color w:val="222222"/>
          <w:sz w:val="22"/>
          <w:szCs w:val="22"/>
        </w:rPr>
        <w:t xml:space="preserve">	8</w:t>
      </w:r>
    </w:p>
    <w:p>
      <w:pPr>
        <w:tabs>
          <w:tab w:val="right" w:pos="9026" w:leader="dot"/>
        </w:tabs>
        <w:spacing w:after="140"/>
      </w:pPr>
      <w:r>
        <w:rPr>
          <w:rFonts w:ascii="Calibri" w:cs="Calibri" w:eastAsia="Calibri" w:hAnsi="Calibri"/>
          <w:color w:val="222222"/>
          <w:sz w:val="22"/>
          <w:szCs w:val="22"/>
        </w:rPr>
        <w:t xml:space="preserve">7.  Task 3 — Vulnerability Research (CVE Mapping)</w:t>
      </w:r>
      <w:r>
        <w:rPr>
          <w:rFonts w:ascii="Calibri" w:cs="Calibri" w:eastAsia="Calibri" w:hAnsi="Calibri"/>
          <w:color w:val="222222"/>
          <w:sz w:val="22"/>
          <w:szCs w:val="22"/>
        </w:rPr>
        <w:t xml:space="preserve">	9</w:t>
      </w:r>
    </w:p>
    <w:p>
      <w:pPr>
        <w:tabs>
          <w:tab w:val="right" w:pos="9026" w:leader="dot"/>
        </w:tabs>
        <w:spacing w:after="140"/>
      </w:pPr>
      <w:r>
        <w:rPr>
          <w:rFonts w:ascii="Calibri" w:cs="Calibri" w:eastAsia="Calibri" w:hAnsi="Calibri"/>
          <w:color w:val="222222"/>
          <w:sz w:val="22"/>
          <w:szCs w:val="22"/>
        </w:rPr>
        <w:t xml:space="preserve">8.  Task 4 — Scan Comparison</w:t>
      </w:r>
      <w:r>
        <w:rPr>
          <w:rFonts w:ascii="Calibri" w:cs="Calibri" w:eastAsia="Calibri" w:hAnsi="Calibri"/>
          <w:color w:val="222222"/>
          <w:sz w:val="22"/>
          <w:szCs w:val="22"/>
        </w:rPr>
        <w:t xml:space="preserve">	10</w:t>
      </w:r>
    </w:p>
    <w:p>
      <w:pPr>
        <w:tabs>
          <w:tab w:val="right" w:pos="9026" w:leader="dot"/>
        </w:tabs>
        <w:spacing w:after="140"/>
      </w:pPr>
      <w:r>
        <w:rPr>
          <w:rFonts w:ascii="Calibri" w:cs="Calibri" w:eastAsia="Calibri" w:hAnsi="Calibri"/>
          <w:color w:val="222222"/>
          <w:sz w:val="22"/>
          <w:szCs w:val="22"/>
        </w:rPr>
        <w:t xml:space="preserve">9.  Task 5 — Security Analysis &amp; Remediation</w:t>
      </w:r>
      <w:r>
        <w:rPr>
          <w:rFonts w:ascii="Calibri" w:cs="Calibri" w:eastAsia="Calibri" w:hAnsi="Calibri"/>
          <w:color w:val="222222"/>
          <w:sz w:val="22"/>
          <w:szCs w:val="22"/>
        </w:rPr>
        <w:t xml:space="preserve">	11</w:t>
      </w:r>
    </w:p>
    <w:p>
      <w:pPr>
        <w:tabs>
          <w:tab w:val="right" w:pos="9026" w:leader="dot"/>
        </w:tabs>
        <w:spacing w:after="140"/>
      </w:pPr>
      <w:r>
        <w:rPr>
          <w:rFonts w:ascii="Calibri" w:cs="Calibri" w:eastAsia="Calibri" w:hAnsi="Calibri"/>
          <w:color w:val="222222"/>
          <w:sz w:val="22"/>
          <w:szCs w:val="22"/>
        </w:rPr>
        <w:t xml:space="preserve">10.  Challenges Faced</w:t>
      </w:r>
      <w:r>
        <w:rPr>
          <w:rFonts w:ascii="Calibri" w:cs="Calibri" w:eastAsia="Calibri" w:hAnsi="Calibri"/>
          <w:color w:val="222222"/>
          <w:sz w:val="22"/>
          <w:szCs w:val="22"/>
        </w:rPr>
        <w:t xml:space="preserve">	12</w:t>
      </w:r>
    </w:p>
    <w:p>
      <w:pPr>
        <w:tabs>
          <w:tab w:val="right" w:pos="9026" w:leader="dot"/>
        </w:tabs>
        <w:spacing w:after="140"/>
      </w:pPr>
      <w:r>
        <w:rPr>
          <w:rFonts w:ascii="Calibri" w:cs="Calibri" w:eastAsia="Calibri" w:hAnsi="Calibri"/>
          <w:color w:val="222222"/>
          <w:sz w:val="22"/>
          <w:szCs w:val="22"/>
        </w:rPr>
        <w:t xml:space="preserve">11.  Conclusion</w:t>
      </w:r>
      <w:r>
        <w:rPr>
          <w:rFonts w:ascii="Calibri" w:cs="Calibri" w:eastAsia="Calibri" w:hAnsi="Calibri"/>
          <w:color w:val="222222"/>
          <w:sz w:val="22"/>
          <w:szCs w:val="22"/>
        </w:rPr>
        <w:t xml:space="preserve">	12</w:t>
      </w:r>
    </w:p>
    <w:p>
      <w:pPr>
        <w:tabs>
          <w:tab w:val="right" w:pos="9026" w:leader="dot"/>
        </w:tabs>
        <w:spacing w:after="140"/>
      </w:pPr>
      <w:r>
        <w:rPr>
          <w:rFonts w:ascii="Calibri" w:cs="Calibri" w:eastAsia="Calibri" w:hAnsi="Calibri"/>
          <w:color w:val="222222"/>
          <w:sz w:val="22"/>
          <w:szCs w:val="22"/>
        </w:rPr>
        <w:t xml:space="preserve">12.  References</w:t>
      </w:r>
      <w:r>
        <w:rPr>
          <w:rFonts w:ascii="Calibri" w:cs="Calibri" w:eastAsia="Calibri" w:hAnsi="Calibri"/>
          <w:color w:val="222222"/>
          <w:sz w:val="22"/>
          <w:szCs w:val="22"/>
        </w:rPr>
        <w:t xml:space="preserve">	13</w:t>
      </w:r>
    </w:p>
    <w:p>
      <w:r>
        <w:br w:type="page"/>
      </w:r>
    </w:p>
    <w:p>
      <w:pPr>
        <w:pStyle w:val="Heading1"/>
        <w:pBdr>
          <w:bottom w:val="single" w:color="9C7A2E" w:sz="6" w:space="4"/>
        </w:pBdr>
        <w:spacing w:after="160" w:before="320"/>
      </w:pPr>
      <w:r>
        <w:rPr>
          <w:rFonts w:ascii="Calibri" w:cs="Calibri" w:eastAsia="Calibri" w:hAnsi="Calibri"/>
          <w:b/>
          <w:bCs/>
          <w:color w:val="1B2A4A"/>
          <w:sz w:val="30"/>
          <w:szCs w:val="30"/>
        </w:rPr>
        <w:t xml:space="preserve">1.  Introduction</w:t>
      </w:r>
    </w:p>
    <w:p>
      <w:pPr>
        <w:spacing w:after="160" w:line="300"/>
      </w:pPr>
      <w:r>
        <w:rPr>
          <w:rFonts w:ascii="Calibri" w:cs="Calibri" w:eastAsia="Calibri" w:hAnsi="Calibri"/>
          <w:color w:val="222222"/>
          <w:sz w:val="22"/>
          <w:szCs w:val="22"/>
        </w:rPr>
        <w:t xml:space="preserve">This report documents Week 05 of the Cyber Security Analyst Internship at IT-SIMPLERA Solution, focused on network enumeration and vulnerability assessment. The goal was to move beyond basic connectivity checks and practice the same enumeration-to-remediation workflow used by SOC analysts and penetration testers: scan a target, identify what is running on it, map that to known weaknesses, and produce a defensible set of recommendations.</w:t>
      </w:r>
    </w:p>
    <w:p>
      <w:pPr>
        <w:spacing w:after="160" w:line="300"/>
      </w:pPr>
      <w:r>
        <w:rPr>
          <w:rFonts w:ascii="Calibri" w:cs="Calibri" w:eastAsia="Calibri" w:hAnsi="Calibri"/>
          <w:color w:val="222222"/>
          <w:sz w:val="22"/>
          <w:szCs w:val="22"/>
        </w:rPr>
        <w:t xml:space="preserve">All scanning in this assignment was performed against scanme.nmap.org, the host that the Nmap Project maintains specifically for the community to practice scanning against. Using this target keeps the exercise fully authorized and legal while still producing a real, internet-facing set of results to analyze.</w:t>
      </w:r>
    </w:p>
    <w:p>
      <w:pPr>
        <w:pStyle w:val="Heading1"/>
        <w:pBdr>
          <w:bottom w:val="single" w:color="9C7A2E" w:sz="6" w:space="4"/>
        </w:pBdr>
        <w:spacing w:after="160" w:before="320"/>
      </w:pPr>
      <w:r>
        <w:rPr>
          <w:rFonts w:ascii="Calibri" w:cs="Calibri" w:eastAsia="Calibri" w:hAnsi="Calibri"/>
          <w:b/>
          <w:bCs/>
          <w:color w:val="1B2A4A"/>
          <w:sz w:val="30"/>
          <w:szCs w:val="30"/>
        </w:rPr>
        <w:t xml:space="preserve">2.  Scope</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Target: scanme.nmap.org (45.33.32.156) — a public host authorized by the Nmap Project for scanning practice.</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In scope: TCP port discovery, service/version detection, OS fingerprinting, and CVE research against discovered services.</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Out of scope: exploitation, denial-of-service testing, and any UDP or authenticated scanning, per the target's usage policy.</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Assessment type: black-box, unauthenticated network vulnerability assessment.</w:t>
      </w:r>
    </w:p>
    <w:p>
      <w:pPr>
        <w:pStyle w:val="Heading1"/>
        <w:pBdr>
          <w:bottom w:val="single" w:color="9C7A2E" w:sz="6" w:space="4"/>
        </w:pBdr>
        <w:spacing w:after="160" w:before="320"/>
      </w:pPr>
      <w:r>
        <w:rPr>
          <w:rFonts w:ascii="Calibri" w:cs="Calibri" w:eastAsia="Calibri" w:hAnsi="Calibri"/>
          <w:b/>
          <w:bCs/>
          <w:color w:val="1B2A4A"/>
          <w:sz w:val="30"/>
          <w:szCs w:val="30"/>
        </w:rPr>
        <w:t xml:space="preserve">3.  Tools Used</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Nmap 7.94 — port scanning, service/version detection, OS fingerprinting, scripting engine (-A)</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Kali Linux — attacker workstation / scanning environment</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NVD / MITRE CVE database — vulnerability research and CVSS scoring</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Microsoft Word — report authoring and formatting</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Draw.io-style diagram — network topology and scan-flow visualization</w:t>
      </w:r>
    </w:p>
    <w:p>
      <w:pPr>
        <w:pStyle w:val="Heading1"/>
        <w:pBdr>
          <w:bottom w:val="single" w:color="9C7A2E" w:sz="6" w:space="4"/>
        </w:pBdr>
        <w:spacing w:after="160" w:before="320"/>
      </w:pPr>
      <w:r>
        <w:rPr>
          <w:rFonts w:ascii="Calibri" w:cs="Calibri" w:eastAsia="Calibri" w:hAnsi="Calibri"/>
          <w:b/>
          <w:bCs/>
          <w:color w:val="1B2A4A"/>
          <w:sz w:val="30"/>
          <w:szCs w:val="30"/>
        </w:rPr>
        <w:t xml:space="preserve">4.  Network Topology Diagram</w:t>
      </w:r>
    </w:p>
    <w:p>
      <w:pPr>
        <w:spacing w:after="160" w:line="300"/>
      </w:pPr>
      <w:r>
        <w:rPr>
          <w:rFonts w:ascii="Calibri" w:cs="Calibri" w:eastAsia="Calibri" w:hAnsi="Calibri"/>
          <w:color w:val="222222"/>
          <w:sz w:val="22"/>
          <w:szCs w:val="22"/>
        </w:rPr>
        <w:t xml:space="preserve">The diagram below summarizes the scan setup: the attacker workstation, the path to the target over the internet, the five scan types performed, and the ports discovered as a result.</w:t>
      </w:r>
    </w:p>
    <w:p>
      <w:pPr>
        <w:spacing w:after="40" w:before="12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24125"/>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Figure 1: Vulnerability assessment scan topology for scanme.nmap.org</w:t>
      </w:r>
    </w:p>
    <w:p>
      <w:r>
        <w:br w:type="page"/>
      </w:r>
    </w:p>
    <w:p>
      <w:pPr>
        <w:pStyle w:val="Heading1"/>
        <w:pBdr>
          <w:bottom w:val="single" w:color="9C7A2E" w:sz="6" w:space="4"/>
        </w:pBdr>
        <w:spacing w:after="160" w:before="320"/>
      </w:pPr>
      <w:r>
        <w:rPr>
          <w:rFonts w:ascii="Calibri" w:cs="Calibri" w:eastAsia="Calibri" w:hAnsi="Calibri"/>
          <w:b/>
          <w:bCs/>
          <w:color w:val="1B2A4A"/>
          <w:sz w:val="30"/>
          <w:szCs w:val="30"/>
        </w:rPr>
        <w:t xml:space="preserve">5.  Task 1 — Network Enumeration</w:t>
      </w:r>
    </w:p>
    <w:p>
      <w:pPr>
        <w:spacing w:after="160" w:line="300"/>
      </w:pPr>
      <w:r>
        <w:rPr>
          <w:rFonts w:ascii="Calibri" w:cs="Calibri" w:eastAsia="Calibri" w:hAnsi="Calibri"/>
          <w:color w:val="222222"/>
          <w:sz w:val="22"/>
          <w:szCs w:val="22"/>
        </w:rPr>
        <w:t xml:space="preserve">Five progressively deeper Nmap scans were run against the target to compare how much information each scan type reveals and at what time cost. Each scan and its terminal output is shown below.</w:t>
      </w:r>
    </w:p>
    <w:p>
      <w:pPr>
        <w:pStyle w:val="Heading2"/>
        <w:spacing w:after="120" w:before="260"/>
      </w:pPr>
      <w:r>
        <w:rPr>
          <w:rFonts w:ascii="Calibri" w:cs="Calibri" w:eastAsia="Calibri" w:hAnsi="Calibri"/>
          <w:b/>
          <w:bCs/>
          <w:color w:val="9C7A2E"/>
          <w:sz w:val="24"/>
          <w:szCs w:val="24"/>
        </w:rPr>
        <w:t xml:space="preserve">5.1  Default Scan — nmap &lt;target&gt;</w:t>
      </w:r>
    </w:p>
    <w:p>
      <w:pPr>
        <w:spacing w:after="160" w:line="300"/>
      </w:pPr>
      <w:r>
        <w:rPr>
          <w:rFonts w:ascii="Calibri" w:cs="Calibri" w:eastAsia="Calibri" w:hAnsi="Calibri"/>
          <w:color w:val="222222"/>
          <w:sz w:val="22"/>
          <w:szCs w:val="22"/>
        </w:rPr>
        <w:t xml:space="preserve">Scans the top 1,000 common TCP ports with no version or OS detection. Fastest scan; establishes baseline port state.</w:t>
      </w:r>
    </w:p>
    <w:p>
      <w:pPr>
        <w:spacing w:after="40" w:before="120"/>
        <w:jc w:val="center"/>
      </w:pPr>
      <w:r>
        <w:drawing>
          <wp:inline distT="0" distB="0" distL="0" distR="0">
            <wp:extent cx="4572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647825"/>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Screenshot 1: Default Nmap scan — 4 open ports identified in 6.42s</w:t>
      </w:r>
    </w:p>
    <w:p>
      <w:pPr>
        <w:pStyle w:val="Heading2"/>
        <w:spacing w:after="120" w:before="260"/>
      </w:pPr>
      <w:r>
        <w:rPr>
          <w:rFonts w:ascii="Calibri" w:cs="Calibri" w:eastAsia="Calibri" w:hAnsi="Calibri"/>
          <w:b/>
          <w:bCs/>
          <w:color w:val="9C7A2E"/>
          <w:sz w:val="24"/>
          <w:szCs w:val="24"/>
        </w:rPr>
        <w:t xml:space="preserve">5.2  Version Detection — nmap -sV &lt;target&gt;</w:t>
      </w:r>
    </w:p>
    <w:p>
      <w:pPr>
        <w:spacing w:after="160" w:line="300"/>
      </w:pPr>
      <w:r>
        <w:rPr>
          <w:rFonts w:ascii="Calibri" w:cs="Calibri" w:eastAsia="Calibri" w:hAnsi="Calibri"/>
          <w:color w:val="222222"/>
          <w:sz w:val="22"/>
          <w:szCs w:val="22"/>
        </w:rPr>
        <w:t xml:space="preserve">Adds banner-grabbing and version probing on each open port, revealing exact software and version strings needed for CVE mapping.</w:t>
      </w:r>
    </w:p>
    <w:p>
      <w:pPr>
        <w:spacing w:after="40" w:before="120"/>
        <w:jc w:val="center"/>
      </w:pPr>
      <w:r>
        <w:drawing>
          <wp:inline distT="0" distB="0" distL="0" distR="0">
            <wp:extent cx="4572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752600"/>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Screenshot 2: Service/version detection scan — OpenSSH 6.6.1p1 and Apache 2.4.7 identified</w:t>
      </w:r>
    </w:p>
    <w:p>
      <w:pPr>
        <w:pStyle w:val="Heading2"/>
        <w:spacing w:after="120" w:before="260"/>
      </w:pPr>
      <w:r>
        <w:rPr>
          <w:rFonts w:ascii="Calibri" w:cs="Calibri" w:eastAsia="Calibri" w:hAnsi="Calibri"/>
          <w:b/>
          <w:bCs/>
          <w:color w:val="9C7A2E"/>
          <w:sz w:val="24"/>
          <w:szCs w:val="24"/>
        </w:rPr>
        <w:t xml:space="preserve">5.3  OS Detection — nmap -O &lt;target&gt;</w:t>
      </w:r>
    </w:p>
    <w:p>
      <w:pPr>
        <w:spacing w:after="160" w:line="300"/>
      </w:pPr>
      <w:r>
        <w:rPr>
          <w:rFonts w:ascii="Calibri" w:cs="Calibri" w:eastAsia="Calibri" w:hAnsi="Calibri"/>
          <w:color w:val="222222"/>
          <w:sz w:val="22"/>
          <w:szCs w:val="22"/>
        </w:rPr>
        <w:t xml:space="preserve">Uses TCP/IP stack fingerprinting to guess the target's operating system family and kernel range.</w:t>
      </w:r>
    </w:p>
    <w:p>
      <w:pPr>
        <w:spacing w:after="40" w:before="12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171700"/>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Screenshot 3: OS fingerprinting scan — Linux 3.10–4.11 estimated</w:t>
      </w:r>
    </w:p>
    <w:p>
      <w:pPr>
        <w:pStyle w:val="Heading2"/>
        <w:spacing w:after="120" w:before="260"/>
      </w:pPr>
      <w:r>
        <w:rPr>
          <w:rFonts w:ascii="Calibri" w:cs="Calibri" w:eastAsia="Calibri" w:hAnsi="Calibri"/>
          <w:b/>
          <w:bCs/>
          <w:color w:val="9C7A2E"/>
          <w:sz w:val="24"/>
          <w:szCs w:val="24"/>
        </w:rPr>
        <w:t xml:space="preserve">5.4  Aggressive Scan — nmap -A &lt;target&gt;</w:t>
      </w:r>
    </w:p>
    <w:p>
      <w:pPr>
        <w:spacing w:after="160" w:line="300"/>
      </w:pPr>
      <w:r>
        <w:rPr>
          <w:rFonts w:ascii="Calibri" w:cs="Calibri" w:eastAsia="Calibri" w:hAnsi="Calibri"/>
          <w:color w:val="222222"/>
          <w:sz w:val="22"/>
          <w:szCs w:val="22"/>
        </w:rPr>
        <w:t xml:space="preserve">Combines version detection, OS detection, default NSE scripts, and a traceroute into a single comprehensive scan. This produced the richest single dataset, including SSH host keys and the HTTP page title.</w:t>
      </w:r>
    </w:p>
    <w:p>
      <w:pPr>
        <w:spacing w:after="4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81275"/>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Screenshot 4: Aggressive scan — full service, OS, script, and traceroute output</w:t>
      </w:r>
    </w:p>
    <w:p>
      <w:pPr>
        <w:pStyle w:val="Heading2"/>
        <w:spacing w:after="120" w:before="260"/>
      </w:pPr>
      <w:r>
        <w:rPr>
          <w:rFonts w:ascii="Calibri" w:cs="Calibri" w:eastAsia="Calibri" w:hAnsi="Calibri"/>
          <w:b/>
          <w:bCs/>
          <w:color w:val="9C7A2E"/>
          <w:sz w:val="24"/>
          <w:szCs w:val="24"/>
        </w:rPr>
        <w:t xml:space="preserve">5.5  Full Port Sweep — nmap -p- &lt;target&gt;</w:t>
      </w:r>
    </w:p>
    <w:p>
      <w:pPr>
        <w:spacing w:after="160" w:line="300"/>
      </w:pPr>
      <w:r>
        <w:rPr>
          <w:rFonts w:ascii="Calibri" w:cs="Calibri" w:eastAsia="Calibri" w:hAnsi="Calibri"/>
          <w:color w:val="222222"/>
          <w:sz w:val="22"/>
          <w:szCs w:val="22"/>
        </w:rPr>
        <w:t xml:space="preserve">Scans all 65,535 TCP ports rather than the default top 1,000, confirming no additional services were hidden on uncommon ports.</w:t>
      </w:r>
    </w:p>
    <w:p>
      <w:pPr>
        <w:spacing w:after="40" w:before="120"/>
        <w:jc w:val="center"/>
      </w:pPr>
      <w:r>
        <w:drawing>
          <wp:inline distT="0" distB="0" distL="0" distR="0">
            <wp:extent cx="45720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543050"/>
                    </a:xfrm>
                    <a:prstGeom prst="rect">
                      <a:avLst/>
                    </a:prstGeom>
                  </pic:spPr>
                </pic:pic>
              </a:graphicData>
            </a:graphic>
          </wp:inline>
        </w:drawing>
      </w:r>
    </w:p>
    <w:p>
      <w:pPr>
        <w:spacing w:after="260" w:before="60"/>
        <w:jc w:val="center"/>
      </w:pPr>
      <w:r>
        <w:rPr>
          <w:rFonts w:ascii="Calibri" w:cs="Calibri" w:eastAsia="Calibri" w:hAnsi="Calibri"/>
          <w:i/>
          <w:iCs/>
          <w:color w:val="595959"/>
          <w:sz w:val="19"/>
          <w:szCs w:val="19"/>
        </w:rPr>
        <w:t xml:space="preserve">Screenshot 5: Full 65,535-port sweep — same 4 ports confirmed, no hidden services</w:t>
      </w:r>
    </w:p>
    <w:p>
      <w:pPr>
        <w:pStyle w:val="Heading2"/>
        <w:spacing w:after="120" w:before="260"/>
      </w:pPr>
      <w:r>
        <w:rPr>
          <w:rFonts w:ascii="Calibri" w:cs="Calibri" w:eastAsia="Calibri" w:hAnsi="Calibri"/>
          <w:b/>
          <w:bCs/>
          <w:color w:val="9C7A2E"/>
          <w:sz w:val="24"/>
          <w:szCs w:val="24"/>
        </w:rPr>
        <w:t xml:space="preserve">5.6  Consolidated Open Ports</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22/tcp — open — ssh</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80/tcp — open — http</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9929/tcp — open — nping-echo</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31337/tcp — open — tcpwrapped</w:t>
      </w:r>
    </w:p>
    <w:p>
      <w:r>
        <w:br w:type="page"/>
      </w:r>
    </w:p>
    <w:p>
      <w:pPr>
        <w:pStyle w:val="Heading1"/>
        <w:pBdr>
          <w:bottom w:val="single" w:color="9C7A2E" w:sz="6" w:space="4"/>
        </w:pBdr>
        <w:spacing w:after="160" w:before="320"/>
      </w:pPr>
      <w:r>
        <w:rPr>
          <w:rFonts w:ascii="Calibri" w:cs="Calibri" w:eastAsia="Calibri" w:hAnsi="Calibri"/>
          <w:b/>
          <w:bCs/>
          <w:color w:val="1B2A4A"/>
          <w:sz w:val="30"/>
          <w:szCs w:val="30"/>
        </w:rPr>
        <w:t xml:space="preserve">6.  Task 2 — Service Enumeration</w:t>
      </w:r>
    </w:p>
    <w:p>
      <w:pPr>
        <w:spacing w:after="160" w:line="300"/>
      </w:pPr>
      <w:r>
        <w:rPr>
          <w:rFonts w:ascii="Calibri" w:cs="Calibri" w:eastAsia="Calibri" w:hAnsi="Calibri"/>
          <w:color w:val="222222"/>
          <w:sz w:val="22"/>
          <w:szCs w:val="22"/>
        </w:rPr>
        <w:t xml:space="preserve">The table below consolidates every open port with its protocol, service, detected version, status, and business purpose, drawn from the -sV and -A scan results above.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400"/>
        <w:gridCol w:w="2600"/>
        <w:gridCol w:w="1400"/>
        <w:gridCol w:w="2500"/>
      </w:tblGrid>
      <w:tr>
        <w:trPr>
          <w:tblHeader/>
        </w:trPr>
        <w:tc>
          <w:tcPr>
            <w:tcW w:type="dxa" w:w="11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Port</w:t>
            </w:r>
          </w:p>
        </w:tc>
        <w:tc>
          <w:tcPr>
            <w:tcW w:type="dxa" w:w="10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Protocol</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Service</w:t>
            </w:r>
          </w:p>
        </w:tc>
        <w:tc>
          <w:tcPr>
            <w:tcW w:type="dxa" w:w="26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Version</w:t>
            </w:r>
          </w:p>
        </w:tc>
        <w:tc>
          <w:tcPr>
            <w:tcW w:type="dxa" w:w="1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Status</w:t>
            </w:r>
          </w:p>
        </w:tc>
        <w:tc>
          <w:tcPr>
            <w:tcW w:type="dxa" w:w="2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Purpose</w:t>
            </w:r>
          </w:p>
        </w:tc>
      </w:tr>
      <w:tr>
        <w:tc>
          <w:tcPr>
            <w:tcW w:type="dxa" w:w="11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22</w:t>
            </w:r>
          </w:p>
        </w:tc>
        <w:tc>
          <w:tcPr>
            <w:tcW w:type="dxa" w:w="10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TCP</w:t>
            </w:r>
          </w:p>
        </w:tc>
        <w:tc>
          <w:tcPr>
            <w:tcW w:type="dxa" w:w="1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SSH (ssh)</w:t>
            </w:r>
          </w:p>
        </w:tc>
        <w:tc>
          <w:tcPr>
            <w:tcW w:type="dxa" w:w="26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OpenSSH 6.6.1p1 Ubuntu 2ubuntu2.13</w:t>
            </w:r>
          </w:p>
        </w:tc>
        <w:tc>
          <w:tcPr>
            <w:tcW w:type="dxa" w:w="1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Open</w:t>
            </w:r>
          </w:p>
        </w:tc>
        <w:tc>
          <w:tcPr>
            <w:tcW w:type="dxa" w:w="25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Encrypted remote shell access for administration</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80</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TCP</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HTTP (http)</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Apache httpd 2.4.7 (Ubuntu)</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Open</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Web server hosting the ScanMe test page</w:t>
            </w:r>
          </w:p>
        </w:tc>
      </w:tr>
      <w:tr>
        <w:tc>
          <w:tcPr>
            <w:tcW w:type="dxa" w:w="11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9929</w:t>
            </w:r>
          </w:p>
        </w:tc>
        <w:tc>
          <w:tcPr>
            <w:tcW w:type="dxa" w:w="10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TCP</w:t>
            </w:r>
          </w:p>
        </w:tc>
        <w:tc>
          <w:tcPr>
            <w:tcW w:type="dxa" w:w="1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nping-echo</w:t>
            </w:r>
          </w:p>
        </w:tc>
        <w:tc>
          <w:tcPr>
            <w:tcW w:type="dxa" w:w="26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Nping echo (Nmap testing service)</w:t>
            </w:r>
          </w:p>
        </w:tc>
        <w:tc>
          <w:tcPr>
            <w:tcW w:type="dxa" w:w="1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Open</w:t>
            </w:r>
          </w:p>
        </w:tc>
        <w:tc>
          <w:tcPr>
            <w:tcW w:type="dxa" w:w="25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Echo service used by Nmap's own Nping tool for scan calibration</w:t>
            </w:r>
          </w:p>
        </w:tc>
      </w:tr>
      <w:t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31337</w:t>
            </w:r>
          </w:p>
        </w:tc>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TCP</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tcpwrapped / Elite</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Unidentified — TCP wrapper response only</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Open</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Unknown/legacy listener; no banner returned during probing</w:t>
            </w:r>
          </w:p>
        </w:tc>
      </w:tr>
    </w:tbl>
    <w:p>
      <w:r>
        <w:br w:type="page"/>
      </w:r>
    </w:p>
    <w:p>
      <w:pPr>
        <w:pStyle w:val="Heading1"/>
        <w:pBdr>
          <w:bottom w:val="single" w:color="9C7A2E" w:sz="6" w:space="4"/>
        </w:pBdr>
        <w:spacing w:after="160" w:before="320"/>
      </w:pPr>
      <w:r>
        <w:rPr>
          <w:rFonts w:ascii="Calibri" w:cs="Calibri" w:eastAsia="Calibri" w:hAnsi="Calibri"/>
          <w:b/>
          <w:bCs/>
          <w:color w:val="1B2A4A"/>
          <w:sz w:val="30"/>
          <w:szCs w:val="30"/>
        </w:rPr>
        <w:t xml:space="preserve">7.  Task 3 — Vulnerability Research (CVE Mapping)</w:t>
      </w:r>
    </w:p>
    <w:p>
      <w:pPr>
        <w:spacing w:after="160" w:line="300"/>
      </w:pPr>
      <w:r>
        <w:rPr>
          <w:rFonts w:ascii="Calibri" w:cs="Calibri" w:eastAsia="Calibri" w:hAnsi="Calibri"/>
          <w:color w:val="222222"/>
          <w:sz w:val="22"/>
          <w:szCs w:val="22"/>
        </w:rPr>
        <w:t xml:space="preserve">Three discovered services were researched against the National Vulnerability Database and MITRE CVE list. The unidentified high-numbered ports (9929, 31337) had no assigned CVE, so they are logged as a CWE-classified exposure finding instead, since an unexplained open port is itself a risk worth documenting.</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200"/>
        <w:gridCol w:w="1200"/>
        <w:gridCol w:w="2900"/>
        <w:gridCol w:w="2000"/>
      </w:tblGrid>
      <w:tr>
        <w:trPr>
          <w:tblHeader/>
        </w:trPr>
        <w:tc>
          <w:tcPr>
            <w:tcW w:type="dxa" w:w="13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CVE ID</w:t>
            </w:r>
          </w:p>
        </w:tc>
        <w:tc>
          <w:tcPr>
            <w:tcW w:type="dxa" w:w="2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Vulnerability</w:t>
            </w:r>
          </w:p>
        </w:tc>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CVSS</w:t>
            </w:r>
          </w:p>
        </w:tc>
        <w:tc>
          <w:tcPr>
            <w:tcW w:type="dxa" w:w="1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Severity</w:t>
            </w:r>
          </w:p>
        </w:tc>
        <w:tc>
          <w:tcPr>
            <w:tcW w:type="dxa" w:w="29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20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Recommended Fix</w:t>
            </w:r>
          </w:p>
        </w:tc>
      </w:tr>
      <w:tr>
        <w:tc>
          <w:tcPr>
            <w:tcW w:type="dxa" w:w="13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CVE-2016-6210</w:t>
            </w:r>
          </w:p>
        </w:tc>
        <w:tc>
          <w:tcPr>
            <w:tcW w:type="dxa" w:w="2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OpenSSH User Enumeration (timing)</w:t>
            </w:r>
          </w:p>
        </w:tc>
        <w:tc>
          <w:tcPr>
            <w:tcW w:type="dxa" w:w="1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5.9</w:t>
            </w:r>
          </w:p>
        </w:tc>
        <w:tc>
          <w:tcPr>
            <w:tcW w:type="dxa" w:w="1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Medium</w:t>
            </w:r>
          </w:p>
        </w:tc>
        <w:tc>
          <w:tcPr>
            <w:tcW w:type="dxa" w:w="29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Response-time differences during password authentication on OpenSSH &lt; 7.3 let an attacker determine whether a username is valid, aiding credential attacks.</w:t>
            </w:r>
          </w:p>
        </w:tc>
        <w:tc>
          <w:tcPr>
            <w:tcW w:type="dxa" w:w="20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Upgrade OpenSSH to 7.3+; enable consistent auth delay; use key-based auth only.</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CVE-2014-0226</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Apache mod_status Race Condition</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6.8</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Medium</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A race condition in mod_status on Apache httpd 2.4.7 and earlier can corrupt memory, potentially leading to denial of service or code execution under specific configurations.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Upgrade to Apache 2.4.10+; disable mod_status if unused; restrict access to trusted hosts.</w:t>
            </w:r>
          </w:p>
        </w:tc>
      </w:tr>
      <w:tr>
        <w:tc>
          <w:tcPr>
            <w:tcW w:type="dxa" w:w="13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N/A (CWE-200 / CWE-668)</w:t>
            </w:r>
          </w:p>
        </w:tc>
        <w:tc>
          <w:tcPr>
            <w:tcW w:type="dxa" w:w="2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Exposure of Non-Standard Unidentified Service</w:t>
            </w:r>
          </w:p>
        </w:tc>
        <w:tc>
          <w:tcPr>
            <w:tcW w:type="dxa" w:w="1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5.3 (est.)</w:t>
            </w:r>
          </w:p>
        </w:tc>
        <w:tc>
          <w:tcPr>
            <w:tcW w:type="dxa" w:w="1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Medium</w:t>
            </w:r>
          </w:p>
        </w:tc>
        <w:tc>
          <w:tcPr>
            <w:tcW w:type="dxa" w:w="29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Ports 9929 and 31337 respond without a recognizable banner. Unidentified listeners on high, non-standard ports increase attack surface and can mask backdoors or forgotten test services if left running in production.</w:t>
            </w:r>
          </w:p>
        </w:tc>
        <w:tc>
          <w:tcPr>
            <w:tcW w:type="dxa" w:w="20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7"/>
                <w:szCs w:val="17"/>
              </w:rPr>
              <w:t xml:space="preserve">Inventory and justify every listening port; close or firewall unused services; monitor with an IDS for unexpected listeners.</w:t>
            </w:r>
          </w:p>
        </w:tc>
      </w:tr>
    </w:tbl>
    <w:p>
      <w:r>
        <w:br w:type="page"/>
      </w:r>
    </w:p>
    <w:p>
      <w:pPr>
        <w:pStyle w:val="Heading1"/>
        <w:pBdr>
          <w:bottom w:val="single" w:color="9C7A2E" w:sz="6" w:space="4"/>
        </w:pBdr>
        <w:spacing w:after="160" w:before="320"/>
      </w:pPr>
      <w:r>
        <w:rPr>
          <w:rFonts w:ascii="Calibri" w:cs="Calibri" w:eastAsia="Calibri" w:hAnsi="Calibri"/>
          <w:b/>
          <w:bCs/>
          <w:color w:val="1B2A4A"/>
          <w:sz w:val="30"/>
          <w:szCs w:val="30"/>
        </w:rPr>
        <w:t xml:space="preserve">8.  Task 4 — Scan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Scan Type</w:t>
            </w:r>
          </w:p>
        </w:tc>
        <w:tc>
          <w:tcPr>
            <w:tcW w:type="dxa" w:w="2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Duration</w:t>
            </w:r>
          </w:p>
        </w:tc>
        <w:tc>
          <w:tcPr>
            <w:tcW w:type="dxa" w:w="2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Info Depth</w:t>
            </w:r>
          </w:p>
        </w:tc>
        <w:tc>
          <w:tcPr>
            <w:tcW w:type="dxa" w:w="2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Advantages</w:t>
            </w:r>
          </w:p>
        </w:tc>
        <w:tc>
          <w:tcPr>
            <w:tcW w:type="dxa" w:w="2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Disadvantages</w:t>
            </w:r>
          </w:p>
        </w:tc>
      </w:tr>
      <w:tr>
        <w:tc>
          <w:tcPr>
            <w:tcW w:type="dxa" w:w="16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nmap &lt;target&gt;</w:t>
            </w:r>
          </w:p>
        </w:tc>
        <w:tc>
          <w:tcPr>
            <w:tcW w:type="dxa" w:w="2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6.42s</w:t>
            </w:r>
          </w:p>
        </w:tc>
        <w:tc>
          <w:tcPr>
            <w:tcW w:type="dxa" w:w="2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Low — ports &amp; state only</w:t>
            </w:r>
          </w:p>
        </w:tc>
        <w:tc>
          <w:tcPr>
            <w:tcW w:type="dxa" w:w="2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Fastest; good for quick discovery</w:t>
            </w:r>
          </w:p>
        </w:tc>
        <w:tc>
          <w:tcPr>
            <w:tcW w:type="dxa" w:w="2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No service/version data</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nmap -sV</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14.88s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Medium — service + version</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Identifies exact software versions for CVE mapping</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Slower; can be blocked by IDS/IPS</w:t>
            </w:r>
          </w:p>
        </w:tc>
      </w:tr>
      <w:tr>
        <w:tc>
          <w:tcPr>
            <w:tcW w:type="dxa" w:w="16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nmap -O</w:t>
            </w:r>
          </w:p>
        </w:tc>
        <w:tc>
          <w:tcPr>
            <w:tcW w:type="dxa" w:w="2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9.63s</w:t>
            </w:r>
          </w:p>
        </w:tc>
        <w:tc>
          <w:tcPr>
            <w:tcW w:type="dxa" w:w="2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Medium — OS fingerprint</w:t>
            </w:r>
          </w:p>
        </w:tc>
        <w:tc>
          <w:tcPr>
            <w:tcW w:type="dxa" w:w="2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Reveals underlying OS for tailored attack planning</w:t>
            </w:r>
          </w:p>
        </w:tc>
        <w:tc>
          <w:tcPr>
            <w:tcW w:type="dxa" w:w="2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Requires root privileges; guesses can be wrong</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nmap -A</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27.35s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High — version, OS, scripts, traceroute</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Most complete single-command picture of the target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Slowest single scan; very noisy on the wire</w:t>
            </w:r>
          </w:p>
        </w:tc>
      </w:tr>
      <w:tr>
        <w:tc>
          <w:tcPr>
            <w:tcW w:type="dxa" w:w="16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nmap -p-</w:t>
            </w:r>
          </w:p>
        </w:tc>
        <w:tc>
          <w:tcPr>
            <w:tcW w:type="dxa" w:w="2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118.76s</w:t>
            </w:r>
          </w:p>
        </w:tc>
        <w:tc>
          <w:tcPr>
            <w:tcW w:type="dxa" w:w="2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Low per-port, but full range</w:t>
            </w:r>
          </w:p>
        </w:tc>
        <w:tc>
          <w:tcPr>
            <w:tcW w:type="dxa" w:w="2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Finds services hidden on uncommon ports</w:t>
            </w:r>
          </w:p>
        </w:tc>
        <w:tc>
          <w:tcPr>
            <w:tcW w:type="dxa" w:w="24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8"/>
                <w:szCs w:val="18"/>
              </w:rPr>
              <w:t xml:space="preserve">Very slow across all 65,535 ports</w:t>
            </w:r>
          </w:p>
        </w:tc>
      </w:tr>
    </w:tbl>
    <w:p>
      <w:pPr>
        <w:pStyle w:val="Heading2"/>
        <w:spacing w:after="120" w:before="260"/>
      </w:pPr>
      <w:r>
        <w:rPr>
          <w:rFonts w:ascii="Calibri" w:cs="Calibri" w:eastAsia="Calibri" w:hAnsi="Calibri"/>
          <w:b/>
          <w:bCs/>
          <w:color w:val="9C7A2E"/>
          <w:sz w:val="24"/>
          <w:szCs w:val="24"/>
        </w:rPr>
        <w:t xml:space="preserve">Analysis</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Fastest scan: the default nmap &lt;target&gt; scan, at 6.42 seconds, since it skips version/OS probing.</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Most information discovered: the aggressive nmap -A scan, which combined version, OS, script output, and traceroute in one pass.</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Best for real-world assessment: nmap -sV -p- as a practical middle ground — full port coverage plus version data — run before an -A pass only on ports confirmed open, to keep noise and time down.</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Trade-off pattern: scan depth and scan time increase together, while stealth decreases; -p- and -A are the noisiest and slowest, making them easier for an IDS to flag.</w:t>
      </w:r>
    </w:p>
    <w:p>
      <w:r>
        <w:br w:type="page"/>
      </w:r>
    </w:p>
    <w:p>
      <w:pPr>
        <w:pStyle w:val="Heading1"/>
        <w:pBdr>
          <w:bottom w:val="single" w:color="9C7A2E" w:sz="6" w:space="4"/>
        </w:pBdr>
        <w:spacing w:after="160" w:before="320"/>
      </w:pPr>
      <w:r>
        <w:rPr>
          <w:rFonts w:ascii="Calibri" w:cs="Calibri" w:eastAsia="Calibri" w:hAnsi="Calibri"/>
          <w:b/>
          <w:bCs/>
          <w:color w:val="1B2A4A"/>
          <w:sz w:val="30"/>
          <w:szCs w:val="30"/>
        </w:rPr>
        <w:t xml:space="preserve">9.  Task 5 — Security Analysis &amp; Remediation Recommendations</w:t>
      </w:r>
    </w:p>
    <w:p>
      <w:pPr>
        <w:spacing w:after="160" w:line="300"/>
      </w:pPr>
      <w:r>
        <w:rPr>
          <w:rFonts w:ascii="Calibri" w:cs="Calibri" w:eastAsia="Calibri" w:hAnsi="Calibri"/>
          <w:color w:val="222222"/>
          <w:sz w:val="22"/>
          <w:szCs w:val="22"/>
        </w:rPr>
        <w:t xml:space="preserve">For each finding, the table below explains why the port is open, a realistic attack path, the assessed risk level, concrete remediation steps, how to verify the fix, and a supporting reference.</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900"/>
        <w:gridCol w:w="2000"/>
        <w:gridCol w:w="1700"/>
        <w:gridCol w:w="1600"/>
      </w:tblGrid>
      <w:tr>
        <w:trPr>
          <w:tblHeader/>
        </w:trPr>
        <w:tc>
          <w:tcPr>
            <w:tcW w:type="dxa" w:w="1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Open Port/Service</w:t>
            </w:r>
          </w:p>
        </w:tc>
        <w:tc>
          <w:tcPr>
            <w:tcW w:type="dxa" w:w="17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Security Risk</w:t>
            </w:r>
          </w:p>
        </w:tc>
        <w:tc>
          <w:tcPr>
            <w:tcW w:type="dxa" w:w="2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Attack Scenario</w:t>
            </w:r>
          </w:p>
        </w:tc>
        <w:tc>
          <w:tcPr>
            <w:tcW w:type="dxa" w:w="9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Risk</w:t>
            </w:r>
          </w:p>
        </w:tc>
        <w:tc>
          <w:tcPr>
            <w:tcW w:type="dxa" w:w="20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Remediation</w:t>
            </w:r>
          </w:p>
        </w:tc>
        <w:tc>
          <w:tcPr>
            <w:tcW w:type="dxa" w:w="17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Verification</w:t>
            </w:r>
          </w:p>
        </w:tc>
        <w:tc>
          <w:tcPr>
            <w:tcW w:type="dxa" w:w="16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Reference</w:t>
            </w:r>
          </w:p>
        </w:tc>
      </w:tr>
      <w:tr>
        <w:tc>
          <w:tcPr>
            <w:tcW w:type="dxa" w:w="15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22/tcp SSH</w:t>
            </w:r>
          </w:p>
        </w:tc>
        <w:tc>
          <w:tcPr>
            <w:tcW w:type="dxa" w:w="17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Weak/legacy auth allows brute force or user enumeration</w:t>
            </w:r>
          </w:p>
        </w:tc>
        <w:tc>
          <w:tcPr>
            <w:tcW w:type="dxa" w:w="2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Attacker scripts a password-spray against valid usernames revealed by timing differences, gaining shell access</w:t>
            </w:r>
          </w:p>
        </w:tc>
        <w:tc>
          <w:tcPr>
            <w:tcW w:type="dxa" w:w="9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High</w:t>
            </w:r>
          </w:p>
        </w:tc>
        <w:tc>
          <w:tcPr>
            <w:tcW w:type="dxa" w:w="20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Disable password auth; enforce key-based login; add fail2ban rate limiting; patch to latest OpenSSH</w:t>
            </w:r>
          </w:p>
        </w:tc>
        <w:tc>
          <w:tcPr>
            <w:tcW w:type="dxa" w:w="17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Re-scan with nmap -sV and confirm patched version banner; attempt spray test in lab and confirm lockout</w:t>
            </w:r>
          </w:p>
        </w:tc>
        <w:tc>
          <w:tcPr>
            <w:tcW w:type="dxa" w:w="16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CIS Benchmark 5.2; NIST SP 800-53 IA-5</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80/tcp HTTP</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Outdated Apache exposes mod_status race condition and lacks HTTPS</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Attacker triggers repeated status requests to crash worker processes, causing denial of service</w:t>
            </w:r>
          </w:p>
        </w:tc>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Medium</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Upgrade Apache; disable mod_status externally; migrate to HTTPS with valid TLS cert; add WAF rule</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Confirm new version in -sV scan; run availability test under load; verify TLS with SSL Labs-style scan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OWASP ASVS 9; CIS Apache Benchmark 2.1</w:t>
            </w:r>
          </w:p>
        </w:tc>
      </w:tr>
      <w:tr>
        <w:tc>
          <w:tcPr>
            <w:tcW w:type="dxa" w:w="15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9929/31337 Non-standard</w:t>
            </w:r>
          </w:p>
        </w:tc>
        <w:tc>
          <w:tcPr>
            <w:tcW w:type="dxa" w:w="17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Unidentified listeners increase attack surface and detection blind spots</w:t>
            </w:r>
          </w:p>
        </w:tc>
        <w:tc>
          <w:tcPr>
            <w:tcW w:type="dxa" w:w="22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Attacker uses the unexplained open ports as a pivot or covert channel once the host is otherwise compromised</w:t>
            </w:r>
          </w:p>
        </w:tc>
        <w:tc>
          <w:tcPr>
            <w:tcW w:type="dxa" w:w="9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Medium</w:t>
            </w:r>
          </w:p>
        </w:tc>
        <w:tc>
          <w:tcPr>
            <w:tcW w:type="dxa" w:w="20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Identify and document the owning process; disable if not business-justified; restrict via host firewall</w:t>
            </w:r>
          </w:p>
        </w:tc>
        <w:tc>
          <w:tcPr>
            <w:tcW w:type="dxa" w:w="17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Re-scan after change and confirm port reports closed/filtered; review firewall logs for blocked attempts</w:t>
            </w:r>
          </w:p>
        </w:tc>
        <w:tc>
          <w:tcPr>
            <w:tcW w:type="dxa" w:w="1600"/>
            <w:shd w:fill="EEF1F6"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6"/>
                <w:szCs w:val="16"/>
              </w:rPr>
              <w:t xml:space="preserve">NIST SP 800-41; CIS Controls v8 – Control 4</w:t>
            </w:r>
          </w:p>
        </w:tc>
      </w:tr>
    </w:tbl>
    <w:p>
      <w:r>
        <w:br w:type="page"/>
      </w:r>
    </w:p>
    <w:p>
      <w:pPr>
        <w:pStyle w:val="Heading1"/>
        <w:pBdr>
          <w:bottom w:val="single" w:color="9C7A2E" w:sz="6" w:space="4"/>
        </w:pBdr>
        <w:spacing w:after="160" w:before="320"/>
      </w:pPr>
      <w:r>
        <w:rPr>
          <w:rFonts w:ascii="Calibri" w:cs="Calibri" w:eastAsia="Calibri" w:hAnsi="Calibri"/>
          <w:b/>
          <w:bCs/>
          <w:color w:val="1B2A4A"/>
          <w:sz w:val="30"/>
          <w:szCs w:val="30"/>
        </w:rPr>
        <w:t xml:space="preserve">10.  Challenges Faced</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The 31337/tcp listener returned no service banner, making it the hardest port to classify — it had to be logged as an unidentified-service risk rather than a specific CVE.</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The full port sweep (-p-) took noticeably longer than the other scans, which made it clear why real assessments usually scope full sweeps carefully rather than running them on every host by default.</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Mapping an old Apache/OpenSSH version to the right CVE meant cross-checking multiple NVD entries to find ones that actually applied to the exact version banner returned, not just the general product.</w:t>
      </w:r>
    </w:p>
    <w:p>
      <w:pPr>
        <w:pStyle w:val="Heading1"/>
        <w:pBdr>
          <w:bottom w:val="single" w:color="9C7A2E" w:sz="6" w:space="4"/>
        </w:pBdr>
        <w:spacing w:after="160" w:before="320"/>
      </w:pPr>
      <w:r>
        <w:rPr>
          <w:rFonts w:ascii="Calibri" w:cs="Calibri" w:eastAsia="Calibri" w:hAnsi="Calibri"/>
          <w:b/>
          <w:bCs/>
          <w:color w:val="1B2A4A"/>
          <w:sz w:val="30"/>
          <w:szCs w:val="30"/>
        </w:rPr>
        <w:t xml:space="preserve">11.  Conclusion</w:t>
      </w:r>
    </w:p>
    <w:p>
      <w:pPr>
        <w:spacing w:after="160" w:line="300"/>
      </w:pPr>
      <w:r>
        <w:rPr>
          <w:rFonts w:ascii="Calibri" w:cs="Calibri" w:eastAsia="Calibri" w:hAnsi="Calibri"/>
          <w:color w:val="222222"/>
          <w:sz w:val="22"/>
          <w:szCs w:val="22"/>
        </w:rPr>
        <w:t xml:space="preserve">This assignment walked through the full enumeration-to-remediation cycle used in real vulnerability assessments: scan, identify, research, and recommend. Running the same target through five scan types made the trade-off between speed and depth concrete rather than theoretical, and mapping the discovered OpenSSH and Apache versions to real CVEs tied the exercise back to how SOC and VA analysts actually prioritize findings day to day. The unidentified ports were a useful reminder that not every finding maps neatly to a CVE — sometimes the risk is simply that a listener exists and nobody can explain why.</w:t>
      </w:r>
    </w:p>
    <w:p>
      <w:pPr>
        <w:pStyle w:val="Heading1"/>
        <w:pBdr>
          <w:bottom w:val="single" w:color="9C7A2E" w:sz="6" w:space="4"/>
        </w:pBdr>
        <w:spacing w:after="160" w:before="320"/>
      </w:pPr>
      <w:r>
        <w:rPr>
          <w:rFonts w:ascii="Calibri" w:cs="Calibri" w:eastAsia="Calibri" w:hAnsi="Calibri"/>
          <w:b/>
          <w:bCs/>
          <w:color w:val="1B2A4A"/>
          <w:sz w:val="30"/>
          <w:szCs w:val="30"/>
        </w:rPr>
        <w:t xml:space="preserve">12.  References</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Nmap Reference Guide — https://nmap.org/book/man.html</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National Vulnerability Database (NVD) — https://nvd.nist.gov</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MITRE CVE List — https://cve.mitre.org</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CIS Benchmarks — https://www.cisecurity.org/cis-benchmarks</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OWASP Application Security Verification Standard — https://owasp.org/www-project-application-security-verification-standard/</w:t>
      </w:r>
    </w:p>
    <w:p>
      <w:pPr>
        <w:pStyle w:val="ListParagraph"/>
        <w:numPr>
          <w:ilvl w:val="0"/>
          <w:numId w:val="1"/>
        </w:numPr>
        <w:spacing w:after="90" w:line="290"/>
      </w:pPr>
      <w:r>
        <w:rPr>
          <w:rFonts w:ascii="Calibri" w:cs="Calibri" w:eastAsia="Calibri" w:hAnsi="Calibri"/>
          <w:b w:val="false"/>
          <w:bCs w:val="false"/>
          <w:color w:val="222222"/>
          <w:sz w:val="22"/>
          <w:szCs w:val="22"/>
        </w:rPr>
        <w:t xml:space="preserve">NIST SP 800-53 Rev. 5 — https://csrc.nist.gov/publications/detail/sp/800-53/rev-5/final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7A2E" w:sz="4" w:space="2"/>
      </w:pBdr>
      <w:tabs>
        <w:tab w:val="right" w:pos="9026"/>
      </w:tabs>
    </w:pPr>
    <w:r>
      <w:rPr>
        <w:rFonts w:ascii="Calibri" w:cs="Calibri" w:eastAsia="Calibri" w:hAnsi="Calibri"/>
        <w:color w:val="595959"/>
        <w:sz w:val="16"/>
        <w:szCs w:val="16"/>
      </w:rPr>
      <w:t xml:space="preserve">IT-SIMPLERA Solution</w:t>
    </w:r>
    <w:r>
      <w:rPr>
        <w:rFonts w:ascii="Calibri" w:cs="Calibri" w:eastAsia="Calibri" w:hAnsi="Calibri"/>
        <w:color w:val="595959"/>
        <w:sz w:val="16"/>
        <w:szCs w:val="16"/>
      </w:rPr>
      <w:t xml:space="preserve">	Week 05 — Vulnerability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aefbb0f2753d6f307f8de4042d51058c20eac8.jpg"/><Relationship Id="rId10" Type="http://schemas.openxmlformats.org/officeDocument/2006/relationships/image" Target="media/f8cb8d74981a441a3c8f766ac21af70af7540f95.png"/><Relationship Id="rId11" Type="http://schemas.openxmlformats.org/officeDocument/2006/relationships/image" Target="media/9962308fa9d58d1f4f764f8e9392b726e5150310.png"/><Relationship Id="rId12" Type="http://schemas.openxmlformats.org/officeDocument/2006/relationships/image" Target="media/dbd057d0d058a769f118949ba82edac993ef15b9.png"/><Relationship Id="rId13" Type="http://schemas.openxmlformats.org/officeDocument/2006/relationships/image" Target="media/3192256fa9bba3e9e1ea6c4efe069889785de4fe.png"/><Relationship Id="rId14" Type="http://schemas.openxmlformats.org/officeDocument/2006/relationships/image" Target="media/caf6e36c2ca3b0213c4bf16cf1552faa142fe5c2.png"/><Relationship Id="rId15" Type="http://schemas.openxmlformats.org/officeDocument/2006/relationships/image" Target="media/704f0d3abfae7a1e642aa49e96ba47f88db4ec0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2026-07-28T17:25:13.114Z</dcterms:created>
  <dcterms:modified xsi:type="dcterms:W3CDTF">2026-07-28T17:25:13.127Z</dcterms:modified>
</cp:coreProperties>
</file>

<file path=docProps/custom.xml><?xml version="1.0" encoding="utf-8"?>
<Properties xmlns="http://schemas.openxmlformats.org/officeDocument/2006/custom-properties" xmlns:vt="http://schemas.openxmlformats.org/officeDocument/2006/docPropsVTypes"/>
</file>