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A股F17多因子策略的模型比较研究</w:t>
      </w:r>
    </w:p>
    <w:p>
      <w:pPr>
        <w:pStyle w:val="Subtitle"/>
      </w:pPr>
      <w:r>
        <w:t>线性基准 正则化 因子权重与机器学习的实证比较</w:t>
      </w:r>
    </w:p>
    <w:p>
      <w:pPr>
        <w:spacing w:after="120"/>
        <w:jc w:val="center"/>
      </w:pPr>
      <w:r>
        <w:rPr>
          <w:sz w:val="22"/>
        </w:rPr>
        <w:t>Gilmour Jia</w:t>
      </w:r>
    </w:p>
    <w:p>
      <w:pPr>
        <w:pStyle w:val="Subtitle"/>
      </w:pPr>
      <w:r>
        <w:t>2026年10月21日</w:t>
      </w:r>
    </w:p>
    <w:p>
      <w:pPr>
        <w:pStyle w:val="Heading1"/>
      </w:pPr>
      <w:r>
        <w:t>摘要</w:t>
      </w:r>
    </w:p>
    <w:p>
      <w:pPr>
        <w:jc w:val="both"/>
      </w:pPr>
      <w:r>
        <w:t>本文研究在A股多因子选股中，提高模型复杂度能否转化为稳定的风险调整收益。研究以17个经去极值、行业与市值中性化及标准化处理的因子等权评分为起点，依次考察正则化因子权重估计、关系增强的直接组合政策网络，以及文献启发的训练目标与组合映射改进，并单独分析以F17因子预测个股收益的浅层神经网络。通过对保存的源代码、训练台账、系数、预测及收益序列进行交叉核查，本文区分模型表达能力、预测评价、资金配置和交易执行四个环节。结果表明，正则化权重在开发期的增益未稳定延续至重复验证期：在以未来标签可观察股票为评价域的42个21日周期、头尾各10%多空收益诊断中，按25基点名称换手费用情景计算，同口径等权与向等权收缩Ridge的夏普比率分别为0.942和0.931，周期端点最大回撤分别为20.00%和20.20%。原始组合政策的跨年结果不稳定，文献改进版本的现有证据主要限于反复使用的2021年，尚未获得跨时期确认。独立收益预测分支的v1日频毛收益账本中，F17与神经网络的夏普分别为1.143和0.841，最大回撤分别为24.63%和33.53%。最新v4在其自身评价口径下的IC和周期CAGR高于同口径F17，但其Top50评价条件于未来标签可得性，不能直接解释为可实施的投资收益。本文据此认为，现有证据支持保留透明的等权基准，并将后续改进优先用于时序标签、缺失收益处置、目标一致性及交易约束，而非继续在同一历史区间增加模型自由度。</w:t>
      </w:r>
    </w:p>
    <w:p>
      <w:pPr>
        <w:ind w:firstLine="0"/>
        <w:jc w:val="both"/>
      </w:pPr>
      <w:r>
        <w:t>关键词：A股多因子；F17；正则化；组合政策；神经网络；回测可复核性</w:t>
      </w:r>
    </w:p>
    <w:p>
      <w:pPr>
        <w:pStyle w:val="Heading1"/>
      </w:pPr>
      <w:r>
        <w:t>Abstract</w:t>
      </w:r>
    </w:p>
    <w:p>
      <w:pPr>
        <w:jc w:val="both"/>
      </w:pPr>
      <w:r>
        <w:t>This study examines whether greater model complexity improves the investment performance of an A-share multifactor strategy. Starting from an equal-weight score of seventeen standardized characteristics, the analysis compares regularized coefficient estimation, a relation-augmented neural portfolio policy, and literature-inspired changes to training and portfolio construction. A separate branch predicts stock returns from the F17 characteristics using shallow neural networks. Archived code, fitted coefficients, training records, predictions, and return series are reconciled to distinguish predictive information from portfolio allocation and implementation. In a label-observable-sample diagnostic of top-minus-bottom decile returns over forty-two formation periods, the equal-weight score and ridge shrinkage toward equal weights produce Sharpe ratios of 0.942 and 0.931 under a 25-basis-point name-turnover cost scenario. Their period-end maximum drawdowns are 20.00% and 20.20%, respectively. The original portfolio policy is unstable across market periods, while evidence for subsequent modifications is largely confined to the repeatedly examined 2021 sample. In the earlier daily gross-return diagnostic for the return-prediction branch, F17 attains a Sharpe ratio of 1.143 and a maximum drawdown of 24.63%, compared with 0.841 and 33.53% for the neural portfolio. The latest network improves some predictive and return statistics relative to the matched F17 score within its own diagnostic, but its top-fifty evaluation conditions portfolio selection on future label availability. These observations support retaining the transparent equal-weight benchmark while prioritizing label timing, missing-return treatment, objective alignment, and execution validation. The evidence establishes limitations of the implemented comparisons rather than a general rejection of machine learning or a verified claim of implementable alpha.</w:t>
      </w:r>
    </w:p>
    <w:p>
      <w:pPr>
        <w:ind w:firstLine="0"/>
        <w:jc w:val="both"/>
      </w:pPr>
      <w:r>
        <w:t>Keywords: A-share equities; multifactor investing; shrinkage; portfolio policies; neural networks; backtest validity</w:t>
      </w:r>
    </w:p>
    <w:p>
      <w:pPr>
        <w:pStyle w:val="Heading1"/>
      </w:pPr>
      <w:r>
        <w:t>1 引言</w:t>
      </w:r>
    </w:p>
    <w:p>
      <w:pPr>
        <w:jc w:val="both"/>
      </w:pPr>
      <w:r>
        <w:t>量化选股的核心问题并非能否构造复杂模型，而是在既定信息集、样本长度和交易约束下，复杂度所增加的灵活性是否足以补偿参数估计误差与实施成本。固定权重的多因子评分便于解释，却不能主动适应因子强弱及市场状态的变化；回归和神经网络可以重估权重、识别非线性关系，也可能把历史噪声解释为稳定规律。因而，比较应从一个明确而有竞争力的基准出发，同时保持样本、标签和组合规则可辨识，而不能仅比较各轮实验中最高的夏普值。</w:t>
      </w:r>
    </w:p>
    <w:p>
      <w:pPr>
        <w:jc w:val="both"/>
      </w:pPr>
      <w:r>
        <w:t>现有资产定价研究为这一比较提供了互补视角。Gu et al.（2020）展示了非线性交互在收益预测中的作用；Leippold et al.（2022）则将机器学习比较置于中国股票市场的流动性和交易成本环境。另一方面，Kozak et al.（2020）强调对高维特征组合的估计实施收缩，DeMiguel et al.（2009）说明简单等权资产配置在估计误差较大时具有竞争力。这些文献共同支持检验复杂模型的增量价值，但并不预先保证某一网络、因子数量或参数设置最优。</w:t>
      </w:r>
    </w:p>
    <w:p>
      <w:pPr>
        <w:jc w:val="both"/>
      </w:pPr>
      <w:r>
        <w:t>本研究从实际完成的策略开发过程出发，提出三个相互关联的问题。第一，在同一组F17因子上，估计非等权系数是否优于简单等权，以及收缩目标应当是零还是原有等权先验。第二，将个股评分映射为股票与现金权重的非线性政策，能否改善组合收益与回撤。第三，排序损失、顺序训练、温度控制、头部截断和估值信息等文献启发的改进，是否在现有结果中产生可持续的增量。</w:t>
      </w:r>
    </w:p>
    <w:p>
      <w:pPr>
        <w:jc w:val="both"/>
      </w:pPr>
      <w:r>
        <w:t>本文的贡献在于重建上述实验之间的可比较关系，并把正结果、负结果和实现偏差放在同一论证链条中。研究不把不同股票池的多头与多空策略视为同一竞争问题，不把周期末回撤替代日频账户回撤，也不把预测排序改善等同于扣费后投资价值。结果显示，等权先验仍是有力的研究对照；目前更明确的证据来自口径一致性和实现审计，而非某个复杂模型已经形成稳定超额收益。</w:t>
      </w:r>
    </w:p>
    <w:p>
      <w:pPr>
        <w:pStyle w:val="Heading1"/>
      </w:pPr>
      <w:r>
        <w:t>2 研究对象与数据</w:t>
      </w:r>
    </w:p>
    <w:p>
      <w:pPr>
        <w:pStyle w:val="Heading2"/>
      </w:pPr>
      <w:r>
        <w:t>2.1 四类模型与两条机器学习路线</w:t>
      </w:r>
    </w:p>
    <w:p>
      <w:pPr>
        <w:jc w:val="both"/>
      </w:pPr>
      <w:r>
        <w:t>第一类模型为F17固定等权线性评分及其交易执行修订。这里的“线性”是标准化因子的线性加总，不表示已经通过OLS拟合收益系数。第二类模型在同一17因子信息集上估计系数，包含OLS、零先验Ridge、向等权收缩Ridge、Lasso、Elastic Net，以及受Kozak式收缩和Brandt式参数组合政策启发的适配。</w:t>
      </w:r>
    </w:p>
    <w:p>
      <w:pPr>
        <w:jc w:val="both"/>
      </w:pPr>
      <w:r>
        <w:t>第三类模型为原始关系增强组合政策网络。它沿用F17项目的数据与研究目标，但使用10个价格量基础特征及关系、市场和账户信息，共70维输入，直接输出股票和现金权重，不能称为“把原17个因子直接输入网络”。第四类模型归档文献启发的政策网络v2/v3改进，并将另行开发的F17收益预测网络作为独立分支。后者使用17因子及其缺失标记预测收益，随后才构造组合；其v5在v4基础上增加四项估值特征。该谱系同时保留了直接学习权重和先预测收益再分配权重两条路线。</w:t>
      </w:r>
    </w:p>
    <w:p>
      <w:pPr>
        <w:pStyle w:val="Caption"/>
        <w:keepNext/>
      </w:pPr>
      <w:r>
        <w:rPr>
          <w:b/>
        </w:rPr>
        <w:t>表1 四类归档及机器学习分支</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417"/>
        <w:gridCol w:w="2891"/>
        <w:gridCol w:w="1757"/>
        <w:gridCol w:w="2948"/>
      </w:tblGrid>
      <w:tr>
        <w:trPr>
          <w:cantSplit/>
          <w:tblHeader/>
        </w:trPr>
        <w:tc>
          <w:tcPr>
            <w:tcW w:type="dxa" w:w="1417"/>
            <w:vAlign w:val="center"/>
            <w:shd w:fill="E7EDF2"/>
          </w:tcPr>
          <w:p>
            <w:pPr>
              <w:keepNext/>
              <w:spacing w:line="276" w:lineRule="auto" w:after="0"/>
              <w:ind w:firstLine="0"/>
              <w:jc w:val="center"/>
            </w:pPr>
            <w:r>
              <w:rPr>
                <w:b/>
                <w:sz w:val="18"/>
              </w:rPr>
              <w:t>归档</w:t>
            </w:r>
          </w:p>
        </w:tc>
        <w:tc>
          <w:tcPr>
            <w:tcW w:type="dxa" w:w="2891"/>
            <w:vAlign w:val="center"/>
            <w:shd w:fill="E7EDF2"/>
          </w:tcPr>
          <w:p>
            <w:pPr>
              <w:keepNext/>
              <w:spacing w:line="276" w:lineRule="auto" w:after="0"/>
              <w:ind w:firstLine="0"/>
              <w:jc w:val="center"/>
            </w:pPr>
            <w:r>
              <w:rPr>
                <w:b/>
                <w:sz w:val="18"/>
              </w:rPr>
              <w:t>核心输入与映射</w:t>
            </w:r>
          </w:p>
        </w:tc>
        <w:tc>
          <w:tcPr>
            <w:tcW w:type="dxa" w:w="1757"/>
            <w:vAlign w:val="center"/>
            <w:shd w:fill="E7EDF2"/>
          </w:tcPr>
          <w:p>
            <w:pPr>
              <w:keepNext/>
              <w:spacing w:line="276" w:lineRule="auto" w:after="0"/>
              <w:ind w:firstLine="0"/>
              <w:jc w:val="center"/>
            </w:pPr>
            <w:r>
              <w:rPr>
                <w:b/>
                <w:sz w:val="18"/>
              </w:rPr>
              <w:t>主要对照</w:t>
            </w:r>
          </w:p>
        </w:tc>
        <w:tc>
          <w:tcPr>
            <w:tcW w:type="dxa" w:w="2948"/>
            <w:vAlign w:val="center"/>
            <w:shd w:fill="E7EDF2"/>
          </w:tcPr>
          <w:p>
            <w:pPr>
              <w:keepNext/>
              <w:spacing w:line="276" w:lineRule="auto" w:after="0"/>
              <w:ind w:firstLine="0"/>
              <w:jc w:val="center"/>
            </w:pPr>
            <w:r>
              <w:rPr>
                <w:b/>
                <w:sz w:val="18"/>
              </w:rPr>
              <w:t>结果性质</w:t>
            </w:r>
          </w:p>
        </w:tc>
      </w:tr>
      <w:tr>
        <w:trPr>
          <w:cantSplit/>
        </w:trPr>
        <w:tc>
          <w:tcPr>
            <w:tcW w:type="dxa" w:w="1417"/>
            <w:vAlign w:val="center"/>
          </w:tcPr>
          <w:p>
            <w:pPr>
              <w:keepNext/>
              <w:spacing w:line="276" w:lineRule="auto" w:after="0"/>
              <w:ind w:firstLine="0"/>
              <w:jc w:val="left"/>
            </w:pPr>
            <w:r>
              <w:rPr>
                <w:b w:val="0"/>
                <w:sz w:val="18"/>
              </w:rPr>
              <w:t>01 固定F17</w:t>
            </w:r>
          </w:p>
        </w:tc>
        <w:tc>
          <w:tcPr>
            <w:tcW w:type="dxa" w:w="2891"/>
            <w:vAlign w:val="center"/>
          </w:tcPr>
          <w:p>
            <w:pPr>
              <w:keepNext/>
              <w:spacing w:line="276" w:lineRule="auto" w:after="0"/>
              <w:ind w:firstLine="0"/>
              <w:jc w:val="left"/>
            </w:pPr>
            <w:r>
              <w:rPr>
                <w:b w:val="0"/>
                <w:sz w:val="18"/>
              </w:rPr>
              <w:t>17因子可用项等权；Top50</w:t>
            </w:r>
          </w:p>
        </w:tc>
        <w:tc>
          <w:tcPr>
            <w:tcW w:type="dxa" w:w="1757"/>
            <w:vAlign w:val="center"/>
          </w:tcPr>
          <w:p>
            <w:pPr>
              <w:keepNext/>
              <w:spacing w:line="276" w:lineRule="auto" w:after="0"/>
              <w:ind w:firstLine="0"/>
              <w:jc w:val="left"/>
            </w:pPr>
            <w:r>
              <w:rPr>
                <w:b w:val="0"/>
                <w:sz w:val="18"/>
              </w:rPr>
              <w:t>原执行与修订执行</w:t>
            </w:r>
          </w:p>
        </w:tc>
        <w:tc>
          <w:tcPr>
            <w:tcW w:type="dxa" w:w="2948"/>
            <w:vAlign w:val="center"/>
          </w:tcPr>
          <w:p>
            <w:pPr>
              <w:keepNext/>
              <w:spacing w:line="276" w:lineRule="auto" w:after="0"/>
              <w:ind w:firstLine="0"/>
              <w:jc w:val="left"/>
            </w:pPr>
            <w:r>
              <w:rPr>
                <w:b w:val="0"/>
                <w:sz w:val="18"/>
              </w:rPr>
              <w:t>日频研究账本</w:t>
            </w:r>
          </w:p>
        </w:tc>
      </w:tr>
      <w:tr>
        <w:trPr>
          <w:cantSplit/>
        </w:trPr>
        <w:tc>
          <w:tcPr>
            <w:tcW w:type="dxa" w:w="1417"/>
            <w:vAlign w:val="center"/>
          </w:tcPr>
          <w:p>
            <w:pPr>
              <w:keepNext/>
              <w:spacing w:line="276" w:lineRule="auto" w:after="0"/>
              <w:ind w:firstLine="0"/>
              <w:jc w:val="left"/>
            </w:pPr>
            <w:r>
              <w:rPr>
                <w:b w:val="0"/>
                <w:sz w:val="18"/>
              </w:rPr>
              <w:t>02 正则化权重</w:t>
            </w:r>
          </w:p>
        </w:tc>
        <w:tc>
          <w:tcPr>
            <w:tcW w:type="dxa" w:w="2891"/>
            <w:vAlign w:val="center"/>
          </w:tcPr>
          <w:p>
            <w:pPr>
              <w:keepNext/>
              <w:spacing w:line="276" w:lineRule="auto" w:after="0"/>
              <w:ind w:firstLine="0"/>
              <w:jc w:val="left"/>
            </w:pPr>
            <w:r>
              <w:rPr>
                <w:b w:val="0"/>
                <w:sz w:val="18"/>
              </w:rPr>
              <w:t>同17因子；估计线性系数</w:t>
            </w:r>
          </w:p>
        </w:tc>
        <w:tc>
          <w:tcPr>
            <w:tcW w:type="dxa" w:w="1757"/>
            <w:vAlign w:val="center"/>
          </w:tcPr>
          <w:p>
            <w:pPr>
              <w:keepNext/>
              <w:spacing w:line="276" w:lineRule="auto" w:after="0"/>
              <w:ind w:firstLine="0"/>
              <w:jc w:val="left"/>
            </w:pPr>
            <w:r>
              <w:rPr>
                <w:b w:val="0"/>
                <w:sz w:val="18"/>
              </w:rPr>
              <w:t>同预处理equal</w:t>
            </w:r>
          </w:p>
        </w:tc>
        <w:tc>
          <w:tcPr>
            <w:tcW w:type="dxa" w:w="2948"/>
            <w:vAlign w:val="center"/>
          </w:tcPr>
          <w:p>
            <w:pPr>
              <w:keepNext/>
              <w:spacing w:line="276" w:lineRule="auto" w:after="0"/>
              <w:ind w:firstLine="0"/>
              <w:jc w:val="left"/>
            </w:pPr>
            <w:r>
              <w:rPr>
                <w:b w:val="0"/>
                <w:sz w:val="18"/>
              </w:rPr>
              <w:t>十分位多空标签诊断</w:t>
            </w:r>
          </w:p>
        </w:tc>
      </w:tr>
      <w:tr>
        <w:trPr>
          <w:cantSplit/>
        </w:trPr>
        <w:tc>
          <w:tcPr>
            <w:tcW w:type="dxa" w:w="1417"/>
            <w:vAlign w:val="center"/>
          </w:tcPr>
          <w:p>
            <w:pPr>
              <w:keepNext/>
              <w:spacing w:line="276" w:lineRule="auto" w:after="0"/>
              <w:ind w:firstLine="0"/>
              <w:jc w:val="left"/>
            </w:pPr>
            <w:r>
              <w:rPr>
                <w:b w:val="0"/>
                <w:sz w:val="18"/>
              </w:rPr>
              <w:t>03 原始政策p1</w:t>
            </w:r>
          </w:p>
        </w:tc>
        <w:tc>
          <w:tcPr>
            <w:tcW w:type="dxa" w:w="2891"/>
            <w:vAlign w:val="center"/>
          </w:tcPr>
          <w:p>
            <w:pPr>
              <w:keepNext/>
              <w:spacing w:line="276" w:lineRule="auto" w:after="0"/>
              <w:ind w:firstLine="0"/>
              <w:jc w:val="left"/>
            </w:pPr>
            <w:r>
              <w:rPr>
                <w:b w:val="0"/>
                <w:sz w:val="18"/>
              </w:rPr>
              <w:t>10基础特征扩为70维；直接权重</w:t>
            </w:r>
          </w:p>
        </w:tc>
        <w:tc>
          <w:tcPr>
            <w:tcW w:type="dxa" w:w="1757"/>
            <w:vAlign w:val="center"/>
          </w:tcPr>
          <w:p>
            <w:pPr>
              <w:keepNext/>
              <w:spacing w:line="276" w:lineRule="auto" w:after="0"/>
              <w:ind w:firstLine="0"/>
              <w:jc w:val="left"/>
            </w:pPr>
            <w:r>
              <w:rPr>
                <w:b w:val="0"/>
                <w:sz w:val="18"/>
              </w:rPr>
              <w:t>同池F17及等权</w:t>
            </w:r>
          </w:p>
        </w:tc>
        <w:tc>
          <w:tcPr>
            <w:tcW w:type="dxa" w:w="2948"/>
            <w:vAlign w:val="center"/>
          </w:tcPr>
          <w:p>
            <w:pPr>
              <w:keepNext/>
              <w:spacing w:line="276" w:lineRule="auto" w:after="0"/>
              <w:ind w:firstLine="0"/>
              <w:jc w:val="left"/>
            </w:pPr>
            <w:r>
              <w:rPr>
                <w:b w:val="0"/>
                <w:sz w:val="18"/>
              </w:rPr>
              <w:t>含费用代理的日账本</w:t>
            </w:r>
          </w:p>
        </w:tc>
      </w:tr>
      <w:tr>
        <w:trPr>
          <w:cantSplit/>
        </w:trPr>
        <w:tc>
          <w:tcPr>
            <w:tcW w:type="dxa" w:w="1417"/>
            <w:vAlign w:val="center"/>
          </w:tcPr>
          <w:p>
            <w:pPr>
              <w:keepNext/>
              <w:spacing w:line="276" w:lineRule="auto" w:after="0"/>
              <w:ind w:firstLine="0"/>
              <w:jc w:val="left"/>
            </w:pPr>
            <w:r>
              <w:rPr>
                <w:b w:val="0"/>
                <w:sz w:val="18"/>
              </w:rPr>
              <w:t>04 政策v2/v3</w:t>
            </w:r>
          </w:p>
        </w:tc>
        <w:tc>
          <w:tcPr>
            <w:tcW w:type="dxa" w:w="2891"/>
            <w:vAlign w:val="center"/>
          </w:tcPr>
          <w:p>
            <w:pPr>
              <w:keepNext/>
              <w:spacing w:line="276" w:lineRule="auto" w:after="0"/>
              <w:ind w:firstLine="0"/>
              <w:jc w:val="left"/>
            </w:pPr>
            <w:r>
              <w:rPr>
                <w:b w:val="0"/>
                <w:sz w:val="18"/>
              </w:rPr>
              <w:t>排序、顺序、温度与Top-G改动</w:t>
            </w:r>
          </w:p>
        </w:tc>
        <w:tc>
          <w:tcPr>
            <w:tcW w:type="dxa" w:w="1757"/>
            <w:vAlign w:val="center"/>
          </w:tcPr>
          <w:p>
            <w:pPr>
              <w:keepNext/>
              <w:spacing w:line="276" w:lineRule="auto" w:after="0"/>
              <w:ind w:firstLine="0"/>
              <w:jc w:val="left"/>
            </w:pPr>
            <w:r>
              <w:rPr>
                <w:b w:val="0"/>
                <w:sz w:val="18"/>
              </w:rPr>
              <w:t>p1及同池基准</w:t>
            </w:r>
          </w:p>
        </w:tc>
        <w:tc>
          <w:tcPr>
            <w:tcW w:type="dxa" w:w="2948"/>
            <w:vAlign w:val="center"/>
          </w:tcPr>
          <w:p>
            <w:pPr>
              <w:keepNext/>
              <w:spacing w:line="276" w:lineRule="auto" w:after="0"/>
              <w:ind w:firstLine="0"/>
              <w:jc w:val="left"/>
            </w:pPr>
            <w:r>
              <w:rPr>
                <w:b w:val="0"/>
                <w:sz w:val="18"/>
              </w:rPr>
              <w:t>探索性日账本</w:t>
            </w:r>
          </w:p>
        </w:tc>
      </w:tr>
      <w:tr>
        <w:trPr>
          <w:cantSplit/>
        </w:trPr>
        <w:tc>
          <w:tcPr>
            <w:tcW w:type="dxa" w:w="1417"/>
            <w:vAlign w:val="center"/>
          </w:tcPr>
          <w:p>
            <w:pPr>
              <w:keepNext/>
              <w:spacing w:line="276" w:lineRule="auto" w:after="0"/>
              <w:ind w:firstLine="0"/>
              <w:jc w:val="left"/>
            </w:pPr>
            <w:r>
              <w:rPr>
                <w:b w:val="0"/>
                <w:sz w:val="18"/>
              </w:rPr>
              <w:t>04 独立NN分支</w:t>
            </w:r>
          </w:p>
        </w:tc>
        <w:tc>
          <w:tcPr>
            <w:tcW w:type="dxa" w:w="2891"/>
            <w:vAlign w:val="center"/>
          </w:tcPr>
          <w:p>
            <w:pPr>
              <w:keepNext/>
              <w:spacing w:line="276" w:lineRule="auto" w:after="0"/>
              <w:ind w:firstLine="0"/>
              <w:jc w:val="left"/>
            </w:pPr>
            <w:r>
              <w:rPr>
                <w:b w:val="0"/>
                <w:sz w:val="18"/>
              </w:rPr>
              <w:t>v4为34维；v5为42维收益预测</w:t>
            </w:r>
          </w:p>
        </w:tc>
        <w:tc>
          <w:tcPr>
            <w:tcW w:type="dxa" w:w="1757"/>
            <w:vAlign w:val="center"/>
          </w:tcPr>
          <w:p>
            <w:pPr>
              <w:keepNext/>
              <w:spacing w:line="276" w:lineRule="auto" w:after="0"/>
              <w:ind w:firstLine="0"/>
              <w:jc w:val="left"/>
            </w:pPr>
            <w:r>
              <w:rPr>
                <w:b w:val="0"/>
                <w:sz w:val="18"/>
              </w:rPr>
              <w:t>F17、Ridge及v1</w:t>
            </w:r>
          </w:p>
        </w:tc>
        <w:tc>
          <w:tcPr>
            <w:tcW w:type="dxa" w:w="2948"/>
            <w:vAlign w:val="center"/>
          </w:tcPr>
          <w:p>
            <w:pPr>
              <w:keepNext/>
              <w:spacing w:line="276" w:lineRule="auto" w:after="0"/>
              <w:ind w:firstLine="0"/>
              <w:jc w:val="left"/>
            </w:pPr>
            <w:r>
              <w:rPr>
                <w:b w:val="0"/>
                <w:sz w:val="18"/>
              </w:rPr>
              <w:t>v1日账本；v4/v5周期诊断</w:t>
            </w:r>
          </w:p>
        </w:tc>
      </w:tr>
    </w:tbl>
    <w:p>
      <w:pPr>
        <w:pStyle w:val="Caption"/>
        <w:spacing w:before="80" w:after="180"/>
      </w:pPr>
      <w:r>
        <w:t>注：第四类含两条独立路线，目录归档关系不表示它们共享股票池、训练目标或回测协议。</w:t>
      </w:r>
    </w:p>
    <w:p>
      <w:pPr>
        <w:pStyle w:val="Heading2"/>
      </w:pPr>
      <w:r>
        <w:t>2.2 基础面板与股票池</w:t>
      </w:r>
    </w:p>
    <w:p>
      <w:pPr>
        <w:jc w:val="both"/>
      </w:pPr>
      <w:r>
        <w:t>原F17及政策研究使用的面板包含13,408,542条股票日观测，覆盖5,221个证券，日期为2010年1月4日至2026年9月28日。F17主股票池要求证券可交易、上市满250个交易日，剔除ST、流通市值最小30%及形成日涨停代理。剔除极小市值股票的动机来自Liu et al.（2019）对中国壳价值的讨论，但本项目使用的流通市值代理与原文数据口径存在差异，不能据此宣称完全复制了原文股票池。</w:t>
      </w:r>
    </w:p>
    <w:p>
      <w:pPr>
        <w:jc w:val="both"/>
      </w:pPr>
      <w:r>
        <w:t>政策网络采用不同股票池：过去60日成交额排名前1,000、上市满252日，并结合ST和停牌条件。流动性筛选旨在降低组合实施难度，但会改变因子暴露及收益分布，因此该路线中的F17对照必须在同池、同执行器内解释。后续NN研究重新整理了数据包；v4/v5共有150个形成日、342,390条形成日股票观测和4,493个证券，其中327,663条具有有效标签。其外推预测覆盖2021年1月22日至2025年12月31日的58个形成日，共175,068条有效标签。</w:t>
      </w:r>
    </w:p>
    <w:p>
      <w:pPr>
        <w:jc w:val="both"/>
      </w:pPr>
      <w:r>
        <w:t>形成日范围不等于收益兑现范围。v4/v5最后一期形成于2025年12月31日，入场为2026年1月5日，标签终点为2026年2月3日。因此，本文将该实验称为“2021至2025年形成日实验”，而不声称其收益信息全部截止于2025年末。</w:t>
      </w:r>
    </w:p>
    <w:p>
      <w:pPr>
        <w:pStyle w:val="Heading2"/>
      </w:pPr>
      <w:r>
        <w:t>2.3 数据边界与证据层级</w:t>
      </w:r>
    </w:p>
    <w:p>
      <w:pPr>
        <w:jc w:val="both"/>
      </w:pPr>
      <w:r>
        <w:t>数据来源包含行情、复权价格、财务及估值代理，但尚未完成交易所级公司行动和退市末端处置核验。早期面板由已有证券样本左连接补充行情，原始行情来源中存在270个沪深代码未进入主面板；这些代码的遗漏原因及收益偏差方向并未逐一确定。历史流通股本、ST、涨跌停和行业分类也存在代理成分，尤其静态行业分类不能替代严格的历史行业分类。</w:t>
      </w:r>
    </w:p>
    <w:p>
      <w:pPr>
        <w:jc w:val="both"/>
      </w:pPr>
      <w:r>
        <w:t>本文把证据分为三层。第一层是原始实验保存的系数、预测和收益文件，用于确认实际做过什么及输出为何；第二层是从这些收益文件重新计算的指标，用于统一数学定义；第三层是对源代码与保存结果之间关系的审计，用于判断结果可以支持何种解释。重新计算指标能够修正统计口径，却不能自动修复原始股票池、标签或执行缺陷。当前政策源码已经包含多轮修改，缺少部分早期实验的完整代码快照，因此针对现源码发现的缺陷需与历史版本溯源限制同时披露。</w:t>
      </w:r>
    </w:p>
    <w:p>
      <w:pPr>
        <w:pStyle w:val="Heading1"/>
      </w:pPr>
      <w:r>
        <w:t>3 模型选择与权重设计</w:t>
      </w:r>
    </w:p>
    <w:p>
      <w:pPr>
        <w:pStyle w:val="Heading2"/>
      </w:pPr>
      <w:r>
        <w:t>3.1 F17固定等权评分</w:t>
      </w:r>
    </w:p>
    <w:p>
      <w:pPr>
        <w:jc w:val="both"/>
      </w:pPr>
      <w:r>
        <w:t>F17由换手、彩票偏好、日内及短期反转、流动性、波动、市场暴露和统计联动等特征构成。具体名单、定义及方向见附录A。经济动机来自对投资者交易行为、风险暴露和信息反应的不同刻画。例如，Bali et al.（2011）的MAX异象为反彩票特征提供先验；但美国文献的发现不能代替本项目在A股上的检验。COMMOVE等统计联动指标也仅描述共变关系，不能自动等同于Cohen and Frazzini（2008）研究的客户供应商经济联系。</w:t>
      </w:r>
    </w:p>
    <w:p>
      <w:pPr>
        <w:jc w:val="both"/>
      </w:pPr>
      <w:r>
        <w:t>各因子依次经过股票池掩码、中位数与MAD去极值、行业及对数流通市值中性化、截面标准化。原实现的中性化为行业内去均值和Frisch–Waugh–Lovell残差回归，并没有施加Ridge惩罚。经处理的因子记为z，非缺失指示记为m，则每只股票的分数为：</w:t>
      </w:r>
    </w:p>
    <w:p>
      <w:pPr>
        <w:keepNext w:val="0"/>
        <w:spacing w:after="140"/>
        <w:ind w:firstLine="0"/>
        <w:jc w:val="center"/>
      </w:pPr>
      <m:oMath>
        <m:sSub>
          <m:e>
            <m:r>
              <m:t>S</m:t>
            </m:r>
          </m:e>
          <m:sub>
            <m:r>
              <m:rPr>
                <m:sty m:val="p"/>
              </m:rPr>
              <m:t>it</m:t>
            </m:r>
          </m:sub>
        </m:sSub>
        <m:r>
          <m:t>=</m:t>
        </m:r>
        <m:f>
          <m:fPr>
            <m:type m:val="bar"/>
          </m:fPr>
          <m:num>
            <m:nary>
              <m:naryPr>
                <m:chr m:val="∑"/>
                <m:limLoc m:val="undOvr"/>
                <m:grow m:val="1"/>
                <m:subHide m:val="off"/>
                <m:supHide m:val="off"/>
              </m:naryPr>
              <m:sub>
                <m:r>
                  <m:t>k=1</m:t>
                </m:r>
              </m:sub>
              <m:sup>
                <m:r>
                  <m:t>17</m:t>
                </m:r>
              </m:sup>
              <m:e>
                <m:sSub>
                  <m:e>
                    <m:r>
                      <m:t>m</m:t>
                    </m:r>
                  </m:e>
                  <m:sub>
                    <m:r>
                      <m:rPr>
                        <m:sty m:val="p"/>
                      </m:rPr>
                      <m:t>ikt</m:t>
                    </m:r>
                  </m:sub>
                </m:sSub>
                <m:sSub>
                  <m:e>
                    <m:r>
                      <m:t>z</m:t>
                    </m:r>
                  </m:e>
                  <m:sub>
                    <m:r>
                      <m:rPr>
                        <m:sty m:val="p"/>
                      </m:rPr>
                      <m:t>ikt</m:t>
                    </m:r>
                  </m:sub>
                </m:sSub>
              </m:e>
            </m:nary>
          </m:num>
          <m:den>
            <m:nary>
              <m:naryPr>
                <m:chr m:val="∑"/>
                <m:limLoc m:val="undOvr"/>
                <m:grow m:val="1"/>
                <m:subHide m:val="off"/>
                <m:supHide m:val="off"/>
              </m:naryPr>
              <m:sub>
                <m:r>
                  <m:t>k=1</m:t>
                </m:r>
              </m:sub>
              <m:sup>
                <m:r>
                  <m:t>17</m:t>
                </m:r>
              </m:sup>
              <m:e>
                <m:sSub>
                  <m:e>
                    <m:r>
                      <m:t>m</m:t>
                    </m:r>
                  </m:e>
                  <m:sub>
                    <m:r>
                      <m:rPr>
                        <m:sty m:val="p"/>
                      </m:rPr>
                      <m:t>ikt</m:t>
                    </m:r>
                  </m:sub>
                </m:sSub>
              </m:e>
            </m:nary>
          </m:den>
        </m:f>
        <m:r>
          <m:rPr>
            <m:nor/>
          </m:rPr>
          <m:t>(1)</m:t>
        </m:r>
      </m:oMath>
    </w:p>
    <w:p>
      <w:pPr>
        <w:jc w:val="both"/>
      </w:pPr>
      <w:r>
        <w:t>全部17个因子可用时，每个因子的权重为1/17，约5.88%；缺失时按实际可用因子数调整分母。这种规则避免直接估计17个收益系数，提供可解释的低自由度先验，但也隐含不同因子具有相近可用信息的约束。DeMiguel et al.（2009）的1/N资产配置为保留简单基准提供统计启发；资产等权与本研究的因子评分等权是不同对象，不能把其结论机械转化为1/17必然最优。</w:t>
      </w:r>
    </w:p>
    <w:p>
      <w:pPr>
        <w:jc w:val="both"/>
      </w:pPr>
      <w:r>
        <w:t>因子权重和股票资金权重必须分开。后期F17主配置选择50只股票，目标等权，通常每只占2%；3%是单股上限，不是每只股票的固定配置。排名缓冲系数0.6允许已有持仓在前80名内继续持有，再补足50只，从而减少排名边界附近的交易。信号每21个交易日更新，设计上对应约一个月的持有周期。Novy-Marx and Velikov（2016）为买入与持有采用不同门槛提供了成本动机，但没有证明50只、80名或3%是普遍最优参数。</w:t>
      </w:r>
    </w:p>
    <w:p>
      <w:pPr>
        <w:pStyle w:val="Heading2"/>
      </w:pPr>
      <w:r>
        <w:t>3.2 正则化与因子权重重新分配</w:t>
      </w:r>
    </w:p>
    <w:p>
      <w:pPr>
        <w:jc w:val="both"/>
      </w:pPr>
      <w:r>
        <w:t>重估系数的目的，是允许不同因子的信息强度不同；正则化的目的，是防止有限时间样本与共线性造成不稳定权重。设训练截面处理后的特征矩阵为X，截面排序并标准化的收益标签为y，等权先验为β₀，则Ridge类估计写为：</w:t>
      </w:r>
    </w:p>
    <w:p>
      <w:pPr>
        <w:keepNext/>
        <w:spacing w:after="140"/>
        <w:ind w:firstLine="0"/>
        <w:jc w:val="center"/>
      </w:pPr>
      <m:oMath>
        <m:sSub>
          <m:e>
            <m:acc>
              <m:accPr>
                <m:chr m:val="̂"/>
              </m:accPr>
              <m:e>
                <m:r>
                  <m:t>β</m:t>
                </m:r>
              </m:e>
            </m:acc>
          </m:e>
          <m:sub>
            <m:r>
              <m:t>λ</m:t>
            </m:r>
          </m:sub>
        </m:sSub>
        <m:r>
          <m:t>=</m:t>
        </m:r>
        <m:sSub>
          <m:e>
            <m:r>
              <m:rPr>
                <m:sty m:val="p"/>
              </m:rPr>
              <m:t>argmin</m:t>
            </m:r>
          </m:e>
          <m:sub>
            <m:r>
              <m:t>β</m:t>
            </m:r>
          </m:sub>
        </m:sSub>
        <m:r>
          <m:t>{</m:t>
        </m:r>
        <m:f>
          <m:fPr>
            <m:type m:val="bar"/>
          </m:fPr>
          <m:num>
            <m:sSup>
              <m:e>
                <m:d>
                  <m:dPr>
                    <m:begChr m:val="‖"/>
                    <m:sepChr m:val="−"/>
                    <m:endChr m:val="‖"/>
                  </m:dPr>
                  <m:e>
                    <m:r>
                      <m:t>y</m:t>
                    </m:r>
                  </m:e>
                  <m:e>
                    <m:r>
                      <m:t>X</m:t>
                    </m:r>
                    <m:r>
                      <m:t>β</m:t>
                    </m:r>
                  </m:e>
                </m:d>
              </m:e>
              <m:sup>
                <m:r>
                  <m:t>2</m:t>
                </m:r>
              </m:sup>
            </m:sSup>
          </m:num>
          <m:den>
            <m:r>
              <m:t>n</m:t>
            </m:r>
          </m:den>
        </m:f>
        <m:r>
          <m:t>+λ</m:t>
        </m:r>
        <m:sSup>
          <m:e>
            <m:d>
              <m:dPr>
                <m:begChr m:val="‖"/>
                <m:sepChr m:val="−"/>
                <m:endChr m:val="‖"/>
              </m:dPr>
              <m:e>
                <m:r>
                  <m:t>β</m:t>
                </m:r>
              </m:e>
              <m:e>
                <m:sSub>
                  <m:e>
                    <m:r>
                      <m:t>β</m:t>
                    </m:r>
                  </m:e>
                  <m:sub>
                    <m:r>
                      <m:t>0</m:t>
                    </m:r>
                  </m:sub>
                </m:sSub>
              </m:e>
            </m:d>
          </m:e>
          <m:sup>
            <m:r>
              <m:t>2</m:t>
            </m:r>
          </m:sup>
        </m:sSup>
        <m:r>
          <m:t>}</m:t>
        </m:r>
        <m:r>
          <m:rPr>
            <m:nor/>
          </m:rPr>
          <m:t>(2)</m:t>
        </m:r>
      </m:oMath>
    </w:p>
    <w:p>
      <w:pPr>
        <w:keepNext w:val="0"/>
        <w:spacing w:after="140"/>
        <w:ind w:firstLine="0"/>
        <w:jc w:val="center"/>
      </w:pPr>
      <m:oMath>
        <m:sSub>
          <m:e>
            <m:acc>
              <m:accPr>
                <m:chr m:val="̂"/>
              </m:accPr>
              <m:e>
                <m:r>
                  <m:t>β</m:t>
                </m:r>
              </m:e>
            </m:acc>
          </m:e>
          <m:sub>
            <m:r>
              <m:t>λ</m:t>
            </m:r>
          </m:sub>
        </m:sSub>
        <m:r>
          <m:t>=</m:t>
        </m:r>
        <m:sSup>
          <m:e>
            <m:d>
              <m:dPr>
                <m:sepChr m:val="+"/>
              </m:dPr>
              <m:e>
                <m:f>
                  <m:fPr>
                    <m:type m:val="bar"/>
                  </m:fPr>
                  <m:num>
                    <m:sSup>
                      <m:e>
                        <m:r>
                          <m:t>X</m:t>
                        </m:r>
                      </m:e>
                      <m:sup>
                        <m:r>
                          <m:t>′</m:t>
                        </m:r>
                      </m:sup>
                    </m:sSup>
                    <m:r>
                      <m:t>X</m:t>
                    </m:r>
                  </m:num>
                  <m:den>
                    <m:r>
                      <m:t>n</m:t>
                    </m:r>
                  </m:den>
                </m:f>
              </m:e>
              <m:e>
                <m:r>
                  <m:t>λ</m:t>
                </m:r>
                <m:r>
                  <m:t>I</m:t>
                </m:r>
              </m:e>
            </m:d>
          </m:e>
          <m:sup>
            <m:r>
              <m:rPr>
                <m:sty m:val="p"/>
              </m:rPr>
              <m:t>−1</m:t>
            </m:r>
          </m:sup>
        </m:sSup>
        <m:r>
          <m:t>(</m:t>
        </m:r>
        <m:f>
          <m:fPr>
            <m:type m:val="bar"/>
          </m:fPr>
          <m:num>
            <m:sSup>
              <m:e>
                <m:r>
                  <m:t>X</m:t>
                </m:r>
              </m:e>
              <m:sup>
                <m:r>
                  <m:t>′</m:t>
                </m:r>
              </m:sup>
            </m:sSup>
            <m:r>
              <m:t>y</m:t>
            </m:r>
          </m:num>
          <m:den>
            <m:r>
              <m:t>n</m:t>
            </m:r>
          </m:den>
        </m:f>
        <m:r>
          <m:t>+λ</m:t>
        </m:r>
        <m:sSub>
          <m:e>
            <m:r>
              <m:t>β</m:t>
            </m:r>
          </m:e>
          <m:sub>
            <m:r>
              <m:t>0</m:t>
            </m:r>
          </m:sub>
        </m:sSub>
        <m:r>
          <m:t>)</m:t>
        </m:r>
        <m:r>
          <m:rPr>
            <m:sty m:val="p"/>
          </m:rPr>
          <m:t/>
        </m:r>
      </m:oMath>
    </w:p>
    <w:p>
      <w:pPr>
        <w:jc w:val="both"/>
      </w:pPr>
      <w:r>
        <w:t>β₀取零时，惩罚鼓励系数接近零；β₀取1/17向量时，惩罚鼓励保留原有等权结构。两者经济含义不同。用于股票排序时，全部系数共同缩小不改变排序，因此零先验Ridge选择很大的λ，并不意味着回到等权，也不能简单解释为“放弃拟合”；而向等权收缩在λ足够大时才趋近原先验。</w:t>
      </w:r>
    </w:p>
    <w:p>
      <w:pPr>
        <w:jc w:val="both"/>
      </w:pPr>
      <w:r>
        <w:t>OLS用于识别不受约束估计的结果；Lasso通过L1惩罚产生稀疏性；Elastic Net同时保留L1与L2约束，实验中l1_ratio为0.5。Freyberger et al.（2020）研究的是非参数特征函数及自适应组Lasso，本项目未完成其rank样条和分组惩罚的完整复现；虽然代码存在自适应Lasso函数，最终归档模型列表也不包含其完整结果，故本文不将其列为已完成的主实验。</w:t>
      </w:r>
    </w:p>
    <w:p>
      <w:pPr>
        <w:jc w:val="both"/>
      </w:pPr>
      <w:r>
        <w:t>另两类方法用于检验不同的经济先验。Kozak式适配先将每个因子构造成头尾20%的多空收益，再以其均值与协方差估计收缩系数。它借鉴Kozak et al.（2020）的SDF收缩思想，却不是逐股收益Ridge，也不构成原文完整复制。Ledoit and Wolf（2003）讨论的协方差收缩则属于风险估计层，不能与这些收益系数惩罚混用名称。Brandt式适配先从参数组合的样本收益中估计方向，再向等权方向收缩；最终部署仍把系数用于排序和十分位组合，因此与Brandt et al.（2009）直接参数化资金权重的原始政策有所不同。</w:t>
      </w:r>
    </w:p>
    <w:p>
      <w:pPr>
        <w:pStyle w:val="Heading2"/>
      </w:pPr>
      <w:r>
        <w:t>3.3 原始关系增强组合政策网络</w:t>
      </w:r>
    </w:p>
    <w:p>
      <w:pPr>
        <w:jc w:val="both"/>
      </w:pPr>
      <w:r>
        <w:t>直接组合政策的动机是缩短信号预测与投资目标之间的距离。模型从股票自身特征、统计关系邻居、市场状态及预留的账户状态列产生股票logit，并增加现金logit，再通过softmax和组合约束映射为目标权重。归档主实验未开启动态现金、持仓数量和上一期个股权重输入，不能将预留结构解释为已完成的持仓反馈学习。Brandt et al.（2009）及Simon et al.（2026）说明了直接从特征学习组合政策的研究方向；本项目的多头、现金、容量和费用设定是面向A股的适配。</w:t>
      </w:r>
    </w:p>
    <w:p>
      <w:pPr>
        <w:jc w:val="both"/>
      </w:pPr>
      <w:r>
        <w:t>10个基础特征包括5、20、60、120、252日收益，20、60日波动，20日Amihud指标，20日最大单日收益，以及成交额相对于60日均值的比例。其名称中的turnover并非严格换手率，max5也并非F17中的五个最大日收益均值。自身特征和缺失标记占20维，邻居当期与滞后特征及缺失信息占40维，再加关系有效性、市场与账户信息，形成70维输入。关系图仅使用过去120日去市场均值后的收益相关，最少80个有效观测，每股最多10个正相关邻居，因此它是历史统计关系的表示。</w:t>
      </w:r>
    </w:p>
    <w:p>
      <w:pPr>
        <w:jc w:val="both"/>
      </w:pPr>
      <w:r>
        <w:t>共享网络结构为70→32→16→1，含现金参数共2,818个参数，使用ReLU和0.1 dropout。原p1采用三个随机种子，学习率0.005，最多40轮、耐心值12、batch为16、编码器L2系数0.001；温度由1.0退火至0.1。较低温度使权重更集中，因此温度是资金集中度与学习动态的控制量，而不是因子的经济权重。多个种子的目标权重先平均，再进入同一执行账本，以降低单次初始化对配置的影响。</w:t>
      </w:r>
    </w:p>
    <w:p>
      <w:pPr>
        <w:keepNext w:val="0"/>
        <w:spacing w:after="140"/>
        <w:ind w:firstLine="0"/>
        <w:jc w:val="center"/>
      </w:pPr>
      <m:oMath>
        <m:sSub>
          <m:e>
            <m:r>
              <m:t>p</m:t>
            </m:r>
          </m:e>
          <m:sub>
            <m:r>
              <m:t>i</m:t>
            </m:r>
          </m:sub>
        </m:sSub>
        <m:r>
          <m:t>=</m:t>
        </m:r>
        <m:f>
          <m:fPr>
            <m:type m:val="bar"/>
          </m:fPr>
          <m:num>
            <m:r>
              <m:rPr>
                <m:sty m:val="p"/>
              </m:rPr>
              <m:t>exp</m:t>
            </m:r>
            <m:r>
              <m:t>(</m:t>
            </m:r>
            <m:f>
              <m:fPr>
                <m:type m:val="bar"/>
              </m:fPr>
              <m:num>
                <m:sSub>
                  <m:e>
                    <m:r>
                      <m:t>s</m:t>
                    </m:r>
                  </m:e>
                  <m:sub>
                    <m:r>
                      <m:t>i</m:t>
                    </m:r>
                  </m:sub>
                </m:sSub>
              </m:num>
              <m:den>
                <m:r>
                  <m:t>T</m:t>
                </m:r>
              </m:den>
            </m:f>
            <m:r>
              <m:t>)</m:t>
            </m:r>
          </m:num>
          <m:den>
            <m:r>
              <m:rPr>
                <m:sty m:val="p"/>
              </m:rPr>
              <m:t>exp</m:t>
            </m:r>
            <m:r>
              <m:t>(c)+</m:t>
            </m:r>
            <m:nary>
              <m:naryPr>
                <m:chr m:val="∑"/>
                <m:limLoc m:val="subSup"/>
                <m:grow m:val="1"/>
                <m:subHide m:val="off"/>
                <m:supHide m:val="on"/>
              </m:naryPr>
              <m:sub>
                <m:r>
                  <m:t>j</m:t>
                </m:r>
              </m:sub>
              <m:sup/>
              <m:e>
                <m:r>
                  <m:rPr>
                    <m:sty m:val="p"/>
                  </m:rPr>
                  <m:t>exp</m:t>
                </m:r>
                <m:r>
                  <m:t>(</m:t>
                </m:r>
              </m:e>
            </m:nary>
            <m:f>
              <m:fPr>
                <m:type m:val="bar"/>
              </m:fPr>
              <m:num>
                <m:sSub>
                  <m:e>
                    <m:r>
                      <m:t>s</m:t>
                    </m:r>
                  </m:e>
                  <m:sub>
                    <m:r>
                      <m:t>j</m:t>
                    </m:r>
                  </m:sub>
                </m:sSub>
              </m:num>
              <m:den>
                <m:r>
                  <m:t>T</m:t>
                </m:r>
              </m:den>
            </m:f>
            <m:r>
              <m:t>)</m:t>
            </m:r>
          </m:den>
        </m:f>
        <m:r>
          <m:t>,</m:t>
        </m:r>
        <m:sSub>
          <m:e>
            <m:r>
              <m:t>p</m:t>
            </m:r>
          </m:e>
          <m:sub>
            <m:r>
              <m:rPr>
                <m:sty m:val="p"/>
              </m:rPr>
              <m:t>cash</m:t>
            </m:r>
          </m:sub>
        </m:sSub>
        <m:r>
          <m:t>=</m:t>
        </m:r>
        <m:f>
          <m:fPr>
            <m:type m:val="bar"/>
          </m:fPr>
          <m:num>
            <m:r>
              <m:rPr>
                <m:sty m:val="p"/>
              </m:rPr>
              <m:t>exp</m:t>
            </m:r>
            <m:r>
              <m:t>(c)</m:t>
            </m:r>
          </m:num>
          <m:den>
            <m:r>
              <m:rPr>
                <m:sty m:val="p"/>
              </m:rPr>
              <m:t>exp</m:t>
            </m:r>
            <m:r>
              <m:t>(c)+</m:t>
            </m:r>
            <m:nary>
              <m:naryPr>
                <m:chr m:val="∑"/>
                <m:limLoc m:val="subSup"/>
                <m:grow m:val="1"/>
                <m:subHide m:val="off"/>
                <m:supHide m:val="on"/>
              </m:naryPr>
              <m:sub>
                <m:r>
                  <m:t>j</m:t>
                </m:r>
              </m:sub>
              <m:sup/>
              <m:e>
                <m:r>
                  <m:rPr>
                    <m:sty m:val="p"/>
                  </m:rPr>
                  <m:t>exp</m:t>
                </m:r>
                <m:r>
                  <m:t>(</m:t>
                </m:r>
              </m:e>
            </m:nary>
            <m:f>
              <m:fPr>
                <m:type m:val="bar"/>
              </m:fPr>
              <m:num>
                <m:sSub>
                  <m:e>
                    <m:r>
                      <m:t>s</m:t>
                    </m:r>
                  </m:e>
                  <m:sub>
                    <m:r>
                      <m:t>j</m:t>
                    </m:r>
                  </m:sub>
                </m:sSub>
              </m:num>
              <m:den>
                <m:r>
                  <m:t>T</m:t>
                </m:r>
              </m:den>
            </m:f>
            <m:r>
              <m:t>)</m:t>
            </m:r>
          </m:den>
        </m:f>
        <m:r>
          <m:rPr>
            <m:nor/>
          </m:rPr>
          <m:t>(3)</m:t>
        </m:r>
      </m:oMath>
    </w:p>
    <w:p>
      <w:pPr>
        <w:jc w:val="both"/>
      </w:pPr>
      <w:r>
        <w:t>式中p为训练层原始softmax权重，s为股票分数，c为现金参数；股票分数除以温度T，现金参数不除以T。top-G版本把头部集合以外的股票logit置为负无穷。原始输出还需经过投影与读出；当前源码的部分投影路径会重新分配现金预算，因此现金节点不能直接等同于最终账户的现金持有比例。缺少逐次历史快照时，该观察也不能自动追溯为所有早期实验的行为。</w:t>
      </w:r>
    </w:p>
    <w:p>
      <w:pPr>
        <w:jc w:val="both"/>
      </w:pPr>
      <w:r>
        <w:t>当前代码实际优化的是组合算术收益减费用代理、再加L2惩罚；目标中不存在log1p，故不应沿用早期说明中的“精确对数财富增长最大化”。另外，3%上限施加于读出与执行，训练softmax默认没有同一硬上限；训练与实际交易因此并非同一可行集合。理论上的组合政策优势，必须在这些具体映射差异下评价，而不能由模型名称直接推断。</w:t>
      </w:r>
    </w:p>
    <w:p>
      <w:pPr>
        <w:pStyle w:val="Heading2"/>
      </w:pPr>
      <w:r>
        <w:t>3.4 文献驱动的政策改进</w:t>
      </w:r>
    </w:p>
    <w:p>
      <w:pPr>
        <w:jc w:val="both"/>
      </w:pPr>
      <w:r>
        <w:t>后续政策实验分别调整监督方式、时间顺序和权重映射。ListNet辅助目标把未来收益转为截面概率目标，增加逐股票的排序监督；其目的是为截面排序增加显式监督，缓解仅以组合收益学习个股相对排序的困难。chronological按日期顺序访问训练样本，使费用代理中的上期持仓沿时间顺序传递；动态账户状态及上一期个股权重输入是另行预留功能，本轮归档主结果未开启这两个分支。top-G在训练阶段仅对排名靠前的G只股票计算softmax，本次主要尝试G=500，以减少训练时全市场密集配置与评价时头部持仓之间的差异。</w:t>
      </w:r>
    </w:p>
    <w:p>
      <w:pPr>
        <w:jc w:val="both"/>
      </w:pPr>
      <w:r>
        <w:t>另一些实验固定温度为0.6，比较以验证RankIC或收益风险代理score选择epoch，并测试强制晚轮训练、移除训练费用项及相对目标权重的不交易带。Gârleanu and Pedersen（2013）提供了在预测收益和交易成本下逐步调整持仓的经济依据；Jensen et al.（2026）进一步强调机器学习评价应面向扣除交易成本后的可实施投资机会。上述文献支持引入持仓延续及成本约束，但不推出本项目某一固定温度、25基点成本或调仓比例具有理论最优性。</w:t>
      </w:r>
    </w:p>
    <w:p>
      <w:pPr>
        <w:jc w:val="both"/>
      </w:pPr>
      <w:r>
        <w:t>这些修改并非一条经过严格控制的单因素消融链：有些版本同时改变训练顺序、选型目标、温度和读出方式，而且主要在已反复查看的2021年比较。因此本文将其解释为一组探索性实验，分别说明机制动机及实际结果，不将最优版本与最早版本的差额全部归因于某个新方法。</w:t>
      </w:r>
    </w:p>
    <w:p>
      <w:pPr>
        <w:pStyle w:val="Heading2"/>
      </w:pPr>
      <w:r>
        <w:t>3.5 F17收益预测网络的独立分支</w:t>
      </w:r>
    </w:p>
    <w:p>
      <w:pPr>
        <w:jc w:val="both"/>
      </w:pPr>
      <w:r>
        <w:t>与政策网络不同，收益预测分支使用原17个clean因子及17个缺失标记，形成34维输入，经34→32→16→1网络输出收益预测，共1,665个参数。选择浅层网络是为了在保留非线性表达能力的同时限制参数规模，并与线性Ridge对照。其方法动机来自Gu et al.（2020）及Leippold et al.（2022），但特征规模、样本和网络结构均非原文复刻。</w:t>
      </w:r>
    </w:p>
    <w:p>
      <w:pPr>
        <w:jc w:val="both"/>
      </w:pPr>
      <w:r>
        <w:t>v4采用日期等权的Huber损失，δ为1，标签按训练日期等权的绝对收益中位数缩放；AdamW训练最多100轮，patience为10，dropout为0.1。Huber损失对大误差采用线性惩罚，意在降低极端收益对拟合的支配，但其优化对象仍为全截面预测误差，未直接优化Top50净收益或Calmar。三个种子在收益单位上平均预测，随后才进行排名和持仓分配。</w:t>
      </w:r>
    </w:p>
    <w:p>
      <w:pPr>
        <w:jc w:val="both"/>
      </w:pPr>
      <w:r>
        <w:t>v5在完全相同的形成日、标签和基础因子上加入EP、BP、SP及股息率DIV及其缺失标记，输入增至42维，参数增至1,921。另行实施的估值overlay不重新训练，而把v4预测的截面秩与估值复合秩相加。该设计分别检验“估值进入非线性表示”和“估值在预测之后线性叠加”两种增量路径，不能将二者视为同一种权重估计。</w:t>
      </w:r>
    </w:p>
    <w:p>
      <w:pPr>
        <w:pStyle w:val="Heading1"/>
      </w:pPr>
      <w:r>
        <w:t>4 实验协议与绩效评价</w:t>
      </w:r>
    </w:p>
    <w:p>
      <w:pPr>
        <w:pStyle w:val="Heading2"/>
      </w:pPr>
      <w:r>
        <w:t>4.1 时间划分与参数选择</w:t>
      </w:r>
    </w:p>
    <w:p>
      <w:pPr>
        <w:jc w:val="both"/>
      </w:pPr>
      <w:r>
        <w:t>正则化实验按年重估，采用过去五年的滚动训练窗，年度边界要求标签退出日早于测试年1月1日。开发评价为2016至2022年81个周期，重复验证为2023年1月19日至2026年8月12日42个周期。λ候选从0.003到1,000，以内层平均验证RankIC选择。代码虽然调用time_folds(n,3)，实际将样本分成三块后产生两个扩展验证折，而不是三个验证折；内层边界尚未逐个按标签终点purge。这些细节决定参数选择的实际信息集。</w:t>
      </w:r>
    </w:p>
    <w:p>
      <w:pPr>
        <w:jc w:val="both"/>
      </w:pPr>
      <w:r>
        <w:t>原政策p1的首折训练2013至2018年、验证2019至2020年、测试2021年；下一折训练2013至2019年、验证2020至2021年、测试2022年。当前代码的forward_returns在报价完整时实际对应open[t+21]/open[t]−1，与收盘形成信号后下一开盘入场的契约提前一天；决策索引又只限制形成日在折内，未按标签退出日清除跨年样本。这些时序问题需要在新版本中修复，不能通过重新计算保存的收益统计消除。</w:t>
      </w:r>
    </w:p>
    <w:p>
      <w:pPr>
        <w:jc w:val="both"/>
      </w:pPr>
      <w:r>
        <w:t>NN v4/v5采用扩展训练窗。以测试年Y为例，内层训练为2013至Y−3，验证为Y−2至Y−1，随后以2013至Y−1重新拟合并预测Y。首折超参使用2019至2020年的验证损失选择，因此不能把“在2021折运行选型”误写为“代码用了2021测试收益选型”。两版均选择学习率0.001、weight decay 0.01；Ridge候选为0.0001、0.01和1，选定1。每版完成45次NN与8次Ridge拟合，台账记录53次完成。</w:t>
      </w:r>
    </w:p>
    <w:p>
      <w:pPr>
        <w:pStyle w:val="Caption"/>
        <w:keepNext/>
      </w:pPr>
      <w:r>
        <w:rPr>
          <w:b/>
        </w:rPr>
        <w:t>表2 NN v4与v5的年度训练分割</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191"/>
        <w:gridCol w:w="1984"/>
        <w:gridCol w:w="1984"/>
        <w:gridCol w:w="1984"/>
        <w:gridCol w:w="1871"/>
      </w:tblGrid>
      <w:tr>
        <w:trPr>
          <w:cantSplit/>
          <w:tblHeader/>
        </w:trPr>
        <w:tc>
          <w:tcPr>
            <w:tcW w:type="dxa" w:w="1191"/>
            <w:vAlign w:val="center"/>
            <w:shd w:fill="E7EDF2"/>
          </w:tcPr>
          <w:p>
            <w:pPr>
              <w:keepNext/>
              <w:spacing w:line="276" w:lineRule="auto" w:after="0"/>
              <w:ind w:firstLine="0"/>
              <w:jc w:val="center"/>
            </w:pPr>
            <w:r>
              <w:rPr>
                <w:b/>
                <w:sz w:val="18"/>
              </w:rPr>
              <w:t>外推年</w:t>
            </w:r>
          </w:p>
        </w:tc>
        <w:tc>
          <w:tcPr>
            <w:tcW w:type="dxa" w:w="1984"/>
            <w:vAlign w:val="center"/>
            <w:shd w:fill="E7EDF2"/>
          </w:tcPr>
          <w:p>
            <w:pPr>
              <w:keepNext/>
              <w:spacing w:line="276" w:lineRule="auto" w:after="0"/>
              <w:ind w:firstLine="0"/>
              <w:jc w:val="center"/>
            </w:pPr>
            <w:r>
              <w:rPr>
                <w:b/>
                <w:sz w:val="18"/>
              </w:rPr>
              <w:t>内层训练日期数</w:t>
            </w:r>
          </w:p>
        </w:tc>
        <w:tc>
          <w:tcPr>
            <w:tcW w:type="dxa" w:w="1984"/>
            <w:vAlign w:val="center"/>
            <w:shd w:fill="E7EDF2"/>
          </w:tcPr>
          <w:p>
            <w:pPr>
              <w:keepNext/>
              <w:spacing w:line="276" w:lineRule="auto" w:after="0"/>
              <w:ind w:firstLine="0"/>
              <w:jc w:val="center"/>
            </w:pPr>
            <w:r>
              <w:rPr>
                <w:b/>
                <w:sz w:val="18"/>
              </w:rPr>
              <w:t>内层验证日期数</w:t>
            </w:r>
          </w:p>
        </w:tc>
        <w:tc>
          <w:tcPr>
            <w:tcW w:type="dxa" w:w="1984"/>
            <w:vAlign w:val="center"/>
            <w:shd w:fill="E7EDF2"/>
          </w:tcPr>
          <w:p>
            <w:pPr>
              <w:keepNext/>
              <w:spacing w:line="276" w:lineRule="auto" w:after="0"/>
              <w:ind w:firstLine="0"/>
              <w:jc w:val="center"/>
            </w:pPr>
            <w:r>
              <w:rPr>
                <w:b/>
                <w:sz w:val="18"/>
              </w:rPr>
              <w:t>最终训练日期数</w:t>
            </w:r>
          </w:p>
        </w:tc>
        <w:tc>
          <w:tcPr>
            <w:tcW w:type="dxa" w:w="1871"/>
            <w:vAlign w:val="center"/>
            <w:shd w:fill="E7EDF2"/>
          </w:tcPr>
          <w:p>
            <w:pPr>
              <w:keepNext/>
              <w:spacing w:line="276" w:lineRule="auto" w:after="0"/>
              <w:ind w:firstLine="0"/>
              <w:jc w:val="center"/>
            </w:pPr>
            <w:r>
              <w:rPr>
                <w:b/>
                <w:sz w:val="18"/>
              </w:rPr>
              <w:t>测试形成日数</w:t>
            </w:r>
          </w:p>
        </w:tc>
      </w:tr>
      <w:tr>
        <w:trPr>
          <w:cantSplit/>
        </w:trPr>
        <w:tc>
          <w:tcPr>
            <w:tcW w:type="dxa" w:w="1191"/>
            <w:vAlign w:val="center"/>
          </w:tcPr>
          <w:p>
            <w:pPr>
              <w:keepNext/>
              <w:spacing w:line="276" w:lineRule="auto" w:after="0"/>
              <w:ind w:firstLine="0"/>
              <w:jc w:val="left"/>
            </w:pPr>
            <w:r>
              <w:rPr>
                <w:b w:val="0"/>
                <w:sz w:val="18"/>
              </w:rPr>
              <w:t>2021</w:t>
            </w:r>
          </w:p>
        </w:tc>
        <w:tc>
          <w:tcPr>
            <w:tcW w:type="dxa" w:w="1984"/>
            <w:vAlign w:val="center"/>
          </w:tcPr>
          <w:p>
            <w:pPr>
              <w:keepNext/>
              <w:spacing w:line="276" w:lineRule="auto" w:after="0"/>
              <w:ind w:firstLine="0"/>
              <w:jc w:val="center"/>
            </w:pPr>
            <w:r>
              <w:rPr>
                <w:b w:val="0"/>
                <w:sz w:val="18"/>
              </w:rPr>
              <w:t>68</w:t>
            </w:r>
          </w:p>
        </w:tc>
        <w:tc>
          <w:tcPr>
            <w:tcW w:type="dxa" w:w="1984"/>
            <w:vAlign w:val="center"/>
          </w:tcPr>
          <w:p>
            <w:pPr>
              <w:keepNext/>
              <w:spacing w:line="276" w:lineRule="auto" w:after="0"/>
              <w:ind w:firstLine="0"/>
              <w:jc w:val="center"/>
            </w:pPr>
            <w:r>
              <w:rPr>
                <w:b w:val="0"/>
                <w:sz w:val="18"/>
              </w:rPr>
              <w:t>22</w:t>
            </w:r>
          </w:p>
        </w:tc>
        <w:tc>
          <w:tcPr>
            <w:tcW w:type="dxa" w:w="1984"/>
            <w:vAlign w:val="center"/>
          </w:tcPr>
          <w:p>
            <w:pPr>
              <w:keepNext/>
              <w:spacing w:line="276" w:lineRule="auto" w:after="0"/>
              <w:ind w:firstLine="0"/>
              <w:jc w:val="center"/>
            </w:pPr>
            <w:r>
              <w:rPr>
                <w:b w:val="0"/>
                <w:sz w:val="18"/>
              </w:rPr>
              <w:t>91</w:t>
            </w:r>
          </w:p>
        </w:tc>
        <w:tc>
          <w:tcPr>
            <w:tcW w:type="dxa" w:w="1871"/>
            <w:vAlign w:val="center"/>
          </w:tcPr>
          <w:p>
            <w:pPr>
              <w:keepNext/>
              <w:spacing w:line="276" w:lineRule="auto" w:after="0"/>
              <w:ind w:firstLine="0"/>
              <w:jc w:val="center"/>
            </w:pPr>
            <w:r>
              <w:rPr>
                <w:b w:val="0"/>
                <w:sz w:val="18"/>
              </w:rPr>
              <w:t>11</w:t>
            </w:r>
          </w:p>
        </w:tc>
      </w:tr>
      <w:tr>
        <w:trPr>
          <w:cantSplit/>
        </w:trPr>
        <w:tc>
          <w:tcPr>
            <w:tcW w:type="dxa" w:w="1191"/>
            <w:vAlign w:val="center"/>
          </w:tcPr>
          <w:p>
            <w:pPr>
              <w:keepNext/>
              <w:spacing w:line="276" w:lineRule="auto" w:after="0"/>
              <w:ind w:firstLine="0"/>
              <w:jc w:val="left"/>
            </w:pPr>
            <w:r>
              <w:rPr>
                <w:b w:val="0"/>
                <w:sz w:val="18"/>
              </w:rPr>
              <w:t>2022</w:t>
            </w:r>
          </w:p>
        </w:tc>
        <w:tc>
          <w:tcPr>
            <w:tcW w:type="dxa" w:w="1984"/>
            <w:vAlign w:val="center"/>
          </w:tcPr>
          <w:p>
            <w:pPr>
              <w:keepNext/>
              <w:spacing w:line="276" w:lineRule="auto" w:after="0"/>
              <w:ind w:firstLine="0"/>
              <w:jc w:val="center"/>
            </w:pPr>
            <w:r>
              <w:rPr>
                <w:b w:val="0"/>
                <w:sz w:val="18"/>
              </w:rPr>
              <w:t>79</w:t>
            </w:r>
          </w:p>
        </w:tc>
        <w:tc>
          <w:tcPr>
            <w:tcW w:type="dxa" w:w="1984"/>
            <w:vAlign w:val="center"/>
          </w:tcPr>
          <w:p>
            <w:pPr>
              <w:keepNext/>
              <w:spacing w:line="276" w:lineRule="auto" w:after="0"/>
              <w:ind w:firstLine="0"/>
              <w:jc w:val="center"/>
            </w:pPr>
            <w:r>
              <w:rPr>
                <w:b w:val="0"/>
                <w:sz w:val="18"/>
              </w:rPr>
              <w:t>22</w:t>
            </w:r>
          </w:p>
        </w:tc>
        <w:tc>
          <w:tcPr>
            <w:tcW w:type="dxa" w:w="1984"/>
            <w:vAlign w:val="center"/>
          </w:tcPr>
          <w:p>
            <w:pPr>
              <w:keepNext/>
              <w:spacing w:line="276" w:lineRule="auto" w:after="0"/>
              <w:ind w:firstLine="0"/>
              <w:jc w:val="center"/>
            </w:pPr>
            <w:r>
              <w:rPr>
                <w:b w:val="0"/>
                <w:sz w:val="18"/>
              </w:rPr>
              <w:t>102</w:t>
            </w:r>
          </w:p>
        </w:tc>
        <w:tc>
          <w:tcPr>
            <w:tcW w:type="dxa" w:w="1871"/>
            <w:vAlign w:val="center"/>
          </w:tcPr>
          <w:p>
            <w:pPr>
              <w:keepNext/>
              <w:spacing w:line="276" w:lineRule="auto" w:after="0"/>
              <w:ind w:firstLine="0"/>
              <w:jc w:val="center"/>
            </w:pPr>
            <w:r>
              <w:rPr>
                <w:b w:val="0"/>
                <w:sz w:val="18"/>
              </w:rPr>
              <w:t>12</w:t>
            </w:r>
          </w:p>
        </w:tc>
      </w:tr>
      <w:tr>
        <w:trPr>
          <w:cantSplit/>
        </w:trPr>
        <w:tc>
          <w:tcPr>
            <w:tcW w:type="dxa" w:w="1191"/>
            <w:vAlign w:val="center"/>
          </w:tcPr>
          <w:p>
            <w:pPr>
              <w:keepNext/>
              <w:spacing w:line="276" w:lineRule="auto" w:after="0"/>
              <w:ind w:firstLine="0"/>
              <w:jc w:val="left"/>
            </w:pPr>
            <w:r>
              <w:rPr>
                <w:b w:val="0"/>
                <w:sz w:val="18"/>
              </w:rPr>
              <w:t>2023</w:t>
            </w:r>
          </w:p>
        </w:tc>
        <w:tc>
          <w:tcPr>
            <w:tcW w:type="dxa" w:w="1984"/>
            <w:vAlign w:val="center"/>
          </w:tcPr>
          <w:p>
            <w:pPr>
              <w:keepNext/>
              <w:spacing w:line="276" w:lineRule="auto" w:after="0"/>
              <w:ind w:firstLine="0"/>
              <w:jc w:val="center"/>
            </w:pPr>
            <w:r>
              <w:rPr>
                <w:b w:val="0"/>
                <w:sz w:val="18"/>
              </w:rPr>
              <w:t>91</w:t>
            </w:r>
          </w:p>
        </w:tc>
        <w:tc>
          <w:tcPr>
            <w:tcW w:type="dxa" w:w="1984"/>
            <w:vAlign w:val="center"/>
          </w:tcPr>
          <w:p>
            <w:pPr>
              <w:keepNext/>
              <w:spacing w:line="276" w:lineRule="auto" w:after="0"/>
              <w:ind w:firstLine="0"/>
              <w:jc w:val="center"/>
            </w:pPr>
            <w:r>
              <w:rPr>
                <w:b w:val="0"/>
                <w:sz w:val="18"/>
              </w:rPr>
              <w:t>22</w:t>
            </w:r>
          </w:p>
        </w:tc>
        <w:tc>
          <w:tcPr>
            <w:tcW w:type="dxa" w:w="1984"/>
            <w:vAlign w:val="center"/>
          </w:tcPr>
          <w:p>
            <w:pPr>
              <w:keepNext/>
              <w:spacing w:line="276" w:lineRule="auto" w:after="0"/>
              <w:ind w:firstLine="0"/>
              <w:jc w:val="center"/>
            </w:pPr>
            <w:r>
              <w:rPr>
                <w:b w:val="0"/>
                <w:sz w:val="18"/>
              </w:rPr>
              <w:t>114</w:t>
            </w:r>
          </w:p>
        </w:tc>
        <w:tc>
          <w:tcPr>
            <w:tcW w:type="dxa" w:w="1871"/>
            <w:vAlign w:val="center"/>
          </w:tcPr>
          <w:p>
            <w:pPr>
              <w:keepNext/>
              <w:spacing w:line="276" w:lineRule="auto" w:after="0"/>
              <w:ind w:firstLine="0"/>
              <w:jc w:val="center"/>
            </w:pPr>
            <w:r>
              <w:rPr>
                <w:b w:val="0"/>
                <w:sz w:val="18"/>
              </w:rPr>
              <w:t>11</w:t>
            </w:r>
          </w:p>
        </w:tc>
      </w:tr>
      <w:tr>
        <w:trPr>
          <w:cantSplit/>
        </w:trPr>
        <w:tc>
          <w:tcPr>
            <w:tcW w:type="dxa" w:w="1191"/>
            <w:vAlign w:val="center"/>
          </w:tcPr>
          <w:p>
            <w:pPr>
              <w:keepNext/>
              <w:spacing w:line="276" w:lineRule="auto" w:after="0"/>
              <w:ind w:firstLine="0"/>
              <w:jc w:val="left"/>
            </w:pPr>
            <w:r>
              <w:rPr>
                <w:b w:val="0"/>
                <w:sz w:val="18"/>
              </w:rPr>
              <w:t>2024</w:t>
            </w:r>
          </w:p>
        </w:tc>
        <w:tc>
          <w:tcPr>
            <w:tcW w:type="dxa" w:w="1984"/>
            <w:vAlign w:val="center"/>
          </w:tcPr>
          <w:p>
            <w:pPr>
              <w:keepNext/>
              <w:spacing w:line="276" w:lineRule="auto" w:after="0"/>
              <w:ind w:firstLine="0"/>
              <w:jc w:val="center"/>
            </w:pPr>
            <w:r>
              <w:rPr>
                <w:b w:val="0"/>
                <w:sz w:val="18"/>
              </w:rPr>
              <w:t>102</w:t>
            </w:r>
          </w:p>
        </w:tc>
        <w:tc>
          <w:tcPr>
            <w:tcW w:type="dxa" w:w="1984"/>
            <w:vAlign w:val="center"/>
          </w:tcPr>
          <w:p>
            <w:pPr>
              <w:keepNext/>
              <w:spacing w:line="276" w:lineRule="auto" w:after="0"/>
              <w:ind w:firstLine="0"/>
              <w:jc w:val="center"/>
            </w:pPr>
            <w:r>
              <w:rPr>
                <w:b w:val="0"/>
                <w:sz w:val="18"/>
              </w:rPr>
              <w:t>22</w:t>
            </w:r>
          </w:p>
        </w:tc>
        <w:tc>
          <w:tcPr>
            <w:tcW w:type="dxa" w:w="1984"/>
            <w:vAlign w:val="center"/>
          </w:tcPr>
          <w:p>
            <w:pPr>
              <w:keepNext/>
              <w:spacing w:line="276" w:lineRule="auto" w:after="0"/>
              <w:ind w:firstLine="0"/>
              <w:jc w:val="center"/>
            </w:pPr>
            <w:r>
              <w:rPr>
                <w:b w:val="0"/>
                <w:sz w:val="18"/>
              </w:rPr>
              <w:t>125</w:t>
            </w:r>
          </w:p>
        </w:tc>
        <w:tc>
          <w:tcPr>
            <w:tcW w:type="dxa" w:w="1871"/>
            <w:vAlign w:val="center"/>
          </w:tcPr>
          <w:p>
            <w:pPr>
              <w:keepNext/>
              <w:spacing w:line="276" w:lineRule="auto" w:after="0"/>
              <w:ind w:firstLine="0"/>
              <w:jc w:val="center"/>
            </w:pPr>
            <w:r>
              <w:rPr>
                <w:b w:val="0"/>
                <w:sz w:val="18"/>
              </w:rPr>
              <w:t>12</w:t>
            </w:r>
          </w:p>
        </w:tc>
      </w:tr>
      <w:tr>
        <w:trPr>
          <w:cantSplit/>
        </w:trPr>
        <w:tc>
          <w:tcPr>
            <w:tcW w:type="dxa" w:w="1191"/>
            <w:vAlign w:val="center"/>
          </w:tcPr>
          <w:p>
            <w:pPr>
              <w:keepNext/>
              <w:spacing w:line="276" w:lineRule="auto" w:after="0"/>
              <w:ind w:firstLine="0"/>
              <w:jc w:val="left"/>
            </w:pPr>
            <w:r>
              <w:rPr>
                <w:b w:val="0"/>
                <w:sz w:val="18"/>
              </w:rPr>
              <w:t>2025</w:t>
            </w:r>
          </w:p>
        </w:tc>
        <w:tc>
          <w:tcPr>
            <w:tcW w:type="dxa" w:w="1984"/>
            <w:vAlign w:val="center"/>
          </w:tcPr>
          <w:p>
            <w:pPr>
              <w:keepNext/>
              <w:spacing w:line="276" w:lineRule="auto" w:after="0"/>
              <w:ind w:firstLine="0"/>
              <w:jc w:val="center"/>
            </w:pPr>
            <w:r>
              <w:rPr>
                <w:b w:val="0"/>
                <w:sz w:val="18"/>
              </w:rPr>
              <w:t>114</w:t>
            </w:r>
          </w:p>
        </w:tc>
        <w:tc>
          <w:tcPr>
            <w:tcW w:type="dxa" w:w="1984"/>
            <w:vAlign w:val="center"/>
          </w:tcPr>
          <w:p>
            <w:pPr>
              <w:keepNext/>
              <w:spacing w:line="276" w:lineRule="auto" w:after="0"/>
              <w:ind w:firstLine="0"/>
              <w:jc w:val="center"/>
            </w:pPr>
            <w:r>
              <w:rPr>
                <w:b w:val="0"/>
                <w:sz w:val="18"/>
              </w:rPr>
              <w:t>22</w:t>
            </w:r>
          </w:p>
        </w:tc>
        <w:tc>
          <w:tcPr>
            <w:tcW w:type="dxa" w:w="1984"/>
            <w:vAlign w:val="center"/>
          </w:tcPr>
          <w:p>
            <w:pPr>
              <w:keepNext/>
              <w:spacing w:line="276" w:lineRule="auto" w:after="0"/>
              <w:ind w:firstLine="0"/>
              <w:jc w:val="center"/>
            </w:pPr>
            <w:r>
              <w:rPr>
                <w:b w:val="0"/>
                <w:sz w:val="18"/>
              </w:rPr>
              <w:t>137</w:t>
            </w:r>
          </w:p>
        </w:tc>
        <w:tc>
          <w:tcPr>
            <w:tcW w:type="dxa" w:w="1871"/>
            <w:vAlign w:val="center"/>
          </w:tcPr>
          <w:p>
            <w:pPr>
              <w:keepNext/>
              <w:spacing w:line="276" w:lineRule="auto" w:after="0"/>
              <w:ind w:firstLine="0"/>
              <w:jc w:val="center"/>
            </w:pPr>
            <w:r>
              <w:rPr>
                <w:b w:val="0"/>
                <w:sz w:val="18"/>
              </w:rPr>
              <w:t>12</w:t>
            </w:r>
          </w:p>
        </w:tc>
      </w:tr>
    </w:tbl>
    <w:p>
      <w:pPr>
        <w:pStyle w:val="Caption"/>
        <w:spacing w:before="80" w:after="180"/>
      </w:pPr>
      <w:r>
        <w:t>来源：保存训练配置和台账。日期数为形成日截面数，不是股票行数；最后标签兑现至2026年2月3日。</w:t>
      </w:r>
    </w:p>
    <w:p>
      <w:pPr>
        <w:jc w:val="both"/>
      </w:pPr>
      <w:r>
        <w:t>以上时间分割仍不等于全研究过程中的独立样本外验证。2021年以及2023年后的结果已经被多轮查看并影响研究方向，历史数据的再次分割不能恢复其未使用状态。本文因此采用“历史外推”“重复验证”或“探索性保留期”等限定词，不将其解释为实时冻结策略获得的新证据。</w:t>
      </w:r>
    </w:p>
    <w:p>
      <w:pPr>
        <w:pStyle w:val="Heading2"/>
      </w:pPr>
      <w:r>
        <w:t>4.2 预测指标与组合指标</w:t>
      </w:r>
    </w:p>
    <w:p>
      <w:pPr>
        <w:jc w:val="both"/>
      </w:pPr>
      <w:r>
        <w:t>RankIC定义为同一形成日、共同有效股票样本内，预测分数与未来收益的Spearman秩相关；它衡量全截面的排序信息。Top50收益只衡量排名最前端的投资结果，而十分位多空还涉及尾部股票及融券条件。三者优化对象不同。对不同模型应固定股票池、标签、排名样本和组合映射，否则指标变化不能纯粹归因于预测能力。</w:t>
      </w:r>
    </w:p>
    <w:p>
      <w:pPr>
        <w:jc w:val="both"/>
      </w:pPr>
      <w:r>
        <w:t>本文以复合年增长率（CAGR）、标准夏普比率（Sharpe ratio）、最大回撤（MDD）和Calmar比率报告风险收益。设r为每个观察期收益，A为年内观察期数，净值从1开始，则：</w:t>
      </w:r>
    </w:p>
    <w:p>
      <w:pPr>
        <w:keepNext/>
        <w:spacing w:after="140"/>
        <w:ind w:firstLine="0"/>
        <w:jc w:val="center"/>
      </w:pPr>
      <m:oMath>
        <m:r>
          <m:rPr>
            <m:sty m:val="p"/>
          </m:rPr>
          <m:t>CAGR</m:t>
        </m:r>
        <m:r>
          <m:t>=</m:t>
        </m:r>
        <m:sSup>
          <m:e>
            <m:d>
              <m:dPr>
                <m:begChr m:val="["/>
                <m:sepChr m:val=""/>
                <m:endChr m:val="]"/>
              </m:dPr>
              <m:e>
                <m:nary>
                  <m:naryPr>
                    <m:chr m:val="∏"/>
                    <m:limLoc m:val="undOvr"/>
                    <m:grow m:val="1"/>
                    <m:subHide m:val="off"/>
                    <m:supHide m:val="off"/>
                  </m:naryPr>
                  <m:sub>
                    <m:r>
                      <m:t>t=1</m:t>
                    </m:r>
                  </m:sub>
                  <m:sup>
                    <m:r>
                      <m:t>n</m:t>
                    </m:r>
                  </m:sup>
                  <m:e>
                    <m:r>
                      <m:t>(</m:t>
                    </m:r>
                  </m:e>
                </m:nary>
                <m:r>
                  <m:t>1</m:t>
                </m:r>
                <m:r>
                  <m:t>+</m:t>
                </m:r>
                <m:sSub>
                  <m:e>
                    <m:r>
                      <m:t>r</m:t>
                    </m:r>
                  </m:e>
                  <m:sub>
                    <m:r>
                      <m:t>t</m:t>
                    </m:r>
                  </m:sub>
                </m:sSub>
                <m:r>
                  <m:t>)</m:t>
                </m:r>
              </m:e>
            </m:d>
          </m:e>
          <m:sup>
            <m:f>
              <m:fPr>
                <m:type m:val="bar"/>
              </m:fPr>
              <m:num>
                <m:r>
                  <m:t>A</m:t>
                </m:r>
              </m:num>
              <m:den>
                <m:r>
                  <m:t>n</m:t>
                </m:r>
              </m:den>
            </m:f>
          </m:sup>
        </m:sSup>
        <m:r>
          <m:t>−1,</m:t>
        </m:r>
        <m:r>
          <m:rPr>
            <m:sty m:val="p"/>
          </m:rPr>
          <m:t>SR</m:t>
        </m:r>
        <m:r>
          <m:t>=</m:t>
        </m:r>
        <m:rad>
          <m:radPr>
            <m:degHide m:val="on"/>
          </m:radPr>
          <m:deg/>
          <m:e>
            <m:r>
              <m:t>A</m:t>
            </m:r>
          </m:e>
        </m:rad>
        <m:f>
          <m:fPr>
            <m:type m:val="bar"/>
          </m:fPr>
          <m:num>
            <m:r>
              <m:rPr>
                <m:sty m:val="p"/>
              </m:rPr>
              <m:t>mean</m:t>
            </m:r>
            <m:r>
              <m:t>(</m:t>
            </m:r>
            <m:r>
              <m:t>r−</m:t>
            </m:r>
            <m:sSup>
              <m:e>
                <m:r>
                  <m:t>r</m:t>
                </m:r>
              </m:e>
              <m:sup>
                <m:r>
                  <m:t>f</m:t>
                </m:r>
              </m:sup>
            </m:sSup>
            <m:r>
              <m:t>)</m:t>
            </m:r>
          </m:num>
          <m:den>
            <m:r>
              <m:rPr>
                <m:sty m:val="p"/>
              </m:rPr>
              <m:t>sd</m:t>
            </m:r>
            <m:r>
              <m:t>(</m:t>
            </m:r>
            <m:r>
              <m:t>r−</m:t>
            </m:r>
            <m:sSup>
              <m:e>
                <m:r>
                  <m:t>r</m:t>
                </m:r>
              </m:e>
              <m:sup>
                <m:r>
                  <m:t>f</m:t>
                </m:r>
              </m:sup>
            </m:sSup>
            <m:r>
              <m:t>)</m:t>
            </m:r>
          </m:den>
        </m:f>
        <m:r>
          <m:rPr>
            <m:nor/>
          </m:rPr>
          <m:t>(4)</m:t>
        </m:r>
      </m:oMath>
    </w:p>
    <w:p>
      <w:pPr>
        <w:keepNext/>
        <w:spacing w:after="140"/>
        <w:ind w:firstLine="0"/>
        <w:jc w:val="center"/>
      </w:pPr>
      <m:oMath>
        <m:sSub>
          <m:e>
            <m:r>
              <m:rPr>
                <m:sty m:val="p"/>
              </m:rPr>
              <m:t>DD</m:t>
            </m:r>
          </m:e>
          <m:sub>
            <m:r>
              <m:t>t</m:t>
            </m:r>
          </m:sub>
        </m:sSub>
        <m:r>
          <m:t>=</m:t>
        </m:r>
        <m:f>
          <m:fPr>
            <m:type m:val="bar"/>
          </m:fPr>
          <m:num>
            <m:sSub>
              <m:e>
                <m:r>
                  <m:t>V</m:t>
                </m:r>
              </m:e>
              <m:sub>
                <m:r>
                  <m:t>t</m:t>
                </m:r>
              </m:sub>
            </m:sSub>
          </m:num>
          <m:den>
            <m:sSub>
              <m:e>
                <m:r>
                  <m:rPr>
                    <m:sty m:val="p"/>
                  </m:rPr>
                  <m:t>max</m:t>
                </m:r>
              </m:e>
              <m:sub>
                <m:r>
                  <m:t>0≤u≤t</m:t>
                </m:r>
              </m:sub>
            </m:sSub>
            <m:sSub>
              <m:e>
                <m:r>
                  <m:t>V</m:t>
                </m:r>
              </m:e>
              <m:sub>
                <m:r>
                  <m:t>u</m:t>
                </m:r>
              </m:sub>
            </m:sSub>
          </m:den>
        </m:f>
        <m:r>
          <m:t>−1,</m:t>
        </m:r>
        <m:r>
          <m:rPr>
            <m:sty m:val="p"/>
          </m:rPr>
          <m:t>MDD</m:t>
        </m:r>
        <m:r>
          <m:t>=</m:t>
        </m:r>
        <m:sSub>
          <m:e>
            <m:r>
              <m:rPr>
                <m:sty m:val="p"/>
              </m:rPr>
              <m:t>min</m:t>
            </m:r>
          </m:e>
          <m:sub>
            <m:r>
              <m:t>t</m:t>
            </m:r>
          </m:sub>
        </m:sSub>
        <m:sSub>
          <m:e>
            <m:r>
              <m:rPr>
                <m:sty m:val="p"/>
              </m:rPr>
              <m:t>DD</m:t>
            </m:r>
          </m:e>
          <m:sub>
            <m:r>
              <m:t>t</m:t>
            </m:r>
          </m:sub>
        </m:sSub>
        <m:r>
          <m:rPr>
            <m:nor/>
          </m:rPr>
          <m:t>(5)</m:t>
        </m:r>
      </m:oMath>
    </w:p>
    <w:p>
      <w:pPr>
        <w:keepNext w:val="0"/>
        <w:spacing w:after="140"/>
        <w:ind w:firstLine="0"/>
        <w:jc w:val="center"/>
      </w:pPr>
      <m:oMath>
        <m:r>
          <m:rPr>
            <m:sty m:val="p"/>
          </m:rPr>
          <m:t>Calmar</m:t>
        </m:r>
        <m:r>
          <m:t>=</m:t>
        </m:r>
        <m:f>
          <m:fPr>
            <m:type m:val="bar"/>
          </m:fPr>
          <m:num>
            <m:r>
              <m:rPr>
                <m:sty m:val="p"/>
              </m:rPr>
              <m:t>CAGR</m:t>
            </m:r>
          </m:num>
          <m:den>
            <m:d>
              <m:dPr>
                <m:begChr m:val="|"/>
                <m:sepChr m:val=""/>
                <m:endChr m:val="|"/>
              </m:dPr>
              <m:e>
                <m:r>
                  <m:rPr>
                    <m:sty m:val="p"/>
                  </m:rPr>
                  <m:t>MDD</m:t>
                </m:r>
              </m:e>
            </m:d>
          </m:den>
        </m:f>
        <m:r>
          <m:rPr>
            <m:nor/>
          </m:rPr>
          <m:t>(6)</m:t>
        </m:r>
      </m:oMath>
    </w:p>
    <w:p>
      <w:pPr>
        <w:jc w:val="both"/>
      </w:pPr>
      <w:r>
        <w:t>日收益A取252；21日形成周期常用252/21。最大回撤以负数报告，正文说“回撤20%”时指其绝对幅度。Calmar使用CAGR除以回撤绝对值，亏损期可为负。标准夏普使用算术平均超额收益与样本标准差，而非CAGR除以波动。旧政策报告的sharpe字段实际采用后一种定义，本文已从保存日收益重算标准指标，旧字段仅留在附件以便对账。</w:t>
      </w:r>
    </w:p>
    <w:p>
      <w:pPr>
        <w:jc w:val="both"/>
      </w:pPr>
      <w:r>
        <w:t>F17独立执行审计的夏普扣除年化2%的固定无风险利率；政策网络、NN及周期标签诊断采用rf=0。每张表均标明这一差别，不能跨表直接比较夏普大小。v4/v5原读出以252/22年化，尽管t+1至t+22为21个交易日持有；本文保留原口径便于复核，并在附件提供252/21敏感性。周期端点净值无法观察持有期间的日内或逐日低点，因此其回撤及Calmar不能替代日频账户指标。</w:t>
      </w:r>
    </w:p>
    <w:p>
      <w:pPr>
        <w:pStyle w:val="Heading2"/>
      </w:pPr>
      <w:r>
        <w:t>4.3 交易与费用口径</w:t>
      </w:r>
    </w:p>
    <w:p>
      <w:pPr>
        <w:jc w:val="both"/>
      </w:pPr>
      <w:r>
        <w:t>第一类F17的旧引擎将目标向前填充后每天恢复权重，与“21日调仓”的文字描述不同；修订引擎只在决策次日交易，保留真实权重漂移，并处理无价、涨跌停冻结、现金预算和滞后成交额容量。政策网络当前实现仍是21日更新信号、逐日读取前一日目标并再平衡，不应套用修订F17仅决策日交易的描述。</w:t>
      </w:r>
    </w:p>
    <w:p>
      <w:pPr>
        <w:jc w:val="both"/>
      </w:pPr>
      <w:r>
        <w:t>政策硬执行器包含100股整数手、单边佣金2.5基点且最低5元、单边滑点10基点、分历史日期的卖出印花税，以及滞后成交额1%的参与率代理。不过复权价格记量、陈旧估值和公司行动处理仍有局限，参与率也不能代替真实开盘成交深度。相较之下，正则化和最新NN的25基点情景只按名称换手扣减收益，不是逐笔费用账本，也未充分计入持仓漂移、冲击、借贷及空头可得性。</w:t>
      </w:r>
    </w:p>
    <w:p>
      <w:pPr>
        <w:pStyle w:val="Heading1"/>
      </w:pPr>
      <w:r>
        <w:t>5 实证结果</w:t>
      </w:r>
    </w:p>
    <w:p>
      <w:pPr>
        <w:pStyle w:val="Heading2"/>
      </w:pPr>
      <w:r>
        <w:t>5.1 固定F17及执行修订</w:t>
      </w:r>
    </w:p>
    <w:p>
      <w:pPr>
        <w:jc w:val="both"/>
      </w:pPr>
      <w:r>
        <w:t>同一F17分数在不同执行规则下产生明显不同结果，说明回测器本身是研究对象的一部分。表3使用2023年1月1日至2026年9月28日906个交易日的保存收益。旧引擎复现CAGR为21.53%、夏普1.018；修订为真实月度决策、单相位后，分别为14.01%和0.942。该差异同时涉及交易时点、持仓漂移、费用与不可成交处理，不能简单归因于“每日再平衡必然夸大收益”。</w:t>
      </w:r>
    </w:p>
    <w:p>
      <w:pPr>
        <w:pStyle w:val="Caption"/>
        <w:keepNext/>
      </w:pPr>
      <w:r>
        <w:rPr>
          <w:b/>
        </w:rPr>
        <w:t>表3 固定F17在执行规则修订前后的日频结果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3572"/>
        <w:gridCol w:w="1361"/>
        <w:gridCol w:w="1247"/>
        <w:gridCol w:w="1587"/>
        <w:gridCol w:w="1247"/>
      </w:tblGrid>
      <w:tr>
        <w:trPr>
          <w:cantSplit/>
          <w:tblHeader/>
        </w:trPr>
        <w:tc>
          <w:tcPr>
            <w:tcW w:type="dxa" w:w="3572"/>
            <w:vAlign w:val="center"/>
            <w:shd w:fill="E7EDF2"/>
          </w:tcPr>
          <w:p>
            <w:pPr>
              <w:keepNext/>
              <w:spacing w:line="276" w:lineRule="auto" w:after="0"/>
              <w:ind w:firstLine="0"/>
              <w:jc w:val="center"/>
            </w:pPr>
            <w:r>
              <w:rPr>
                <w:b/>
                <w:sz w:val="18"/>
              </w:rPr>
              <w:t>版本</w:t>
            </w:r>
          </w:p>
        </w:tc>
        <w:tc>
          <w:tcPr>
            <w:tcW w:type="dxa" w:w="1361"/>
            <w:vAlign w:val="center"/>
            <w:shd w:fill="E7EDF2"/>
          </w:tcPr>
          <w:p>
            <w:pPr>
              <w:keepNext/>
              <w:spacing w:line="276" w:lineRule="auto" w:after="0"/>
              <w:ind w:firstLine="0"/>
              <w:jc w:val="center"/>
            </w:pPr>
            <w:r>
              <w:rPr>
                <w:b/>
                <w:sz w:val="18"/>
              </w:rPr>
              <w:t>CAGR</w:t>
            </w:r>
          </w:p>
        </w:tc>
        <w:tc>
          <w:tcPr>
            <w:tcW w:type="dxa" w:w="1247"/>
            <w:vAlign w:val="center"/>
            <w:shd w:fill="E7EDF2"/>
          </w:tcPr>
          <w:p>
            <w:pPr>
              <w:keepNext/>
              <w:spacing w:line="276" w:lineRule="auto" w:after="0"/>
              <w:ind w:firstLine="0"/>
              <w:jc w:val="center"/>
            </w:pPr>
            <w:r>
              <w:rPr>
                <w:b/>
                <w:sz w:val="18"/>
              </w:rPr>
              <w:t>夏普</w:t>
            </w:r>
          </w:p>
        </w:tc>
        <w:tc>
          <w:tcPr>
            <w:tcW w:type="dxa" w:w="1587"/>
            <w:vAlign w:val="center"/>
            <w:shd w:fill="E7EDF2"/>
          </w:tcPr>
          <w:p>
            <w:pPr>
              <w:keepNext/>
              <w:spacing w:line="276" w:lineRule="auto" w:after="0"/>
              <w:ind w:firstLine="0"/>
              <w:jc w:val="center"/>
            </w:pPr>
            <w:r>
              <w:rPr>
                <w:b/>
                <w:sz w:val="18"/>
              </w:rPr>
              <w:t>最大回撤</w:t>
            </w:r>
          </w:p>
        </w:tc>
        <w:tc>
          <w:tcPr>
            <w:tcW w:type="dxa" w:w="1247"/>
            <w:vAlign w:val="center"/>
            <w:shd w:fill="E7EDF2"/>
          </w:tcPr>
          <w:p>
            <w:pPr>
              <w:keepNext/>
              <w:spacing w:line="276" w:lineRule="auto" w:after="0"/>
              <w:ind w:firstLine="0"/>
              <w:jc w:val="center"/>
            </w:pPr>
            <w:r>
              <w:rPr>
                <w:b/>
                <w:sz w:val="18"/>
              </w:rPr>
              <w:t>Calmar</w:t>
            </w:r>
          </w:p>
        </w:tc>
      </w:tr>
      <w:tr>
        <w:trPr>
          <w:cantSplit/>
        </w:trPr>
        <w:tc>
          <w:tcPr>
            <w:tcW w:type="dxa" w:w="3572"/>
            <w:vAlign w:val="center"/>
          </w:tcPr>
          <w:p>
            <w:pPr>
              <w:keepNext/>
              <w:spacing w:line="276" w:lineRule="auto" w:after="0"/>
              <w:ind w:firstLine="0"/>
              <w:jc w:val="left"/>
            </w:pPr>
            <w:r>
              <w:rPr>
                <w:b w:val="0"/>
                <w:sz w:val="18"/>
              </w:rPr>
              <w:t>旧引擎 单相位0</w:t>
            </w:r>
          </w:p>
        </w:tc>
        <w:tc>
          <w:tcPr>
            <w:tcW w:type="dxa" w:w="1361"/>
            <w:vAlign w:val="center"/>
          </w:tcPr>
          <w:p>
            <w:pPr>
              <w:keepNext/>
              <w:spacing w:line="276" w:lineRule="auto" w:after="0"/>
              <w:ind w:firstLine="0"/>
              <w:jc w:val="center"/>
            </w:pPr>
            <w:r>
              <w:rPr>
                <w:b w:val="0"/>
                <w:sz w:val="18"/>
              </w:rPr>
              <w:t>21.53%</w:t>
            </w:r>
          </w:p>
        </w:tc>
        <w:tc>
          <w:tcPr>
            <w:tcW w:type="dxa" w:w="1247"/>
            <w:vAlign w:val="center"/>
          </w:tcPr>
          <w:p>
            <w:pPr>
              <w:keepNext/>
              <w:spacing w:line="276" w:lineRule="auto" w:after="0"/>
              <w:ind w:firstLine="0"/>
              <w:jc w:val="center"/>
            </w:pPr>
            <w:r>
              <w:rPr>
                <w:b w:val="0"/>
                <w:sz w:val="18"/>
              </w:rPr>
              <w:t>1.018</w:t>
            </w:r>
          </w:p>
        </w:tc>
        <w:tc>
          <w:tcPr>
            <w:tcW w:type="dxa" w:w="1587"/>
            <w:vAlign w:val="center"/>
          </w:tcPr>
          <w:p>
            <w:pPr>
              <w:keepNext/>
              <w:spacing w:line="276" w:lineRule="auto" w:after="0"/>
              <w:ind w:firstLine="0"/>
              <w:jc w:val="center"/>
            </w:pPr>
            <w:r>
              <w:rPr>
                <w:b w:val="0"/>
                <w:sz w:val="18"/>
              </w:rPr>
              <w:t>-25.43%</w:t>
            </w:r>
          </w:p>
        </w:tc>
        <w:tc>
          <w:tcPr>
            <w:tcW w:type="dxa" w:w="1247"/>
            <w:vAlign w:val="center"/>
          </w:tcPr>
          <w:p>
            <w:pPr>
              <w:keepNext/>
              <w:spacing w:line="276" w:lineRule="auto" w:after="0"/>
              <w:ind w:firstLine="0"/>
              <w:jc w:val="center"/>
            </w:pPr>
            <w:r>
              <w:rPr>
                <w:b w:val="0"/>
                <w:sz w:val="18"/>
              </w:rPr>
              <w:t>0.847</w:t>
            </w:r>
          </w:p>
        </w:tc>
      </w:tr>
      <w:tr>
        <w:trPr>
          <w:cantSplit/>
        </w:trPr>
        <w:tc>
          <w:tcPr>
            <w:tcW w:type="dxa" w:w="3572"/>
            <w:vAlign w:val="center"/>
          </w:tcPr>
          <w:p>
            <w:pPr>
              <w:keepNext/>
              <w:spacing w:line="276" w:lineRule="auto" w:after="0"/>
              <w:ind w:firstLine="0"/>
              <w:jc w:val="left"/>
            </w:pPr>
            <w:r>
              <w:rPr>
                <w:b w:val="0"/>
                <w:sz w:val="18"/>
              </w:rPr>
              <w:t>修订引擎 单相位0</w:t>
            </w:r>
          </w:p>
        </w:tc>
        <w:tc>
          <w:tcPr>
            <w:tcW w:type="dxa" w:w="1361"/>
            <w:vAlign w:val="center"/>
          </w:tcPr>
          <w:p>
            <w:pPr>
              <w:keepNext/>
              <w:spacing w:line="276" w:lineRule="auto" w:after="0"/>
              <w:ind w:firstLine="0"/>
              <w:jc w:val="center"/>
            </w:pPr>
            <w:r>
              <w:rPr>
                <w:b w:val="0"/>
                <w:sz w:val="18"/>
              </w:rPr>
              <w:t>14.01%</w:t>
            </w:r>
          </w:p>
        </w:tc>
        <w:tc>
          <w:tcPr>
            <w:tcW w:type="dxa" w:w="1247"/>
            <w:vAlign w:val="center"/>
          </w:tcPr>
          <w:p>
            <w:pPr>
              <w:keepNext/>
              <w:spacing w:line="276" w:lineRule="auto" w:after="0"/>
              <w:ind w:firstLine="0"/>
              <w:jc w:val="center"/>
            </w:pPr>
            <w:r>
              <w:rPr>
                <w:b w:val="0"/>
                <w:sz w:val="18"/>
              </w:rPr>
              <w:t>0.942</w:t>
            </w:r>
          </w:p>
        </w:tc>
        <w:tc>
          <w:tcPr>
            <w:tcW w:type="dxa" w:w="1587"/>
            <w:vAlign w:val="center"/>
          </w:tcPr>
          <w:p>
            <w:pPr>
              <w:keepNext/>
              <w:spacing w:line="276" w:lineRule="auto" w:after="0"/>
              <w:ind w:firstLine="0"/>
              <w:jc w:val="center"/>
            </w:pPr>
            <w:r>
              <w:rPr>
                <w:b w:val="0"/>
                <w:sz w:val="18"/>
              </w:rPr>
              <w:t>-16.14%</w:t>
            </w:r>
          </w:p>
        </w:tc>
        <w:tc>
          <w:tcPr>
            <w:tcW w:type="dxa" w:w="1247"/>
            <w:vAlign w:val="center"/>
          </w:tcPr>
          <w:p>
            <w:pPr>
              <w:keepNext/>
              <w:spacing w:line="276" w:lineRule="auto" w:after="0"/>
              <w:ind w:firstLine="0"/>
              <w:jc w:val="center"/>
            </w:pPr>
            <w:r>
              <w:rPr>
                <w:b w:val="0"/>
                <w:sz w:val="18"/>
              </w:rPr>
              <w:t>0.868</w:t>
            </w:r>
          </w:p>
        </w:tc>
      </w:tr>
      <w:tr>
        <w:trPr>
          <w:cantSplit/>
        </w:trPr>
        <w:tc>
          <w:tcPr>
            <w:tcW w:type="dxa" w:w="3572"/>
            <w:vAlign w:val="center"/>
          </w:tcPr>
          <w:p>
            <w:pPr>
              <w:keepNext/>
              <w:spacing w:line="276" w:lineRule="auto" w:after="0"/>
              <w:ind w:firstLine="0"/>
              <w:jc w:val="left"/>
            </w:pPr>
            <w:r>
              <w:rPr>
                <w:b w:val="0"/>
                <w:sz w:val="18"/>
              </w:rPr>
              <w:t>修订加不交易带 单相位0</w:t>
            </w:r>
          </w:p>
        </w:tc>
        <w:tc>
          <w:tcPr>
            <w:tcW w:type="dxa" w:w="1361"/>
            <w:vAlign w:val="center"/>
          </w:tcPr>
          <w:p>
            <w:pPr>
              <w:keepNext/>
              <w:spacing w:line="276" w:lineRule="auto" w:after="0"/>
              <w:ind w:firstLine="0"/>
              <w:jc w:val="center"/>
            </w:pPr>
            <w:r>
              <w:rPr>
                <w:b w:val="0"/>
                <w:sz w:val="18"/>
              </w:rPr>
              <w:t>13.67%</w:t>
            </w:r>
          </w:p>
        </w:tc>
        <w:tc>
          <w:tcPr>
            <w:tcW w:type="dxa" w:w="1247"/>
            <w:vAlign w:val="center"/>
          </w:tcPr>
          <w:p>
            <w:pPr>
              <w:keepNext/>
              <w:spacing w:line="276" w:lineRule="auto" w:after="0"/>
              <w:ind w:firstLine="0"/>
              <w:jc w:val="center"/>
            </w:pPr>
            <w:r>
              <w:rPr>
                <w:b w:val="0"/>
                <w:sz w:val="18"/>
              </w:rPr>
              <w:t>0.940</w:t>
            </w:r>
          </w:p>
        </w:tc>
        <w:tc>
          <w:tcPr>
            <w:tcW w:type="dxa" w:w="1587"/>
            <w:vAlign w:val="center"/>
          </w:tcPr>
          <w:p>
            <w:pPr>
              <w:keepNext/>
              <w:spacing w:line="276" w:lineRule="auto" w:after="0"/>
              <w:ind w:firstLine="0"/>
              <w:jc w:val="center"/>
            </w:pPr>
            <w:r>
              <w:rPr>
                <w:b w:val="0"/>
                <w:sz w:val="18"/>
              </w:rPr>
              <w:t>-15.59%</w:t>
            </w:r>
          </w:p>
        </w:tc>
        <w:tc>
          <w:tcPr>
            <w:tcW w:type="dxa" w:w="1247"/>
            <w:vAlign w:val="center"/>
          </w:tcPr>
          <w:p>
            <w:pPr>
              <w:keepNext/>
              <w:spacing w:line="276" w:lineRule="auto" w:after="0"/>
              <w:ind w:firstLine="0"/>
              <w:jc w:val="center"/>
            </w:pPr>
            <w:r>
              <w:rPr>
                <w:b w:val="0"/>
                <w:sz w:val="18"/>
              </w:rPr>
              <w:t>0.877</w:t>
            </w:r>
          </w:p>
        </w:tc>
      </w:tr>
      <w:tr>
        <w:trPr>
          <w:cantSplit/>
        </w:trPr>
        <w:tc>
          <w:tcPr>
            <w:tcW w:type="dxa" w:w="3572"/>
            <w:vAlign w:val="center"/>
          </w:tcPr>
          <w:p>
            <w:pPr>
              <w:keepNext/>
              <w:spacing w:line="276" w:lineRule="auto" w:after="0"/>
              <w:ind w:firstLine="0"/>
              <w:jc w:val="left"/>
            </w:pPr>
            <w:r>
              <w:rPr>
                <w:b w:val="0"/>
                <w:sz w:val="18"/>
              </w:rPr>
              <w:t>修订引擎 21相位合成</w:t>
            </w:r>
          </w:p>
        </w:tc>
        <w:tc>
          <w:tcPr>
            <w:tcW w:type="dxa" w:w="1361"/>
            <w:vAlign w:val="center"/>
          </w:tcPr>
          <w:p>
            <w:pPr>
              <w:keepNext/>
              <w:spacing w:line="276" w:lineRule="auto" w:after="0"/>
              <w:ind w:firstLine="0"/>
              <w:jc w:val="center"/>
            </w:pPr>
            <w:r>
              <w:rPr>
                <w:b w:val="0"/>
                <w:sz w:val="18"/>
              </w:rPr>
              <w:t>12.77%</w:t>
            </w:r>
          </w:p>
        </w:tc>
        <w:tc>
          <w:tcPr>
            <w:tcW w:type="dxa" w:w="1247"/>
            <w:vAlign w:val="center"/>
          </w:tcPr>
          <w:p>
            <w:pPr>
              <w:keepNext/>
              <w:spacing w:line="276" w:lineRule="auto" w:after="0"/>
              <w:ind w:firstLine="0"/>
              <w:jc w:val="center"/>
            </w:pPr>
            <w:r>
              <w:rPr>
                <w:b w:val="0"/>
                <w:sz w:val="18"/>
              </w:rPr>
              <w:t>0.844</w:t>
            </w:r>
          </w:p>
        </w:tc>
        <w:tc>
          <w:tcPr>
            <w:tcW w:type="dxa" w:w="1587"/>
            <w:vAlign w:val="center"/>
          </w:tcPr>
          <w:p>
            <w:pPr>
              <w:keepNext/>
              <w:spacing w:line="276" w:lineRule="auto" w:after="0"/>
              <w:ind w:firstLine="0"/>
              <w:jc w:val="center"/>
            </w:pPr>
            <w:r>
              <w:rPr>
                <w:b w:val="0"/>
                <w:sz w:val="18"/>
              </w:rPr>
              <w:t>-16.66%</w:t>
            </w:r>
          </w:p>
        </w:tc>
        <w:tc>
          <w:tcPr>
            <w:tcW w:type="dxa" w:w="1247"/>
            <w:vAlign w:val="center"/>
          </w:tcPr>
          <w:p>
            <w:pPr>
              <w:keepNext/>
              <w:spacing w:line="276" w:lineRule="auto" w:after="0"/>
              <w:ind w:firstLine="0"/>
              <w:jc w:val="center"/>
            </w:pPr>
            <w:r>
              <w:rPr>
                <w:b w:val="0"/>
                <w:sz w:val="18"/>
              </w:rPr>
              <w:t>0.767</w:t>
            </w:r>
          </w:p>
        </w:tc>
      </w:tr>
      <w:tr>
        <w:trPr>
          <w:cantSplit/>
        </w:trPr>
        <w:tc>
          <w:tcPr>
            <w:tcW w:type="dxa" w:w="3572"/>
            <w:vAlign w:val="center"/>
          </w:tcPr>
          <w:p>
            <w:pPr>
              <w:keepNext/>
              <w:spacing w:line="276" w:lineRule="auto" w:after="0"/>
              <w:ind w:firstLine="0"/>
              <w:jc w:val="left"/>
            </w:pPr>
            <w:r>
              <w:rPr>
                <w:b w:val="0"/>
                <w:sz w:val="18"/>
              </w:rPr>
              <w:t>修订加不交易带 21相位合成</w:t>
            </w:r>
          </w:p>
        </w:tc>
        <w:tc>
          <w:tcPr>
            <w:tcW w:type="dxa" w:w="1361"/>
            <w:vAlign w:val="center"/>
          </w:tcPr>
          <w:p>
            <w:pPr>
              <w:keepNext/>
              <w:spacing w:line="276" w:lineRule="auto" w:after="0"/>
              <w:ind w:firstLine="0"/>
              <w:jc w:val="center"/>
            </w:pPr>
            <w:r>
              <w:rPr>
                <w:b w:val="0"/>
                <w:sz w:val="18"/>
              </w:rPr>
              <w:t>12.42%</w:t>
            </w:r>
          </w:p>
        </w:tc>
        <w:tc>
          <w:tcPr>
            <w:tcW w:type="dxa" w:w="1247"/>
            <w:vAlign w:val="center"/>
          </w:tcPr>
          <w:p>
            <w:pPr>
              <w:keepNext/>
              <w:spacing w:line="276" w:lineRule="auto" w:after="0"/>
              <w:ind w:firstLine="0"/>
              <w:jc w:val="center"/>
            </w:pPr>
            <w:r>
              <w:rPr>
                <w:b w:val="0"/>
                <w:sz w:val="18"/>
              </w:rPr>
              <w:t>0.846</w:t>
            </w:r>
          </w:p>
        </w:tc>
        <w:tc>
          <w:tcPr>
            <w:tcW w:type="dxa" w:w="1587"/>
            <w:vAlign w:val="center"/>
          </w:tcPr>
          <w:p>
            <w:pPr>
              <w:keepNext/>
              <w:spacing w:line="276" w:lineRule="auto" w:after="0"/>
              <w:ind w:firstLine="0"/>
              <w:jc w:val="center"/>
            </w:pPr>
            <w:r>
              <w:rPr>
                <w:b w:val="0"/>
                <w:sz w:val="18"/>
              </w:rPr>
              <w:t>-16.01%</w:t>
            </w:r>
          </w:p>
        </w:tc>
        <w:tc>
          <w:tcPr>
            <w:tcW w:type="dxa" w:w="1247"/>
            <w:vAlign w:val="center"/>
          </w:tcPr>
          <w:p>
            <w:pPr>
              <w:keepNext/>
              <w:spacing w:line="276" w:lineRule="auto" w:after="0"/>
              <w:ind w:firstLine="0"/>
              <w:jc w:val="center"/>
            </w:pPr>
            <w:r>
              <w:rPr>
                <w:b w:val="0"/>
                <w:sz w:val="18"/>
              </w:rPr>
              <w:t>0.776</w:t>
            </w:r>
          </w:p>
        </w:tc>
      </w:tr>
    </w:tbl>
    <w:p>
      <w:pPr>
        <w:pStyle w:val="Caption"/>
        <w:spacing w:before="80" w:after="180"/>
      </w:pPr>
      <w:r>
        <w:t>注：2023年1月1日至2026年9月28日，906日；夏普扣年化2% rf。所有修订结果均允许陈旧价格估值，属于诊断情景；21相位为等初始资金净值聚合。来源：第一类 results 及本文复算。</w:t>
      </w:r>
    </w:p>
    <w:p>
      <w:pPr>
        <w:jc w:val="both"/>
      </w:pPr>
      <w:r>
        <w:t>对21个调仓相位分别投入相同初始资金后聚合净值，修订F17的CAGR为12.77%、夏普0.844、日频最大回撤16.66%、Calmar为0.767。不交易带候选的夏普为0.846，增量仅约0.002；保存的配对stationary bootstrap在块长21下给出95%区间[−0.033，0.033]，不能支持稳定改善。每相位1,000万元意味着相位合成对应2.1亿元的模拟资本，不能把其容量含义等同于单一1,000万元账户。</w:t>
      </w:r>
    </w:p>
    <w:p>
      <w:pPr>
        <w:keepNext/>
        <w:ind w:firstLine="0"/>
        <w:jc w:val="center"/>
      </w:pPr>
      <w:r>
        <w:drawing>
          <wp:inline xmlns:a="http://schemas.openxmlformats.org/drawingml/2006/main" xmlns:pic="http://schemas.openxmlformats.org/drawingml/2006/picture">
            <wp:extent cx="5832000" cy="3181680"/>
            <wp:docPr id="1" name="Picture 1"/>
            <wp:cNvGraphicFramePr>
              <a:graphicFrameLocks noChangeAspect="1"/>
            </wp:cNvGraphicFramePr>
            <a:graphic>
              <a:graphicData uri="http://schemas.openxmlformats.org/drawingml/2006/picture">
                <pic:pic>
                  <pic:nvPicPr>
                    <pic:cNvPr id="0" name="execution.png"/>
                    <pic:cNvPicPr/>
                  </pic:nvPicPr>
                  <pic:blipFill>
                    <a:blip r:embed="rId10"/>
                    <a:stretch>
                      <a:fillRect/>
                    </a:stretch>
                  </pic:blipFill>
                  <pic:spPr>
                    <a:xfrm>
                      <a:off x="0" y="0"/>
                      <a:ext cx="5832000" cy="3181680"/>
                    </a:xfrm>
                    <a:prstGeom prst="rect"/>
                  </pic:spPr>
                </pic:pic>
              </a:graphicData>
            </a:graphic>
          </wp:inline>
        </w:drawing>
      </w:r>
    </w:p>
    <w:p>
      <w:pPr>
        <w:pStyle w:val="Caption"/>
      </w:pPr>
      <w:r>
        <w:t>图1 相同F17分数在不同执行规则下的净值与回撤。各曲线在2023年初以1重新起算；所有修订曲线允许陈旧估值。来源：保存日收益，本文绘制。</w:t>
      </w:r>
    </w:p>
    <w:p>
      <w:pPr>
        <w:jc w:val="both"/>
      </w:pPr>
      <w:r>
        <w:t>上述修订曲线允许沿用陈旧价格估值。严格模式会在持仓超过60个交易日无有效估值时停止；单相位0的陈旧持仓占比最高约8.39%，全部相位及候选最高约21.28%。因此，回撤缩小不能全部解释为风险控制成功。较早报告中的18.40%也对应不同配置，本文未将其与后期缓冲及上限配置拼接为同一“最终”结果。</w:t>
      </w:r>
    </w:p>
    <w:p>
      <w:pPr>
        <w:pStyle w:val="Heading2"/>
      </w:pPr>
      <w:r>
        <w:t>5.2 正则化权重未稳定超过等权</w:t>
      </w:r>
    </w:p>
    <w:p>
      <w:pPr>
        <w:jc w:val="both"/>
      </w:pPr>
      <w:r>
        <w:t>表4采用标签可观察样本上的full-coverage诊断：每个因子在当日可观察股票内重新标准化，缺失值填为截面均值零，再应用所估系数；production F17保留按可用因子数平均的原分数。组合为头尾各10%等权的多空收益差。所有模型采用相同42个重复验证周期、同一25基点名称换手情景，表中回撤及Calmar由保存系数和缓存收益补算。</w:t>
      </w:r>
    </w:p>
    <w:p>
      <w:pPr>
        <w:pStyle w:val="Caption"/>
        <w:keepNext/>
      </w:pPr>
      <w:r>
        <w:rPr>
          <w:b/>
        </w:rPr>
        <w:t>表4 正则化权重的重复验证结果</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494"/>
        <w:gridCol w:w="1134"/>
        <w:gridCol w:w="1361"/>
        <w:gridCol w:w="1134"/>
        <w:gridCol w:w="1531"/>
        <w:gridCol w:w="1361"/>
      </w:tblGrid>
      <w:tr>
        <w:trPr>
          <w:cantSplit/>
          <w:tblHeader/>
        </w:trPr>
        <w:tc>
          <w:tcPr>
            <w:tcW w:type="dxa" w:w="2494"/>
            <w:vAlign w:val="center"/>
            <w:shd w:fill="E7EDF2"/>
          </w:tcPr>
          <w:p>
            <w:pPr>
              <w:keepNext/>
              <w:spacing w:line="276" w:lineRule="auto" w:after="0"/>
              <w:ind w:firstLine="0"/>
              <w:jc w:val="center"/>
            </w:pPr>
            <w:r>
              <w:rPr>
                <w:b/>
                <w:sz w:val="18"/>
              </w:rPr>
              <w:t>评分</w:t>
            </w:r>
          </w:p>
        </w:tc>
        <w:tc>
          <w:tcPr>
            <w:tcW w:type="dxa" w:w="1134"/>
            <w:vAlign w:val="center"/>
            <w:shd w:fill="E7EDF2"/>
          </w:tcPr>
          <w:p>
            <w:pPr>
              <w:keepNext/>
              <w:spacing w:line="276" w:lineRule="auto" w:after="0"/>
              <w:ind w:firstLine="0"/>
              <w:jc w:val="center"/>
            </w:pPr>
            <w:r>
              <w:rPr>
                <w:b/>
                <w:sz w:val="18"/>
              </w:rPr>
              <w:t>RankIC</w:t>
            </w:r>
          </w:p>
        </w:tc>
        <w:tc>
          <w:tcPr>
            <w:tcW w:type="dxa" w:w="1361"/>
            <w:vAlign w:val="center"/>
            <w:shd w:fill="E7EDF2"/>
          </w:tcPr>
          <w:p>
            <w:pPr>
              <w:keepNext/>
              <w:spacing w:line="276" w:lineRule="auto" w:after="0"/>
              <w:ind w:firstLine="0"/>
              <w:jc w:val="center"/>
            </w:pPr>
            <w:r>
              <w:rPr>
                <w:b/>
                <w:sz w:val="18"/>
              </w:rPr>
              <w:t>CAGR</w:t>
            </w:r>
          </w:p>
        </w:tc>
        <w:tc>
          <w:tcPr>
            <w:tcW w:type="dxa" w:w="1134"/>
            <w:vAlign w:val="center"/>
            <w:shd w:fill="E7EDF2"/>
          </w:tcPr>
          <w:p>
            <w:pPr>
              <w:keepNext/>
              <w:spacing w:line="276" w:lineRule="auto" w:after="0"/>
              <w:ind w:firstLine="0"/>
              <w:jc w:val="center"/>
            </w:pPr>
            <w:r>
              <w:rPr>
                <w:b/>
                <w:sz w:val="18"/>
              </w:rPr>
              <w:t>夏普</w:t>
            </w:r>
          </w:p>
        </w:tc>
        <w:tc>
          <w:tcPr>
            <w:tcW w:type="dxa" w:w="1531"/>
            <w:vAlign w:val="center"/>
            <w:shd w:fill="E7EDF2"/>
          </w:tcPr>
          <w:p>
            <w:pPr>
              <w:keepNext/>
              <w:spacing w:line="276" w:lineRule="auto" w:after="0"/>
              <w:ind w:firstLine="0"/>
              <w:jc w:val="center"/>
            </w:pPr>
            <w:r>
              <w:rPr>
                <w:b/>
                <w:sz w:val="18"/>
              </w:rPr>
              <w:t>端点回撤</w:t>
            </w:r>
          </w:p>
        </w:tc>
        <w:tc>
          <w:tcPr>
            <w:tcW w:type="dxa" w:w="1361"/>
            <w:vAlign w:val="center"/>
            <w:shd w:fill="E7EDF2"/>
          </w:tcPr>
          <w:p>
            <w:pPr>
              <w:keepNext/>
              <w:spacing w:line="276" w:lineRule="auto" w:after="0"/>
              <w:ind w:firstLine="0"/>
              <w:jc w:val="center"/>
            </w:pPr>
            <w:r>
              <w:rPr>
                <w:b/>
                <w:sz w:val="18"/>
              </w:rPr>
              <w:t>端点Calmar</w:t>
            </w:r>
          </w:p>
        </w:tc>
      </w:tr>
      <w:tr>
        <w:trPr>
          <w:cantSplit/>
        </w:trPr>
        <w:tc>
          <w:tcPr>
            <w:tcW w:type="dxa" w:w="2494"/>
            <w:vAlign w:val="center"/>
          </w:tcPr>
          <w:p>
            <w:pPr>
              <w:keepNext/>
              <w:spacing w:line="276" w:lineRule="auto" w:after="0"/>
              <w:ind w:firstLine="0"/>
              <w:jc w:val="left"/>
            </w:pPr>
            <w:r>
              <w:rPr>
                <w:b w:val="0"/>
                <w:sz w:val="18"/>
              </w:rPr>
              <w:t>原production F17</w:t>
            </w:r>
          </w:p>
        </w:tc>
        <w:tc>
          <w:tcPr>
            <w:tcW w:type="dxa" w:w="1134"/>
            <w:vAlign w:val="center"/>
          </w:tcPr>
          <w:p>
            <w:pPr>
              <w:keepNext/>
              <w:spacing w:line="276" w:lineRule="auto" w:after="0"/>
              <w:ind w:firstLine="0"/>
              <w:jc w:val="center"/>
            </w:pPr>
            <w:r>
              <w:rPr>
                <w:b w:val="0"/>
                <w:sz w:val="18"/>
              </w:rPr>
              <w:t>0.1137</w:t>
            </w:r>
          </w:p>
        </w:tc>
        <w:tc>
          <w:tcPr>
            <w:tcW w:type="dxa" w:w="1361"/>
            <w:vAlign w:val="center"/>
          </w:tcPr>
          <w:p>
            <w:pPr>
              <w:keepNext/>
              <w:spacing w:line="276" w:lineRule="auto" w:after="0"/>
              <w:ind w:firstLine="0"/>
              <w:jc w:val="center"/>
            </w:pPr>
            <w:r>
              <w:rPr>
                <w:b w:val="0"/>
                <w:sz w:val="18"/>
              </w:rPr>
              <w:t>15.83%</w:t>
            </w:r>
          </w:p>
        </w:tc>
        <w:tc>
          <w:tcPr>
            <w:tcW w:type="dxa" w:w="1134"/>
            <w:vAlign w:val="center"/>
          </w:tcPr>
          <w:p>
            <w:pPr>
              <w:keepNext/>
              <w:spacing w:line="276" w:lineRule="auto" w:after="0"/>
              <w:ind w:firstLine="0"/>
              <w:jc w:val="center"/>
            </w:pPr>
            <w:r>
              <w:rPr>
                <w:b w:val="0"/>
                <w:sz w:val="18"/>
              </w:rPr>
              <w:t>0.858</w:t>
            </w:r>
          </w:p>
        </w:tc>
        <w:tc>
          <w:tcPr>
            <w:tcW w:type="dxa" w:w="1531"/>
            <w:vAlign w:val="center"/>
          </w:tcPr>
          <w:p>
            <w:pPr>
              <w:keepNext/>
              <w:spacing w:line="276" w:lineRule="auto" w:after="0"/>
              <w:ind w:firstLine="0"/>
              <w:jc w:val="center"/>
            </w:pPr>
            <w:r>
              <w:rPr>
                <w:b w:val="0"/>
                <w:sz w:val="18"/>
              </w:rPr>
              <w:t>-21.35%</w:t>
            </w:r>
          </w:p>
        </w:tc>
        <w:tc>
          <w:tcPr>
            <w:tcW w:type="dxa" w:w="1361"/>
            <w:vAlign w:val="center"/>
          </w:tcPr>
          <w:p>
            <w:pPr>
              <w:keepNext/>
              <w:spacing w:line="276" w:lineRule="auto" w:after="0"/>
              <w:ind w:firstLine="0"/>
              <w:jc w:val="center"/>
            </w:pPr>
            <w:r>
              <w:rPr>
                <w:b w:val="0"/>
                <w:sz w:val="18"/>
              </w:rPr>
              <w:t>0.742</w:t>
            </w:r>
          </w:p>
        </w:tc>
      </w:tr>
      <w:tr>
        <w:trPr>
          <w:cantSplit/>
        </w:trPr>
        <w:tc>
          <w:tcPr>
            <w:tcW w:type="dxa" w:w="2494"/>
            <w:vAlign w:val="center"/>
          </w:tcPr>
          <w:p>
            <w:pPr>
              <w:keepNext/>
              <w:spacing w:line="276" w:lineRule="auto" w:after="0"/>
              <w:ind w:firstLine="0"/>
              <w:jc w:val="left"/>
            </w:pPr>
            <w:r>
              <w:rPr>
                <w:b w:val="0"/>
                <w:sz w:val="18"/>
              </w:rPr>
              <w:t>同口径equal</w:t>
            </w:r>
          </w:p>
        </w:tc>
        <w:tc>
          <w:tcPr>
            <w:tcW w:type="dxa" w:w="1134"/>
            <w:vAlign w:val="center"/>
          </w:tcPr>
          <w:p>
            <w:pPr>
              <w:keepNext/>
              <w:spacing w:line="276" w:lineRule="auto" w:after="0"/>
              <w:ind w:firstLine="0"/>
              <w:jc w:val="center"/>
            </w:pPr>
            <w:r>
              <w:rPr>
                <w:b w:val="0"/>
                <w:sz w:val="18"/>
              </w:rPr>
              <w:t>0.1144</w:t>
            </w:r>
          </w:p>
        </w:tc>
        <w:tc>
          <w:tcPr>
            <w:tcW w:type="dxa" w:w="1361"/>
            <w:vAlign w:val="center"/>
          </w:tcPr>
          <w:p>
            <w:pPr>
              <w:keepNext/>
              <w:spacing w:line="276" w:lineRule="auto" w:after="0"/>
              <w:ind w:firstLine="0"/>
              <w:jc w:val="center"/>
            </w:pPr>
            <w:r>
              <w:rPr>
                <w:b w:val="0"/>
                <w:sz w:val="18"/>
              </w:rPr>
              <w:t>17.80%</w:t>
            </w:r>
          </w:p>
        </w:tc>
        <w:tc>
          <w:tcPr>
            <w:tcW w:type="dxa" w:w="1134"/>
            <w:vAlign w:val="center"/>
          </w:tcPr>
          <w:p>
            <w:pPr>
              <w:keepNext/>
              <w:spacing w:line="276" w:lineRule="auto" w:after="0"/>
              <w:ind w:firstLine="0"/>
              <w:jc w:val="center"/>
            </w:pPr>
            <w:r>
              <w:rPr>
                <w:b w:val="0"/>
                <w:sz w:val="18"/>
              </w:rPr>
              <w:t>0.942</w:t>
            </w:r>
          </w:p>
        </w:tc>
        <w:tc>
          <w:tcPr>
            <w:tcW w:type="dxa" w:w="1531"/>
            <w:vAlign w:val="center"/>
          </w:tcPr>
          <w:p>
            <w:pPr>
              <w:keepNext/>
              <w:spacing w:line="276" w:lineRule="auto" w:after="0"/>
              <w:ind w:firstLine="0"/>
              <w:jc w:val="center"/>
            </w:pPr>
            <w:r>
              <w:rPr>
                <w:b w:val="0"/>
                <w:sz w:val="18"/>
              </w:rPr>
              <w:t>-20.00%</w:t>
            </w:r>
          </w:p>
        </w:tc>
        <w:tc>
          <w:tcPr>
            <w:tcW w:type="dxa" w:w="1361"/>
            <w:vAlign w:val="center"/>
          </w:tcPr>
          <w:p>
            <w:pPr>
              <w:keepNext/>
              <w:spacing w:line="276" w:lineRule="auto" w:after="0"/>
              <w:ind w:firstLine="0"/>
              <w:jc w:val="center"/>
            </w:pPr>
            <w:r>
              <w:rPr>
                <w:b w:val="0"/>
                <w:sz w:val="18"/>
              </w:rPr>
              <w:t>0.890</w:t>
            </w:r>
          </w:p>
        </w:tc>
      </w:tr>
      <w:tr>
        <w:trPr>
          <w:cantSplit/>
        </w:trPr>
        <w:tc>
          <w:tcPr>
            <w:tcW w:type="dxa" w:w="2494"/>
            <w:vAlign w:val="center"/>
          </w:tcPr>
          <w:p>
            <w:pPr>
              <w:keepNext/>
              <w:spacing w:line="276" w:lineRule="auto" w:after="0"/>
              <w:ind w:firstLine="0"/>
              <w:jc w:val="left"/>
            </w:pPr>
            <w:r>
              <w:rPr>
                <w:b w:val="0"/>
                <w:sz w:val="18"/>
              </w:rPr>
              <w:t>OLS</w:t>
            </w:r>
          </w:p>
        </w:tc>
        <w:tc>
          <w:tcPr>
            <w:tcW w:type="dxa" w:w="1134"/>
            <w:vAlign w:val="center"/>
          </w:tcPr>
          <w:p>
            <w:pPr>
              <w:keepNext/>
              <w:spacing w:line="276" w:lineRule="auto" w:after="0"/>
              <w:ind w:firstLine="0"/>
              <w:jc w:val="center"/>
            </w:pPr>
            <w:r>
              <w:rPr>
                <w:b w:val="0"/>
                <w:sz w:val="18"/>
              </w:rPr>
              <w:t>0.0997</w:t>
            </w:r>
          </w:p>
        </w:tc>
        <w:tc>
          <w:tcPr>
            <w:tcW w:type="dxa" w:w="1361"/>
            <w:vAlign w:val="center"/>
          </w:tcPr>
          <w:p>
            <w:pPr>
              <w:keepNext/>
              <w:spacing w:line="276" w:lineRule="auto" w:after="0"/>
              <w:ind w:firstLine="0"/>
              <w:jc w:val="center"/>
            </w:pPr>
            <w:r>
              <w:rPr>
                <w:b w:val="0"/>
                <w:sz w:val="18"/>
              </w:rPr>
              <w:t>9.21%</w:t>
            </w:r>
          </w:p>
        </w:tc>
        <w:tc>
          <w:tcPr>
            <w:tcW w:type="dxa" w:w="1134"/>
            <w:vAlign w:val="center"/>
          </w:tcPr>
          <w:p>
            <w:pPr>
              <w:keepNext/>
              <w:spacing w:line="276" w:lineRule="auto" w:after="0"/>
              <w:ind w:firstLine="0"/>
              <w:jc w:val="center"/>
            </w:pPr>
            <w:r>
              <w:rPr>
                <w:b w:val="0"/>
                <w:sz w:val="18"/>
              </w:rPr>
              <w:t>0.530</w:t>
            </w:r>
          </w:p>
        </w:tc>
        <w:tc>
          <w:tcPr>
            <w:tcW w:type="dxa" w:w="1531"/>
            <w:vAlign w:val="center"/>
          </w:tcPr>
          <w:p>
            <w:pPr>
              <w:keepNext/>
              <w:spacing w:line="276" w:lineRule="auto" w:after="0"/>
              <w:ind w:firstLine="0"/>
              <w:jc w:val="center"/>
            </w:pPr>
            <w:r>
              <w:rPr>
                <w:b w:val="0"/>
                <w:sz w:val="18"/>
              </w:rPr>
              <w:t>-24.70%</w:t>
            </w:r>
          </w:p>
        </w:tc>
        <w:tc>
          <w:tcPr>
            <w:tcW w:type="dxa" w:w="1361"/>
            <w:vAlign w:val="center"/>
          </w:tcPr>
          <w:p>
            <w:pPr>
              <w:keepNext/>
              <w:spacing w:line="276" w:lineRule="auto" w:after="0"/>
              <w:ind w:firstLine="0"/>
              <w:jc w:val="center"/>
            </w:pPr>
            <w:r>
              <w:rPr>
                <w:b w:val="0"/>
                <w:sz w:val="18"/>
              </w:rPr>
              <w:t>0.373</w:t>
            </w:r>
          </w:p>
        </w:tc>
      </w:tr>
      <w:tr>
        <w:trPr>
          <w:cantSplit/>
        </w:trPr>
        <w:tc>
          <w:tcPr>
            <w:tcW w:type="dxa" w:w="2494"/>
            <w:vAlign w:val="center"/>
          </w:tcPr>
          <w:p>
            <w:pPr>
              <w:keepNext/>
              <w:spacing w:line="276" w:lineRule="auto" w:after="0"/>
              <w:ind w:firstLine="0"/>
              <w:jc w:val="left"/>
            </w:pPr>
            <w:r>
              <w:rPr>
                <w:b w:val="0"/>
                <w:sz w:val="18"/>
              </w:rPr>
              <w:t>Ridge 零先验</w:t>
            </w:r>
          </w:p>
        </w:tc>
        <w:tc>
          <w:tcPr>
            <w:tcW w:type="dxa" w:w="1134"/>
            <w:vAlign w:val="center"/>
          </w:tcPr>
          <w:p>
            <w:pPr>
              <w:keepNext/>
              <w:spacing w:line="276" w:lineRule="auto" w:after="0"/>
              <w:ind w:firstLine="0"/>
              <w:jc w:val="center"/>
            </w:pPr>
            <w:r>
              <w:rPr>
                <w:b w:val="0"/>
                <w:sz w:val="18"/>
              </w:rPr>
              <w:t>0.1122</w:t>
            </w:r>
          </w:p>
        </w:tc>
        <w:tc>
          <w:tcPr>
            <w:tcW w:type="dxa" w:w="1361"/>
            <w:vAlign w:val="center"/>
          </w:tcPr>
          <w:p>
            <w:pPr>
              <w:keepNext/>
              <w:spacing w:line="276" w:lineRule="auto" w:after="0"/>
              <w:ind w:firstLine="0"/>
              <w:jc w:val="center"/>
            </w:pPr>
            <w:r>
              <w:rPr>
                <w:b w:val="0"/>
                <w:sz w:val="18"/>
              </w:rPr>
              <w:t>11.41%</w:t>
            </w:r>
          </w:p>
        </w:tc>
        <w:tc>
          <w:tcPr>
            <w:tcW w:type="dxa" w:w="1134"/>
            <w:vAlign w:val="center"/>
          </w:tcPr>
          <w:p>
            <w:pPr>
              <w:keepNext/>
              <w:spacing w:line="276" w:lineRule="auto" w:after="0"/>
              <w:ind w:firstLine="0"/>
              <w:jc w:val="center"/>
            </w:pPr>
            <w:r>
              <w:rPr>
                <w:b w:val="0"/>
                <w:sz w:val="18"/>
              </w:rPr>
              <w:t>0.585</w:t>
            </w:r>
          </w:p>
        </w:tc>
        <w:tc>
          <w:tcPr>
            <w:tcW w:type="dxa" w:w="1531"/>
            <w:vAlign w:val="center"/>
          </w:tcPr>
          <w:p>
            <w:pPr>
              <w:keepNext/>
              <w:spacing w:line="276" w:lineRule="auto" w:after="0"/>
              <w:ind w:firstLine="0"/>
              <w:jc w:val="center"/>
            </w:pPr>
            <w:r>
              <w:rPr>
                <w:b w:val="0"/>
                <w:sz w:val="18"/>
              </w:rPr>
              <w:t>-25.62%</w:t>
            </w:r>
          </w:p>
        </w:tc>
        <w:tc>
          <w:tcPr>
            <w:tcW w:type="dxa" w:w="1361"/>
            <w:vAlign w:val="center"/>
          </w:tcPr>
          <w:p>
            <w:pPr>
              <w:keepNext/>
              <w:spacing w:line="276" w:lineRule="auto" w:after="0"/>
              <w:ind w:firstLine="0"/>
              <w:jc w:val="center"/>
            </w:pPr>
            <w:r>
              <w:rPr>
                <w:b w:val="0"/>
                <w:sz w:val="18"/>
              </w:rPr>
              <w:t>0.445</w:t>
            </w:r>
          </w:p>
        </w:tc>
      </w:tr>
      <w:tr>
        <w:trPr>
          <w:cantSplit/>
        </w:trPr>
        <w:tc>
          <w:tcPr>
            <w:tcW w:type="dxa" w:w="2494"/>
            <w:vAlign w:val="center"/>
          </w:tcPr>
          <w:p>
            <w:pPr>
              <w:keepNext/>
              <w:spacing w:line="276" w:lineRule="auto" w:after="0"/>
              <w:ind w:firstLine="0"/>
              <w:jc w:val="left"/>
            </w:pPr>
            <w:r>
              <w:rPr>
                <w:b w:val="0"/>
                <w:sz w:val="18"/>
              </w:rPr>
              <w:t>Ridge 向等权</w:t>
            </w:r>
          </w:p>
        </w:tc>
        <w:tc>
          <w:tcPr>
            <w:tcW w:type="dxa" w:w="1134"/>
            <w:vAlign w:val="center"/>
          </w:tcPr>
          <w:p>
            <w:pPr>
              <w:keepNext/>
              <w:spacing w:line="276" w:lineRule="auto" w:after="0"/>
              <w:ind w:firstLine="0"/>
              <w:jc w:val="center"/>
            </w:pPr>
            <w:r>
              <w:rPr>
                <w:b w:val="0"/>
                <w:sz w:val="18"/>
              </w:rPr>
              <w:t>0.1133</w:t>
            </w:r>
          </w:p>
        </w:tc>
        <w:tc>
          <w:tcPr>
            <w:tcW w:type="dxa" w:w="1361"/>
            <w:vAlign w:val="center"/>
          </w:tcPr>
          <w:p>
            <w:pPr>
              <w:keepNext/>
              <w:spacing w:line="276" w:lineRule="auto" w:after="0"/>
              <w:ind w:firstLine="0"/>
              <w:jc w:val="center"/>
            </w:pPr>
            <w:r>
              <w:rPr>
                <w:b w:val="0"/>
                <w:sz w:val="18"/>
              </w:rPr>
              <w:t>17.71%</w:t>
            </w:r>
          </w:p>
        </w:tc>
        <w:tc>
          <w:tcPr>
            <w:tcW w:type="dxa" w:w="1134"/>
            <w:vAlign w:val="center"/>
          </w:tcPr>
          <w:p>
            <w:pPr>
              <w:keepNext/>
              <w:spacing w:line="276" w:lineRule="auto" w:after="0"/>
              <w:ind w:firstLine="0"/>
              <w:jc w:val="center"/>
            </w:pPr>
            <w:r>
              <w:rPr>
                <w:b w:val="0"/>
                <w:sz w:val="18"/>
              </w:rPr>
              <w:t>0.931</w:t>
            </w:r>
          </w:p>
        </w:tc>
        <w:tc>
          <w:tcPr>
            <w:tcW w:type="dxa" w:w="1531"/>
            <w:vAlign w:val="center"/>
          </w:tcPr>
          <w:p>
            <w:pPr>
              <w:keepNext/>
              <w:spacing w:line="276" w:lineRule="auto" w:after="0"/>
              <w:ind w:firstLine="0"/>
              <w:jc w:val="center"/>
            </w:pPr>
            <w:r>
              <w:rPr>
                <w:b w:val="0"/>
                <w:sz w:val="18"/>
              </w:rPr>
              <w:t>-20.20%</w:t>
            </w:r>
          </w:p>
        </w:tc>
        <w:tc>
          <w:tcPr>
            <w:tcW w:type="dxa" w:w="1361"/>
            <w:vAlign w:val="center"/>
          </w:tcPr>
          <w:p>
            <w:pPr>
              <w:keepNext/>
              <w:spacing w:line="276" w:lineRule="auto" w:after="0"/>
              <w:ind w:firstLine="0"/>
              <w:jc w:val="center"/>
            </w:pPr>
            <w:r>
              <w:rPr>
                <w:b w:val="0"/>
                <w:sz w:val="18"/>
              </w:rPr>
              <w:t>0.876</w:t>
            </w:r>
          </w:p>
        </w:tc>
      </w:tr>
      <w:tr>
        <w:trPr>
          <w:cantSplit/>
        </w:trPr>
        <w:tc>
          <w:tcPr>
            <w:tcW w:type="dxa" w:w="2494"/>
            <w:vAlign w:val="center"/>
          </w:tcPr>
          <w:p>
            <w:pPr>
              <w:keepNext/>
              <w:spacing w:line="276" w:lineRule="auto" w:after="0"/>
              <w:ind w:firstLine="0"/>
              <w:jc w:val="left"/>
            </w:pPr>
            <w:r>
              <w:rPr>
                <w:b w:val="0"/>
                <w:sz w:val="18"/>
              </w:rPr>
              <w:t>Lasso</w:t>
            </w:r>
          </w:p>
        </w:tc>
        <w:tc>
          <w:tcPr>
            <w:tcW w:type="dxa" w:w="1134"/>
            <w:vAlign w:val="center"/>
          </w:tcPr>
          <w:p>
            <w:pPr>
              <w:keepNext/>
              <w:spacing w:line="276" w:lineRule="auto" w:after="0"/>
              <w:ind w:firstLine="0"/>
              <w:jc w:val="center"/>
            </w:pPr>
            <w:r>
              <w:rPr>
                <w:b w:val="0"/>
                <w:sz w:val="18"/>
              </w:rPr>
              <w:t>0.1011</w:t>
            </w:r>
          </w:p>
        </w:tc>
        <w:tc>
          <w:tcPr>
            <w:tcW w:type="dxa" w:w="1361"/>
            <w:vAlign w:val="center"/>
          </w:tcPr>
          <w:p>
            <w:pPr>
              <w:keepNext/>
              <w:spacing w:line="276" w:lineRule="auto" w:after="0"/>
              <w:ind w:firstLine="0"/>
              <w:jc w:val="center"/>
            </w:pPr>
            <w:r>
              <w:rPr>
                <w:b w:val="0"/>
                <w:sz w:val="18"/>
              </w:rPr>
              <w:t>4.10%</w:t>
            </w:r>
          </w:p>
        </w:tc>
        <w:tc>
          <w:tcPr>
            <w:tcW w:type="dxa" w:w="1134"/>
            <w:vAlign w:val="center"/>
          </w:tcPr>
          <w:p>
            <w:pPr>
              <w:keepNext/>
              <w:spacing w:line="276" w:lineRule="auto" w:after="0"/>
              <w:ind w:firstLine="0"/>
              <w:jc w:val="center"/>
            </w:pPr>
            <w:r>
              <w:rPr>
                <w:b w:val="0"/>
                <w:sz w:val="18"/>
              </w:rPr>
              <w:t>0.292</w:t>
            </w:r>
          </w:p>
        </w:tc>
        <w:tc>
          <w:tcPr>
            <w:tcW w:type="dxa" w:w="1531"/>
            <w:vAlign w:val="center"/>
          </w:tcPr>
          <w:p>
            <w:pPr>
              <w:keepNext/>
              <w:spacing w:line="276" w:lineRule="auto" w:after="0"/>
              <w:ind w:firstLine="0"/>
              <w:jc w:val="center"/>
            </w:pPr>
            <w:r>
              <w:rPr>
                <w:b w:val="0"/>
                <w:sz w:val="18"/>
              </w:rPr>
              <w:t>-30.86%</w:t>
            </w:r>
          </w:p>
        </w:tc>
        <w:tc>
          <w:tcPr>
            <w:tcW w:type="dxa" w:w="1361"/>
            <w:vAlign w:val="center"/>
          </w:tcPr>
          <w:p>
            <w:pPr>
              <w:keepNext/>
              <w:spacing w:line="276" w:lineRule="auto" w:after="0"/>
              <w:ind w:firstLine="0"/>
              <w:jc w:val="center"/>
            </w:pPr>
            <w:r>
              <w:rPr>
                <w:b w:val="0"/>
                <w:sz w:val="18"/>
              </w:rPr>
              <w:t>0.133</w:t>
            </w:r>
          </w:p>
        </w:tc>
      </w:tr>
      <w:tr>
        <w:trPr>
          <w:cantSplit/>
        </w:trPr>
        <w:tc>
          <w:tcPr>
            <w:tcW w:type="dxa" w:w="2494"/>
            <w:vAlign w:val="center"/>
          </w:tcPr>
          <w:p>
            <w:pPr>
              <w:keepNext/>
              <w:spacing w:line="276" w:lineRule="auto" w:after="0"/>
              <w:ind w:firstLine="0"/>
              <w:jc w:val="left"/>
            </w:pPr>
            <w:r>
              <w:rPr>
                <w:b w:val="0"/>
                <w:sz w:val="18"/>
              </w:rPr>
              <w:t>Elastic Net</w:t>
            </w:r>
          </w:p>
        </w:tc>
        <w:tc>
          <w:tcPr>
            <w:tcW w:type="dxa" w:w="1134"/>
            <w:vAlign w:val="center"/>
          </w:tcPr>
          <w:p>
            <w:pPr>
              <w:keepNext/>
              <w:spacing w:line="276" w:lineRule="auto" w:after="0"/>
              <w:ind w:firstLine="0"/>
              <w:jc w:val="center"/>
            </w:pPr>
            <w:r>
              <w:rPr>
                <w:b w:val="0"/>
                <w:sz w:val="18"/>
              </w:rPr>
              <w:t>0.1034</w:t>
            </w:r>
          </w:p>
        </w:tc>
        <w:tc>
          <w:tcPr>
            <w:tcW w:type="dxa" w:w="1361"/>
            <w:vAlign w:val="center"/>
          </w:tcPr>
          <w:p>
            <w:pPr>
              <w:keepNext/>
              <w:spacing w:line="276" w:lineRule="auto" w:after="0"/>
              <w:ind w:firstLine="0"/>
              <w:jc w:val="center"/>
            </w:pPr>
            <w:r>
              <w:rPr>
                <w:b w:val="0"/>
                <w:sz w:val="18"/>
              </w:rPr>
              <w:t>7.15%</w:t>
            </w:r>
          </w:p>
        </w:tc>
        <w:tc>
          <w:tcPr>
            <w:tcW w:type="dxa" w:w="1134"/>
            <w:vAlign w:val="center"/>
          </w:tcPr>
          <w:p>
            <w:pPr>
              <w:keepNext/>
              <w:spacing w:line="276" w:lineRule="auto" w:after="0"/>
              <w:ind w:firstLine="0"/>
              <w:jc w:val="center"/>
            </w:pPr>
            <w:r>
              <w:rPr>
                <w:b w:val="0"/>
                <w:sz w:val="18"/>
              </w:rPr>
              <w:t>0.417</w:t>
            </w:r>
          </w:p>
        </w:tc>
        <w:tc>
          <w:tcPr>
            <w:tcW w:type="dxa" w:w="1531"/>
            <w:vAlign w:val="center"/>
          </w:tcPr>
          <w:p>
            <w:pPr>
              <w:keepNext/>
              <w:spacing w:line="276" w:lineRule="auto" w:after="0"/>
              <w:ind w:firstLine="0"/>
              <w:jc w:val="center"/>
            </w:pPr>
            <w:r>
              <w:rPr>
                <w:b w:val="0"/>
                <w:sz w:val="18"/>
              </w:rPr>
              <w:t>-26.94%</w:t>
            </w:r>
          </w:p>
        </w:tc>
        <w:tc>
          <w:tcPr>
            <w:tcW w:type="dxa" w:w="1361"/>
            <w:vAlign w:val="center"/>
          </w:tcPr>
          <w:p>
            <w:pPr>
              <w:keepNext/>
              <w:spacing w:line="276" w:lineRule="auto" w:after="0"/>
              <w:ind w:firstLine="0"/>
              <w:jc w:val="center"/>
            </w:pPr>
            <w:r>
              <w:rPr>
                <w:b w:val="0"/>
                <w:sz w:val="18"/>
              </w:rPr>
              <w:t>0.265</w:t>
            </w:r>
          </w:p>
        </w:tc>
      </w:tr>
      <w:tr>
        <w:trPr>
          <w:cantSplit/>
        </w:trPr>
        <w:tc>
          <w:tcPr>
            <w:tcW w:type="dxa" w:w="2494"/>
            <w:vAlign w:val="center"/>
          </w:tcPr>
          <w:p>
            <w:pPr>
              <w:keepNext/>
              <w:spacing w:line="276" w:lineRule="auto" w:after="0"/>
              <w:ind w:firstLine="0"/>
              <w:jc w:val="left"/>
            </w:pPr>
            <w:r>
              <w:rPr>
                <w:b w:val="0"/>
                <w:sz w:val="18"/>
              </w:rPr>
              <w:t>Kozak式收缩</w:t>
            </w:r>
          </w:p>
        </w:tc>
        <w:tc>
          <w:tcPr>
            <w:tcW w:type="dxa" w:w="1134"/>
            <w:vAlign w:val="center"/>
          </w:tcPr>
          <w:p>
            <w:pPr>
              <w:keepNext/>
              <w:spacing w:line="276" w:lineRule="auto" w:after="0"/>
              <w:ind w:firstLine="0"/>
              <w:jc w:val="center"/>
            </w:pPr>
            <w:r>
              <w:rPr>
                <w:b w:val="0"/>
                <w:sz w:val="18"/>
              </w:rPr>
              <w:t>0.0999</w:t>
            </w:r>
          </w:p>
        </w:tc>
        <w:tc>
          <w:tcPr>
            <w:tcW w:type="dxa" w:w="1361"/>
            <w:vAlign w:val="center"/>
          </w:tcPr>
          <w:p>
            <w:pPr>
              <w:keepNext/>
              <w:spacing w:line="276" w:lineRule="auto" w:after="0"/>
              <w:ind w:firstLine="0"/>
              <w:jc w:val="center"/>
            </w:pPr>
            <w:r>
              <w:rPr>
                <w:b w:val="0"/>
                <w:sz w:val="18"/>
              </w:rPr>
              <w:t>11.85%</w:t>
            </w:r>
          </w:p>
        </w:tc>
        <w:tc>
          <w:tcPr>
            <w:tcW w:type="dxa" w:w="1134"/>
            <w:vAlign w:val="center"/>
          </w:tcPr>
          <w:p>
            <w:pPr>
              <w:keepNext/>
              <w:spacing w:line="276" w:lineRule="auto" w:after="0"/>
              <w:ind w:firstLine="0"/>
              <w:jc w:val="center"/>
            </w:pPr>
            <w:r>
              <w:rPr>
                <w:b w:val="0"/>
                <w:sz w:val="18"/>
              </w:rPr>
              <w:t>0.723</w:t>
            </w:r>
          </w:p>
        </w:tc>
        <w:tc>
          <w:tcPr>
            <w:tcW w:type="dxa" w:w="1531"/>
            <w:vAlign w:val="center"/>
          </w:tcPr>
          <w:p>
            <w:pPr>
              <w:keepNext/>
              <w:spacing w:line="276" w:lineRule="auto" w:after="0"/>
              <w:ind w:firstLine="0"/>
              <w:jc w:val="center"/>
            </w:pPr>
            <w:r>
              <w:rPr>
                <w:b w:val="0"/>
                <w:sz w:val="18"/>
              </w:rPr>
              <w:t>-17.05%</w:t>
            </w:r>
          </w:p>
        </w:tc>
        <w:tc>
          <w:tcPr>
            <w:tcW w:type="dxa" w:w="1361"/>
            <w:vAlign w:val="center"/>
          </w:tcPr>
          <w:p>
            <w:pPr>
              <w:keepNext/>
              <w:spacing w:line="276" w:lineRule="auto" w:after="0"/>
              <w:ind w:firstLine="0"/>
              <w:jc w:val="center"/>
            </w:pPr>
            <w:r>
              <w:rPr>
                <w:b w:val="0"/>
                <w:sz w:val="18"/>
              </w:rPr>
              <w:t>0.695</w:t>
            </w:r>
          </w:p>
        </w:tc>
      </w:tr>
      <w:tr>
        <w:trPr>
          <w:cantSplit/>
        </w:trPr>
        <w:tc>
          <w:tcPr>
            <w:tcW w:type="dxa" w:w="2494"/>
            <w:vAlign w:val="center"/>
          </w:tcPr>
          <w:p>
            <w:pPr>
              <w:keepNext/>
              <w:spacing w:line="276" w:lineRule="auto" w:after="0"/>
              <w:ind w:firstLine="0"/>
              <w:jc w:val="left"/>
            </w:pPr>
            <w:r>
              <w:rPr>
                <w:b w:val="0"/>
                <w:sz w:val="18"/>
              </w:rPr>
              <w:t>Brandt式全收缩</w:t>
            </w:r>
          </w:p>
        </w:tc>
        <w:tc>
          <w:tcPr>
            <w:tcW w:type="dxa" w:w="1134"/>
            <w:vAlign w:val="center"/>
          </w:tcPr>
          <w:p>
            <w:pPr>
              <w:keepNext/>
              <w:spacing w:line="276" w:lineRule="auto" w:after="0"/>
              <w:ind w:firstLine="0"/>
              <w:jc w:val="center"/>
            </w:pPr>
            <w:r>
              <w:rPr>
                <w:b w:val="0"/>
                <w:sz w:val="18"/>
              </w:rPr>
              <w:t>0.1144</w:t>
            </w:r>
          </w:p>
        </w:tc>
        <w:tc>
          <w:tcPr>
            <w:tcW w:type="dxa" w:w="1361"/>
            <w:vAlign w:val="center"/>
          </w:tcPr>
          <w:p>
            <w:pPr>
              <w:keepNext/>
              <w:spacing w:line="276" w:lineRule="auto" w:after="0"/>
              <w:ind w:firstLine="0"/>
              <w:jc w:val="center"/>
            </w:pPr>
            <w:r>
              <w:rPr>
                <w:b w:val="0"/>
                <w:sz w:val="18"/>
              </w:rPr>
              <w:t>17.80%</w:t>
            </w:r>
          </w:p>
        </w:tc>
        <w:tc>
          <w:tcPr>
            <w:tcW w:type="dxa" w:w="1134"/>
            <w:vAlign w:val="center"/>
          </w:tcPr>
          <w:p>
            <w:pPr>
              <w:keepNext/>
              <w:spacing w:line="276" w:lineRule="auto" w:after="0"/>
              <w:ind w:firstLine="0"/>
              <w:jc w:val="center"/>
            </w:pPr>
            <w:r>
              <w:rPr>
                <w:b w:val="0"/>
                <w:sz w:val="18"/>
              </w:rPr>
              <w:t>0.942</w:t>
            </w:r>
          </w:p>
        </w:tc>
        <w:tc>
          <w:tcPr>
            <w:tcW w:type="dxa" w:w="1531"/>
            <w:vAlign w:val="center"/>
          </w:tcPr>
          <w:p>
            <w:pPr>
              <w:keepNext/>
              <w:spacing w:line="276" w:lineRule="auto" w:after="0"/>
              <w:ind w:firstLine="0"/>
              <w:jc w:val="center"/>
            </w:pPr>
            <w:r>
              <w:rPr>
                <w:b w:val="0"/>
                <w:sz w:val="18"/>
              </w:rPr>
              <w:t>-20.00%</w:t>
            </w:r>
          </w:p>
        </w:tc>
        <w:tc>
          <w:tcPr>
            <w:tcW w:type="dxa" w:w="1361"/>
            <w:vAlign w:val="center"/>
          </w:tcPr>
          <w:p>
            <w:pPr>
              <w:keepNext/>
              <w:spacing w:line="276" w:lineRule="auto" w:after="0"/>
              <w:ind w:firstLine="0"/>
              <w:jc w:val="center"/>
            </w:pPr>
            <w:r>
              <w:rPr>
                <w:b w:val="0"/>
                <w:sz w:val="18"/>
              </w:rPr>
              <w:t>0.890</w:t>
            </w:r>
          </w:p>
        </w:tc>
      </w:tr>
    </w:tbl>
    <w:p>
      <w:pPr>
        <w:pStyle w:val="Caption"/>
        <w:spacing w:before="80" w:after="180"/>
      </w:pPr>
      <w:r>
        <w:t>注：42个21日形成周期，2023年1月19日至2026年8月12日；头尾十分位多空，rf=0，25bp名称换手情景。先按未来标签可得性筛样本；并非可实施账本。MDD与Calmar为本文由保存系数及缓存补算。</w:t>
      </w:r>
    </w:p>
    <w:p>
      <w:pPr>
        <w:jc w:val="both"/>
      </w:pPr>
      <w:r>
        <w:t>向等权收缩Ridge的RankIC为0.1133，略低于同口径equal的0.1144，差值约−0.0011，HAC(3) t为−0.856；净夏普也略低。验证期Brandt式模型的收缩比例全部为1，因此与equal排序及结果相同，这不是新模型独立获得的增量。零先验Ridge、OLS和Lasso均未在该比较中优于等权。结果支持保留等权先验，但不能外推为正则化方法在其他信息集或样本中无效。</w:t>
      </w:r>
    </w:p>
    <w:p>
      <w:pPr>
        <w:jc w:val="both"/>
      </w:pPr>
      <w:r>
        <w:t>complete-case旧表曾显示向等权收缩和Brandt式模型有所改善，但该表的equal最后使用原X均值覆盖，而其他模型使用complete-case内重新标准化的X。因而预处理也发生变化，不能把差值全部解释为权重估计收益。另一个限制是full-coverage代码先以未来标签是否可得确定评价股票，再进行标准化及排序；“全覆盖”只针对标签可观察域，并不意味着当时即可实施。本文保留这些历史数值用于方法诊断，未将其称为已部署多空策略。</w:t>
      </w:r>
    </w:p>
    <w:p>
      <w:pPr>
        <w:pStyle w:val="Heading2"/>
      </w:pPr>
      <w:r>
        <w:t>5.3 原始机器学习政策的跨年结果</w:t>
      </w:r>
    </w:p>
    <w:p>
      <w:pPr>
        <w:jc w:val="both"/>
      </w:pPr>
      <w:r>
        <w:t>表5在各年度保存的硬执行器日收益上重算标准夏普，rf取零。这些年度片段延续各自此前模拟路径的持仓及资金规模，并未在测试年首日统一重置为相同现金账户。因此，比较还包含初始持仓及绝对资金规模对容量与最低收费的影响，归一化净值不能消除这些差异。原p1在2021年获得17.90%的CAGR和1.052的夏普，最大回撤9.15%；但2022年CAGR为−21.84%，最大回撤29.29%。同池F17在2021年收益较低但回撤也较小，2022年损失幅度则较小。复杂网络对2021年收益的改善未转化为跨年一致的风险收益优势。</w:t>
      </w:r>
    </w:p>
    <w:p>
      <w:pPr>
        <w:pStyle w:val="Caption"/>
        <w:keepNext/>
      </w:pPr>
      <w:r>
        <w:rPr>
          <w:b/>
        </w:rPr>
        <w:t>表5 原始政策网络与同池基准</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3572"/>
        <w:gridCol w:w="1361"/>
        <w:gridCol w:w="1247"/>
        <w:gridCol w:w="1587"/>
        <w:gridCol w:w="1247"/>
      </w:tblGrid>
      <w:tr>
        <w:trPr>
          <w:cantSplit/>
          <w:tblHeader/>
        </w:trPr>
        <w:tc>
          <w:tcPr>
            <w:tcW w:type="dxa" w:w="3572"/>
            <w:vAlign w:val="center"/>
            <w:shd w:fill="E7EDF2"/>
          </w:tcPr>
          <w:p>
            <w:pPr>
              <w:keepNext/>
              <w:spacing w:line="276" w:lineRule="auto" w:after="0"/>
              <w:ind w:firstLine="0"/>
              <w:jc w:val="center"/>
            </w:pPr>
            <w:r>
              <w:rPr>
                <w:b/>
                <w:sz w:val="18"/>
              </w:rPr>
              <w:t>年度与模型</w:t>
            </w:r>
          </w:p>
        </w:tc>
        <w:tc>
          <w:tcPr>
            <w:tcW w:type="dxa" w:w="1361"/>
            <w:vAlign w:val="center"/>
            <w:shd w:fill="E7EDF2"/>
          </w:tcPr>
          <w:p>
            <w:pPr>
              <w:keepNext/>
              <w:spacing w:line="276" w:lineRule="auto" w:after="0"/>
              <w:ind w:firstLine="0"/>
              <w:jc w:val="center"/>
            </w:pPr>
            <w:r>
              <w:rPr>
                <w:b/>
                <w:sz w:val="18"/>
              </w:rPr>
              <w:t>CAGR</w:t>
            </w:r>
          </w:p>
        </w:tc>
        <w:tc>
          <w:tcPr>
            <w:tcW w:type="dxa" w:w="1247"/>
            <w:vAlign w:val="center"/>
            <w:shd w:fill="E7EDF2"/>
          </w:tcPr>
          <w:p>
            <w:pPr>
              <w:keepNext/>
              <w:spacing w:line="276" w:lineRule="auto" w:after="0"/>
              <w:ind w:firstLine="0"/>
              <w:jc w:val="center"/>
            </w:pPr>
            <w:r>
              <w:rPr>
                <w:b/>
                <w:sz w:val="18"/>
              </w:rPr>
              <w:t>标准夏普</w:t>
            </w:r>
          </w:p>
        </w:tc>
        <w:tc>
          <w:tcPr>
            <w:tcW w:type="dxa" w:w="1587"/>
            <w:vAlign w:val="center"/>
            <w:shd w:fill="E7EDF2"/>
          </w:tcPr>
          <w:p>
            <w:pPr>
              <w:keepNext/>
              <w:spacing w:line="276" w:lineRule="auto" w:after="0"/>
              <w:ind w:firstLine="0"/>
              <w:jc w:val="center"/>
            </w:pPr>
            <w:r>
              <w:rPr>
                <w:b/>
                <w:sz w:val="18"/>
              </w:rPr>
              <w:t>最大回撤</w:t>
            </w:r>
          </w:p>
        </w:tc>
        <w:tc>
          <w:tcPr>
            <w:tcW w:type="dxa" w:w="1247"/>
            <w:vAlign w:val="center"/>
            <w:shd w:fill="E7EDF2"/>
          </w:tcPr>
          <w:p>
            <w:pPr>
              <w:keepNext/>
              <w:spacing w:line="276" w:lineRule="auto" w:after="0"/>
              <w:ind w:firstLine="0"/>
              <w:jc w:val="center"/>
            </w:pPr>
            <w:r>
              <w:rPr>
                <w:b/>
                <w:sz w:val="18"/>
              </w:rPr>
              <w:t>Calmar</w:t>
            </w:r>
          </w:p>
        </w:tc>
      </w:tr>
      <w:tr>
        <w:trPr>
          <w:cantSplit/>
        </w:trPr>
        <w:tc>
          <w:tcPr>
            <w:tcW w:type="dxa" w:w="3572"/>
            <w:vAlign w:val="center"/>
          </w:tcPr>
          <w:p>
            <w:pPr>
              <w:keepNext/>
              <w:spacing w:line="276" w:lineRule="auto" w:after="0"/>
              <w:ind w:firstLine="0"/>
              <w:jc w:val="left"/>
            </w:pPr>
            <w:r>
              <w:rPr>
                <w:b w:val="0"/>
                <w:sz w:val="18"/>
              </w:rPr>
              <w:t>2021 同池等权</w:t>
            </w:r>
          </w:p>
        </w:tc>
        <w:tc>
          <w:tcPr>
            <w:tcW w:type="dxa" w:w="1361"/>
            <w:vAlign w:val="center"/>
          </w:tcPr>
          <w:p>
            <w:pPr>
              <w:keepNext/>
              <w:spacing w:line="276" w:lineRule="auto" w:after="0"/>
              <w:ind w:firstLine="0"/>
              <w:jc w:val="center"/>
            </w:pPr>
            <w:r>
              <w:rPr>
                <w:b w:val="0"/>
                <w:sz w:val="18"/>
              </w:rPr>
              <w:t>14.28%</w:t>
            </w:r>
          </w:p>
        </w:tc>
        <w:tc>
          <w:tcPr>
            <w:tcW w:type="dxa" w:w="1247"/>
            <w:vAlign w:val="center"/>
          </w:tcPr>
          <w:p>
            <w:pPr>
              <w:keepNext/>
              <w:spacing w:line="276" w:lineRule="auto" w:after="0"/>
              <w:ind w:firstLine="0"/>
              <w:jc w:val="center"/>
            </w:pPr>
            <w:r>
              <w:rPr>
                <w:b w:val="0"/>
                <w:sz w:val="18"/>
              </w:rPr>
              <w:t>0.829</w:t>
            </w:r>
          </w:p>
        </w:tc>
        <w:tc>
          <w:tcPr>
            <w:tcW w:type="dxa" w:w="1587"/>
            <w:vAlign w:val="center"/>
          </w:tcPr>
          <w:p>
            <w:pPr>
              <w:keepNext/>
              <w:spacing w:line="276" w:lineRule="auto" w:after="0"/>
              <w:ind w:firstLine="0"/>
              <w:jc w:val="center"/>
            </w:pPr>
            <w:r>
              <w:rPr>
                <w:b w:val="0"/>
                <w:sz w:val="18"/>
              </w:rPr>
              <w:t>-10.21%</w:t>
            </w:r>
          </w:p>
        </w:tc>
        <w:tc>
          <w:tcPr>
            <w:tcW w:type="dxa" w:w="1247"/>
            <w:vAlign w:val="center"/>
          </w:tcPr>
          <w:p>
            <w:pPr>
              <w:keepNext/>
              <w:spacing w:line="276" w:lineRule="auto" w:after="0"/>
              <w:ind w:firstLine="0"/>
              <w:jc w:val="center"/>
            </w:pPr>
            <w:r>
              <w:rPr>
                <w:b w:val="0"/>
                <w:sz w:val="18"/>
              </w:rPr>
              <w:t>1.399</w:t>
            </w:r>
          </w:p>
        </w:tc>
      </w:tr>
      <w:tr>
        <w:trPr>
          <w:cantSplit/>
        </w:trPr>
        <w:tc>
          <w:tcPr>
            <w:tcW w:type="dxa" w:w="3572"/>
            <w:vAlign w:val="center"/>
          </w:tcPr>
          <w:p>
            <w:pPr>
              <w:keepNext/>
              <w:spacing w:line="276" w:lineRule="auto" w:after="0"/>
              <w:ind w:firstLine="0"/>
              <w:jc w:val="left"/>
            </w:pPr>
            <w:r>
              <w:rPr>
                <w:b w:val="0"/>
                <w:sz w:val="18"/>
              </w:rPr>
              <w:t>2021 同池F17</w:t>
            </w:r>
          </w:p>
        </w:tc>
        <w:tc>
          <w:tcPr>
            <w:tcW w:type="dxa" w:w="1361"/>
            <w:vAlign w:val="center"/>
          </w:tcPr>
          <w:p>
            <w:pPr>
              <w:keepNext/>
              <w:spacing w:line="276" w:lineRule="auto" w:after="0"/>
              <w:ind w:firstLine="0"/>
              <w:jc w:val="center"/>
            </w:pPr>
            <w:r>
              <w:rPr>
                <w:b w:val="0"/>
                <w:sz w:val="18"/>
              </w:rPr>
              <w:t>4.39%</w:t>
            </w:r>
          </w:p>
        </w:tc>
        <w:tc>
          <w:tcPr>
            <w:tcW w:type="dxa" w:w="1247"/>
            <w:vAlign w:val="center"/>
          </w:tcPr>
          <w:p>
            <w:pPr>
              <w:keepNext/>
              <w:spacing w:line="276" w:lineRule="auto" w:after="0"/>
              <w:ind w:firstLine="0"/>
              <w:jc w:val="center"/>
            </w:pPr>
            <w:r>
              <w:rPr>
                <w:b w:val="0"/>
                <w:sz w:val="18"/>
              </w:rPr>
              <w:t>0.432</w:t>
            </w:r>
          </w:p>
        </w:tc>
        <w:tc>
          <w:tcPr>
            <w:tcW w:type="dxa" w:w="1587"/>
            <w:vAlign w:val="center"/>
          </w:tcPr>
          <w:p>
            <w:pPr>
              <w:keepNext/>
              <w:spacing w:line="276" w:lineRule="auto" w:after="0"/>
              <w:ind w:firstLine="0"/>
              <w:jc w:val="center"/>
            </w:pPr>
            <w:r>
              <w:rPr>
                <w:b w:val="0"/>
                <w:sz w:val="18"/>
              </w:rPr>
              <w:t>-6.97%</w:t>
            </w:r>
          </w:p>
        </w:tc>
        <w:tc>
          <w:tcPr>
            <w:tcW w:type="dxa" w:w="1247"/>
            <w:vAlign w:val="center"/>
          </w:tcPr>
          <w:p>
            <w:pPr>
              <w:keepNext/>
              <w:spacing w:line="276" w:lineRule="auto" w:after="0"/>
              <w:ind w:firstLine="0"/>
              <w:jc w:val="center"/>
            </w:pPr>
            <w:r>
              <w:rPr>
                <w:b w:val="0"/>
                <w:sz w:val="18"/>
              </w:rPr>
              <w:t>0.629</w:t>
            </w:r>
          </w:p>
        </w:tc>
      </w:tr>
      <w:tr>
        <w:trPr>
          <w:cantSplit/>
        </w:trPr>
        <w:tc>
          <w:tcPr>
            <w:tcW w:type="dxa" w:w="3572"/>
            <w:vAlign w:val="center"/>
          </w:tcPr>
          <w:p>
            <w:pPr>
              <w:keepNext/>
              <w:spacing w:line="276" w:lineRule="auto" w:after="0"/>
              <w:ind w:firstLine="0"/>
              <w:jc w:val="left"/>
            </w:pPr>
            <w:r>
              <w:rPr>
                <w:b w:val="0"/>
                <w:sz w:val="18"/>
              </w:rPr>
              <w:t>2021 政策p1</w:t>
            </w:r>
          </w:p>
        </w:tc>
        <w:tc>
          <w:tcPr>
            <w:tcW w:type="dxa" w:w="1361"/>
            <w:vAlign w:val="center"/>
          </w:tcPr>
          <w:p>
            <w:pPr>
              <w:keepNext/>
              <w:spacing w:line="276" w:lineRule="auto" w:after="0"/>
              <w:ind w:firstLine="0"/>
              <w:jc w:val="center"/>
            </w:pPr>
            <w:r>
              <w:rPr>
                <w:b w:val="0"/>
                <w:sz w:val="18"/>
              </w:rPr>
              <w:t>17.90%</w:t>
            </w:r>
          </w:p>
        </w:tc>
        <w:tc>
          <w:tcPr>
            <w:tcW w:type="dxa" w:w="1247"/>
            <w:vAlign w:val="center"/>
          </w:tcPr>
          <w:p>
            <w:pPr>
              <w:keepNext/>
              <w:spacing w:line="276" w:lineRule="auto" w:after="0"/>
              <w:ind w:firstLine="0"/>
              <w:jc w:val="center"/>
            </w:pPr>
            <w:r>
              <w:rPr>
                <w:b w:val="0"/>
                <w:sz w:val="18"/>
              </w:rPr>
              <w:t>1.052</w:t>
            </w:r>
          </w:p>
        </w:tc>
        <w:tc>
          <w:tcPr>
            <w:tcW w:type="dxa" w:w="1587"/>
            <w:vAlign w:val="center"/>
          </w:tcPr>
          <w:p>
            <w:pPr>
              <w:keepNext/>
              <w:spacing w:line="276" w:lineRule="auto" w:after="0"/>
              <w:ind w:firstLine="0"/>
              <w:jc w:val="center"/>
            </w:pPr>
            <w:r>
              <w:rPr>
                <w:b w:val="0"/>
                <w:sz w:val="18"/>
              </w:rPr>
              <w:t>-9.15%</w:t>
            </w:r>
          </w:p>
        </w:tc>
        <w:tc>
          <w:tcPr>
            <w:tcW w:type="dxa" w:w="1247"/>
            <w:vAlign w:val="center"/>
          </w:tcPr>
          <w:p>
            <w:pPr>
              <w:keepNext/>
              <w:spacing w:line="276" w:lineRule="auto" w:after="0"/>
              <w:ind w:firstLine="0"/>
              <w:jc w:val="center"/>
            </w:pPr>
            <w:r>
              <w:rPr>
                <w:b w:val="0"/>
                <w:sz w:val="18"/>
              </w:rPr>
              <w:t>1.956</w:t>
            </w:r>
          </w:p>
        </w:tc>
      </w:tr>
      <w:tr>
        <w:trPr>
          <w:cantSplit/>
        </w:trPr>
        <w:tc>
          <w:tcPr>
            <w:tcW w:type="dxa" w:w="3572"/>
            <w:vAlign w:val="center"/>
          </w:tcPr>
          <w:p>
            <w:pPr>
              <w:keepNext/>
              <w:spacing w:line="276" w:lineRule="auto" w:after="0"/>
              <w:ind w:firstLine="0"/>
              <w:jc w:val="left"/>
            </w:pPr>
            <w:r>
              <w:rPr>
                <w:b w:val="0"/>
                <w:sz w:val="18"/>
              </w:rPr>
              <w:t>2022 同池等权</w:t>
            </w:r>
          </w:p>
        </w:tc>
        <w:tc>
          <w:tcPr>
            <w:tcW w:type="dxa" w:w="1361"/>
            <w:vAlign w:val="center"/>
          </w:tcPr>
          <w:p>
            <w:pPr>
              <w:keepNext/>
              <w:spacing w:line="276" w:lineRule="auto" w:after="0"/>
              <w:ind w:firstLine="0"/>
              <w:jc w:val="center"/>
            </w:pPr>
            <w:r>
              <w:rPr>
                <w:b w:val="0"/>
                <w:sz w:val="18"/>
              </w:rPr>
              <w:t>-25.50%</w:t>
            </w:r>
          </w:p>
        </w:tc>
        <w:tc>
          <w:tcPr>
            <w:tcW w:type="dxa" w:w="1247"/>
            <w:vAlign w:val="center"/>
          </w:tcPr>
          <w:p>
            <w:pPr>
              <w:keepNext/>
              <w:spacing w:line="276" w:lineRule="auto" w:after="0"/>
              <w:ind w:firstLine="0"/>
              <w:jc w:val="center"/>
            </w:pPr>
            <w:r>
              <w:rPr>
                <w:b w:val="0"/>
                <w:sz w:val="18"/>
              </w:rPr>
              <w:t>-1.172</w:t>
            </w:r>
          </w:p>
        </w:tc>
        <w:tc>
          <w:tcPr>
            <w:tcW w:type="dxa" w:w="1587"/>
            <w:vAlign w:val="center"/>
          </w:tcPr>
          <w:p>
            <w:pPr>
              <w:keepNext/>
              <w:spacing w:line="276" w:lineRule="auto" w:after="0"/>
              <w:ind w:firstLine="0"/>
              <w:jc w:val="center"/>
            </w:pPr>
            <w:r>
              <w:rPr>
                <w:b w:val="0"/>
                <w:sz w:val="18"/>
              </w:rPr>
              <w:t>-30.44%</w:t>
            </w:r>
          </w:p>
        </w:tc>
        <w:tc>
          <w:tcPr>
            <w:tcW w:type="dxa" w:w="1247"/>
            <w:vAlign w:val="center"/>
          </w:tcPr>
          <w:p>
            <w:pPr>
              <w:keepNext/>
              <w:spacing w:line="276" w:lineRule="auto" w:after="0"/>
              <w:ind w:firstLine="0"/>
              <w:jc w:val="center"/>
            </w:pPr>
            <w:r>
              <w:rPr>
                <w:b w:val="0"/>
                <w:sz w:val="18"/>
              </w:rPr>
              <w:t>-0.838</w:t>
            </w:r>
          </w:p>
        </w:tc>
      </w:tr>
      <w:tr>
        <w:trPr>
          <w:cantSplit/>
        </w:trPr>
        <w:tc>
          <w:tcPr>
            <w:tcW w:type="dxa" w:w="3572"/>
            <w:vAlign w:val="center"/>
          </w:tcPr>
          <w:p>
            <w:pPr>
              <w:keepNext/>
              <w:spacing w:line="276" w:lineRule="auto" w:after="0"/>
              <w:ind w:firstLine="0"/>
              <w:jc w:val="left"/>
            </w:pPr>
            <w:r>
              <w:rPr>
                <w:b w:val="0"/>
                <w:sz w:val="18"/>
              </w:rPr>
              <w:t>2022 同池F17</w:t>
            </w:r>
          </w:p>
        </w:tc>
        <w:tc>
          <w:tcPr>
            <w:tcW w:type="dxa" w:w="1361"/>
            <w:vAlign w:val="center"/>
          </w:tcPr>
          <w:p>
            <w:pPr>
              <w:keepNext/>
              <w:spacing w:line="276" w:lineRule="auto" w:after="0"/>
              <w:ind w:firstLine="0"/>
              <w:jc w:val="center"/>
            </w:pPr>
            <w:r>
              <w:rPr>
                <w:b w:val="0"/>
                <w:sz w:val="18"/>
              </w:rPr>
              <w:t>-14.22%</w:t>
            </w:r>
          </w:p>
        </w:tc>
        <w:tc>
          <w:tcPr>
            <w:tcW w:type="dxa" w:w="1247"/>
            <w:vAlign w:val="center"/>
          </w:tcPr>
          <w:p>
            <w:pPr>
              <w:keepNext/>
              <w:spacing w:line="276" w:lineRule="auto" w:after="0"/>
              <w:ind w:firstLine="0"/>
              <w:jc w:val="center"/>
            </w:pPr>
            <w:r>
              <w:rPr>
                <w:b w:val="0"/>
                <w:sz w:val="18"/>
              </w:rPr>
              <w:t>-1.066</w:t>
            </w:r>
          </w:p>
        </w:tc>
        <w:tc>
          <w:tcPr>
            <w:tcW w:type="dxa" w:w="1587"/>
            <w:vAlign w:val="center"/>
          </w:tcPr>
          <w:p>
            <w:pPr>
              <w:keepNext/>
              <w:spacing w:line="276" w:lineRule="auto" w:after="0"/>
              <w:ind w:firstLine="0"/>
              <w:jc w:val="center"/>
            </w:pPr>
            <w:r>
              <w:rPr>
                <w:b w:val="0"/>
                <w:sz w:val="18"/>
              </w:rPr>
              <w:t>-19.10%</w:t>
            </w:r>
          </w:p>
        </w:tc>
        <w:tc>
          <w:tcPr>
            <w:tcW w:type="dxa" w:w="1247"/>
            <w:vAlign w:val="center"/>
          </w:tcPr>
          <w:p>
            <w:pPr>
              <w:keepNext/>
              <w:spacing w:line="276" w:lineRule="auto" w:after="0"/>
              <w:ind w:firstLine="0"/>
              <w:jc w:val="center"/>
            </w:pPr>
            <w:r>
              <w:rPr>
                <w:b w:val="0"/>
                <w:sz w:val="18"/>
              </w:rPr>
              <w:t>-0.745</w:t>
            </w:r>
          </w:p>
        </w:tc>
      </w:tr>
      <w:tr>
        <w:trPr>
          <w:cantSplit/>
        </w:trPr>
        <w:tc>
          <w:tcPr>
            <w:tcW w:type="dxa" w:w="3572"/>
            <w:vAlign w:val="center"/>
          </w:tcPr>
          <w:p>
            <w:pPr>
              <w:keepNext/>
              <w:spacing w:line="276" w:lineRule="auto" w:after="0"/>
              <w:ind w:firstLine="0"/>
              <w:jc w:val="left"/>
            </w:pPr>
            <w:r>
              <w:rPr>
                <w:b w:val="0"/>
                <w:sz w:val="18"/>
              </w:rPr>
              <w:t>2022 政策p1</w:t>
            </w:r>
          </w:p>
        </w:tc>
        <w:tc>
          <w:tcPr>
            <w:tcW w:type="dxa" w:w="1361"/>
            <w:vAlign w:val="center"/>
          </w:tcPr>
          <w:p>
            <w:pPr>
              <w:keepNext/>
              <w:spacing w:line="276" w:lineRule="auto" w:after="0"/>
              <w:ind w:firstLine="0"/>
              <w:jc w:val="center"/>
            </w:pPr>
            <w:r>
              <w:rPr>
                <w:b w:val="0"/>
                <w:sz w:val="18"/>
              </w:rPr>
              <w:t>-21.84%</w:t>
            </w:r>
          </w:p>
        </w:tc>
        <w:tc>
          <w:tcPr>
            <w:tcW w:type="dxa" w:w="1247"/>
            <w:vAlign w:val="center"/>
          </w:tcPr>
          <w:p>
            <w:pPr>
              <w:keepNext/>
              <w:spacing w:line="276" w:lineRule="auto" w:after="0"/>
              <w:ind w:firstLine="0"/>
              <w:jc w:val="center"/>
            </w:pPr>
            <w:r>
              <w:rPr>
                <w:b w:val="0"/>
                <w:sz w:val="18"/>
              </w:rPr>
              <w:t>-0.969</w:t>
            </w:r>
          </w:p>
        </w:tc>
        <w:tc>
          <w:tcPr>
            <w:tcW w:type="dxa" w:w="1587"/>
            <w:vAlign w:val="center"/>
          </w:tcPr>
          <w:p>
            <w:pPr>
              <w:keepNext/>
              <w:spacing w:line="276" w:lineRule="auto" w:after="0"/>
              <w:ind w:firstLine="0"/>
              <w:jc w:val="center"/>
            </w:pPr>
            <w:r>
              <w:rPr>
                <w:b w:val="0"/>
                <w:sz w:val="18"/>
              </w:rPr>
              <w:t>-29.29%</w:t>
            </w:r>
          </w:p>
        </w:tc>
        <w:tc>
          <w:tcPr>
            <w:tcW w:type="dxa" w:w="1247"/>
            <w:vAlign w:val="center"/>
          </w:tcPr>
          <w:p>
            <w:pPr>
              <w:keepNext/>
              <w:spacing w:line="276" w:lineRule="auto" w:after="0"/>
              <w:ind w:firstLine="0"/>
              <w:jc w:val="center"/>
            </w:pPr>
            <w:r>
              <w:rPr>
                <w:b w:val="0"/>
                <w:sz w:val="18"/>
              </w:rPr>
              <w:t>-0.746</w:t>
            </w:r>
          </w:p>
        </w:tc>
      </w:tr>
    </w:tbl>
    <w:p>
      <w:pPr>
        <w:pStyle w:val="Caption"/>
        <w:spacing w:before="80" w:after="180"/>
      </w:pPr>
      <w:r>
        <w:t>注：2021年243日，2022年242日；保存硬执行器净收益，rf=0。标准夏普由日均收益与样本标准差重算；原CAGR/波动字段另存附件。股票池与表3不同。</w:t>
      </w:r>
    </w:p>
    <w:p>
      <w:pPr>
        <w:jc w:val="both"/>
      </w:pPr>
      <w:r>
        <w:t>这里的F17是流动性前1,000股票池内的政策对照，不能与表3的LSY式股票池F17比较绝对高低。硬执行器虽包含费用和若干约束，仍使用代理数据；当前源码时序标签及边界清洗问题进一步限制了因果解释。本文能够确认保存账本的数值及跨年差异，但不能据此声称已建立严格无泄漏、可实盘复制的神经组合政策。</w:t>
      </w:r>
    </w:p>
    <w:p>
      <w:pPr>
        <w:pStyle w:val="Heading2"/>
      </w:pPr>
      <w:r>
        <w:t>5.4 文献驱动修改与探索性保留期</w:t>
      </w:r>
    </w:p>
    <w:p>
      <w:pPr>
        <w:jc w:val="both"/>
      </w:pPr>
      <w:r>
        <w:t>2021年同一研究路径中的修改呈现不同权衡。chronological降低了部分风险，但收益未超过原p1；ListNet辅助项和top-G也没有一致提升。固定温度0.6、顺序训练并按score选型的v3 Top500读出，标准夏普达到1.147、回撤7.34%，但该结果来自已反复使用的单年，并伴随多处设计变化，不能作为独立确认的改进证据。</w:t>
      </w:r>
    </w:p>
    <w:p>
      <w:pPr>
        <w:pStyle w:val="Caption"/>
        <w:keepNext/>
      </w:pPr>
      <w:r>
        <w:rPr>
          <w:b/>
        </w:rPr>
        <w:t>表6 文献启发的政策改动在2021年的表现</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3572"/>
        <w:gridCol w:w="1361"/>
        <w:gridCol w:w="1247"/>
        <w:gridCol w:w="1587"/>
        <w:gridCol w:w="1247"/>
      </w:tblGrid>
      <w:tr>
        <w:trPr>
          <w:cantSplit/>
          <w:tblHeader/>
        </w:trPr>
        <w:tc>
          <w:tcPr>
            <w:tcW w:type="dxa" w:w="3572"/>
            <w:vAlign w:val="center"/>
            <w:shd w:fill="E7EDF2"/>
          </w:tcPr>
          <w:p>
            <w:pPr>
              <w:keepNext/>
              <w:spacing w:line="276" w:lineRule="auto" w:after="0"/>
              <w:ind w:firstLine="0"/>
              <w:jc w:val="center"/>
            </w:pPr>
            <w:r>
              <w:rPr>
                <w:b/>
                <w:sz w:val="18"/>
              </w:rPr>
              <w:t>配置与读出</w:t>
            </w:r>
          </w:p>
        </w:tc>
        <w:tc>
          <w:tcPr>
            <w:tcW w:type="dxa" w:w="1361"/>
            <w:vAlign w:val="center"/>
            <w:shd w:fill="E7EDF2"/>
          </w:tcPr>
          <w:p>
            <w:pPr>
              <w:keepNext/>
              <w:spacing w:line="276" w:lineRule="auto" w:after="0"/>
              <w:ind w:firstLine="0"/>
              <w:jc w:val="center"/>
            </w:pPr>
            <w:r>
              <w:rPr>
                <w:b/>
                <w:sz w:val="18"/>
              </w:rPr>
              <w:t>CAGR</w:t>
            </w:r>
          </w:p>
        </w:tc>
        <w:tc>
          <w:tcPr>
            <w:tcW w:type="dxa" w:w="1247"/>
            <w:vAlign w:val="center"/>
            <w:shd w:fill="E7EDF2"/>
          </w:tcPr>
          <w:p>
            <w:pPr>
              <w:keepNext/>
              <w:spacing w:line="276" w:lineRule="auto" w:after="0"/>
              <w:ind w:firstLine="0"/>
              <w:jc w:val="center"/>
            </w:pPr>
            <w:r>
              <w:rPr>
                <w:b/>
                <w:sz w:val="18"/>
              </w:rPr>
              <w:t>标准夏普</w:t>
            </w:r>
          </w:p>
        </w:tc>
        <w:tc>
          <w:tcPr>
            <w:tcW w:type="dxa" w:w="1587"/>
            <w:vAlign w:val="center"/>
            <w:shd w:fill="E7EDF2"/>
          </w:tcPr>
          <w:p>
            <w:pPr>
              <w:keepNext/>
              <w:spacing w:line="276" w:lineRule="auto" w:after="0"/>
              <w:ind w:firstLine="0"/>
              <w:jc w:val="center"/>
            </w:pPr>
            <w:r>
              <w:rPr>
                <w:b/>
                <w:sz w:val="18"/>
              </w:rPr>
              <w:t>最大回撤</w:t>
            </w:r>
          </w:p>
        </w:tc>
        <w:tc>
          <w:tcPr>
            <w:tcW w:type="dxa" w:w="1247"/>
            <w:vAlign w:val="center"/>
            <w:shd w:fill="E7EDF2"/>
          </w:tcPr>
          <w:p>
            <w:pPr>
              <w:keepNext/>
              <w:spacing w:line="276" w:lineRule="auto" w:after="0"/>
              <w:ind w:firstLine="0"/>
              <w:jc w:val="center"/>
            </w:pPr>
            <w:r>
              <w:rPr>
                <w:b/>
                <w:sz w:val="18"/>
              </w:rPr>
              <w:t>Calmar</w:t>
            </w:r>
          </w:p>
        </w:tc>
      </w:tr>
      <w:tr>
        <w:trPr>
          <w:cantSplit/>
        </w:trPr>
        <w:tc>
          <w:tcPr>
            <w:tcW w:type="dxa" w:w="3572"/>
            <w:vAlign w:val="center"/>
          </w:tcPr>
          <w:p>
            <w:pPr>
              <w:keepNext/>
              <w:spacing w:line="276" w:lineRule="auto" w:after="0"/>
              <w:ind w:firstLine="0"/>
              <w:jc w:val="left"/>
            </w:pPr>
            <w:r>
              <w:rPr>
                <w:b w:val="0"/>
                <w:sz w:val="18"/>
              </w:rPr>
              <w:t>原p1</w:t>
            </w:r>
          </w:p>
        </w:tc>
        <w:tc>
          <w:tcPr>
            <w:tcW w:type="dxa" w:w="1361"/>
            <w:vAlign w:val="center"/>
          </w:tcPr>
          <w:p>
            <w:pPr>
              <w:keepNext/>
              <w:spacing w:line="276" w:lineRule="auto" w:after="0"/>
              <w:ind w:firstLine="0"/>
              <w:jc w:val="center"/>
            </w:pPr>
            <w:r>
              <w:rPr>
                <w:b w:val="0"/>
                <w:sz w:val="18"/>
              </w:rPr>
              <w:t>17.90%</w:t>
            </w:r>
          </w:p>
        </w:tc>
        <w:tc>
          <w:tcPr>
            <w:tcW w:type="dxa" w:w="1247"/>
            <w:vAlign w:val="center"/>
          </w:tcPr>
          <w:p>
            <w:pPr>
              <w:keepNext/>
              <w:spacing w:line="276" w:lineRule="auto" w:after="0"/>
              <w:ind w:firstLine="0"/>
              <w:jc w:val="center"/>
            </w:pPr>
            <w:r>
              <w:rPr>
                <w:b w:val="0"/>
                <w:sz w:val="18"/>
              </w:rPr>
              <w:t>1.052</w:t>
            </w:r>
          </w:p>
        </w:tc>
        <w:tc>
          <w:tcPr>
            <w:tcW w:type="dxa" w:w="1587"/>
            <w:vAlign w:val="center"/>
          </w:tcPr>
          <w:p>
            <w:pPr>
              <w:keepNext/>
              <w:spacing w:line="276" w:lineRule="auto" w:after="0"/>
              <w:ind w:firstLine="0"/>
              <w:jc w:val="center"/>
            </w:pPr>
            <w:r>
              <w:rPr>
                <w:b w:val="0"/>
                <w:sz w:val="18"/>
              </w:rPr>
              <w:t>-9.15%</w:t>
            </w:r>
          </w:p>
        </w:tc>
        <w:tc>
          <w:tcPr>
            <w:tcW w:type="dxa" w:w="1247"/>
            <w:vAlign w:val="center"/>
          </w:tcPr>
          <w:p>
            <w:pPr>
              <w:keepNext/>
              <w:spacing w:line="276" w:lineRule="auto" w:after="0"/>
              <w:ind w:firstLine="0"/>
              <w:jc w:val="center"/>
            </w:pPr>
            <w:r>
              <w:rPr>
                <w:b w:val="0"/>
                <w:sz w:val="18"/>
              </w:rPr>
              <w:t>1.956</w:t>
            </w:r>
          </w:p>
        </w:tc>
      </w:tr>
      <w:tr>
        <w:trPr>
          <w:cantSplit/>
        </w:trPr>
        <w:tc>
          <w:tcPr>
            <w:tcW w:type="dxa" w:w="3572"/>
            <w:vAlign w:val="center"/>
          </w:tcPr>
          <w:p>
            <w:pPr>
              <w:keepNext/>
              <w:spacing w:line="276" w:lineRule="auto" w:after="0"/>
              <w:ind w:firstLine="0"/>
              <w:jc w:val="left"/>
            </w:pPr>
            <w:r>
              <w:rPr>
                <w:b w:val="0"/>
                <w:sz w:val="18"/>
              </w:rPr>
              <w:t>v2 chronological</w:t>
            </w:r>
          </w:p>
        </w:tc>
        <w:tc>
          <w:tcPr>
            <w:tcW w:type="dxa" w:w="1361"/>
            <w:vAlign w:val="center"/>
          </w:tcPr>
          <w:p>
            <w:pPr>
              <w:keepNext/>
              <w:spacing w:line="276" w:lineRule="auto" w:after="0"/>
              <w:ind w:firstLine="0"/>
              <w:jc w:val="center"/>
            </w:pPr>
            <w:r>
              <w:rPr>
                <w:b w:val="0"/>
                <w:sz w:val="18"/>
              </w:rPr>
              <w:t>13.41%</w:t>
            </w:r>
          </w:p>
        </w:tc>
        <w:tc>
          <w:tcPr>
            <w:tcW w:type="dxa" w:w="1247"/>
            <w:vAlign w:val="center"/>
          </w:tcPr>
          <w:p>
            <w:pPr>
              <w:keepNext/>
              <w:spacing w:line="276" w:lineRule="auto" w:after="0"/>
              <w:ind w:firstLine="0"/>
              <w:jc w:val="center"/>
            </w:pPr>
            <w:r>
              <w:rPr>
                <w:b w:val="0"/>
                <w:sz w:val="18"/>
              </w:rPr>
              <w:t>0.898</w:t>
            </w:r>
          </w:p>
        </w:tc>
        <w:tc>
          <w:tcPr>
            <w:tcW w:type="dxa" w:w="1587"/>
            <w:vAlign w:val="center"/>
          </w:tcPr>
          <w:p>
            <w:pPr>
              <w:keepNext/>
              <w:spacing w:line="276" w:lineRule="auto" w:after="0"/>
              <w:ind w:firstLine="0"/>
              <w:jc w:val="center"/>
            </w:pPr>
            <w:r>
              <w:rPr>
                <w:b w:val="0"/>
                <w:sz w:val="18"/>
              </w:rPr>
              <w:t>-7.96%</w:t>
            </w:r>
          </w:p>
        </w:tc>
        <w:tc>
          <w:tcPr>
            <w:tcW w:type="dxa" w:w="1247"/>
            <w:vAlign w:val="center"/>
          </w:tcPr>
          <w:p>
            <w:pPr>
              <w:keepNext/>
              <w:spacing w:line="276" w:lineRule="auto" w:after="0"/>
              <w:ind w:firstLine="0"/>
              <w:jc w:val="center"/>
            </w:pPr>
            <w:r>
              <w:rPr>
                <w:b w:val="0"/>
                <w:sz w:val="18"/>
              </w:rPr>
              <w:t>1.684</w:t>
            </w:r>
          </w:p>
        </w:tc>
      </w:tr>
      <w:tr>
        <w:trPr>
          <w:cantSplit/>
        </w:trPr>
        <w:tc>
          <w:tcPr>
            <w:tcW w:type="dxa" w:w="3572"/>
            <w:vAlign w:val="center"/>
          </w:tcPr>
          <w:p>
            <w:pPr>
              <w:keepNext/>
              <w:spacing w:line="276" w:lineRule="auto" w:after="0"/>
              <w:ind w:firstLine="0"/>
              <w:jc w:val="left"/>
            </w:pPr>
            <w:r>
              <w:rPr>
                <w:b w:val="0"/>
                <w:sz w:val="18"/>
              </w:rPr>
              <w:t>v2 ListNet 0.001 Top500</w:t>
            </w:r>
          </w:p>
        </w:tc>
        <w:tc>
          <w:tcPr>
            <w:tcW w:type="dxa" w:w="1361"/>
            <w:vAlign w:val="center"/>
          </w:tcPr>
          <w:p>
            <w:pPr>
              <w:keepNext/>
              <w:spacing w:line="276" w:lineRule="auto" w:after="0"/>
              <w:ind w:firstLine="0"/>
              <w:jc w:val="center"/>
            </w:pPr>
            <w:r>
              <w:rPr>
                <w:b w:val="0"/>
                <w:sz w:val="18"/>
              </w:rPr>
              <w:t>16.54%</w:t>
            </w:r>
          </w:p>
        </w:tc>
        <w:tc>
          <w:tcPr>
            <w:tcW w:type="dxa" w:w="1247"/>
            <w:vAlign w:val="center"/>
          </w:tcPr>
          <w:p>
            <w:pPr>
              <w:keepNext/>
              <w:spacing w:line="276" w:lineRule="auto" w:after="0"/>
              <w:ind w:firstLine="0"/>
              <w:jc w:val="center"/>
            </w:pPr>
            <w:r>
              <w:rPr>
                <w:b w:val="0"/>
                <w:sz w:val="18"/>
              </w:rPr>
              <w:t>0.782</w:t>
            </w:r>
          </w:p>
        </w:tc>
        <w:tc>
          <w:tcPr>
            <w:tcW w:type="dxa" w:w="1587"/>
            <w:vAlign w:val="center"/>
          </w:tcPr>
          <w:p>
            <w:pPr>
              <w:keepNext/>
              <w:spacing w:line="276" w:lineRule="auto" w:after="0"/>
              <w:ind w:firstLine="0"/>
              <w:jc w:val="center"/>
            </w:pPr>
            <w:r>
              <w:rPr>
                <w:b w:val="0"/>
                <w:sz w:val="18"/>
              </w:rPr>
              <w:t>-13.48%</w:t>
            </w:r>
          </w:p>
        </w:tc>
        <w:tc>
          <w:tcPr>
            <w:tcW w:type="dxa" w:w="1247"/>
            <w:vAlign w:val="center"/>
          </w:tcPr>
          <w:p>
            <w:pPr>
              <w:keepNext/>
              <w:spacing w:line="276" w:lineRule="auto" w:after="0"/>
              <w:ind w:firstLine="0"/>
              <w:jc w:val="center"/>
            </w:pPr>
            <w:r>
              <w:rPr>
                <w:b w:val="0"/>
                <w:sz w:val="18"/>
              </w:rPr>
              <w:t>1.227</w:t>
            </w:r>
          </w:p>
        </w:tc>
      </w:tr>
      <w:tr>
        <w:trPr>
          <w:cantSplit/>
        </w:trPr>
        <w:tc>
          <w:tcPr>
            <w:tcW w:type="dxa" w:w="3572"/>
            <w:vAlign w:val="center"/>
          </w:tcPr>
          <w:p>
            <w:pPr>
              <w:keepNext/>
              <w:spacing w:line="276" w:lineRule="auto" w:after="0"/>
              <w:ind w:firstLine="0"/>
              <w:jc w:val="left"/>
            </w:pPr>
            <w:r>
              <w:rPr>
                <w:b w:val="0"/>
                <w:sz w:val="18"/>
              </w:rPr>
              <w:t>v2 Top-G 500</w:t>
            </w:r>
          </w:p>
        </w:tc>
        <w:tc>
          <w:tcPr>
            <w:tcW w:type="dxa" w:w="1361"/>
            <w:vAlign w:val="center"/>
          </w:tcPr>
          <w:p>
            <w:pPr>
              <w:keepNext/>
              <w:spacing w:line="276" w:lineRule="auto" w:after="0"/>
              <w:ind w:firstLine="0"/>
              <w:jc w:val="center"/>
            </w:pPr>
            <w:r>
              <w:rPr>
                <w:b w:val="0"/>
                <w:sz w:val="18"/>
              </w:rPr>
              <w:t>14.14%</w:t>
            </w:r>
          </w:p>
        </w:tc>
        <w:tc>
          <w:tcPr>
            <w:tcW w:type="dxa" w:w="1247"/>
            <w:vAlign w:val="center"/>
          </w:tcPr>
          <w:p>
            <w:pPr>
              <w:keepNext/>
              <w:spacing w:line="276" w:lineRule="auto" w:after="0"/>
              <w:ind w:firstLine="0"/>
              <w:jc w:val="center"/>
            </w:pPr>
            <w:r>
              <w:rPr>
                <w:b w:val="0"/>
                <w:sz w:val="18"/>
              </w:rPr>
              <w:t>0.906</w:t>
            </w:r>
          </w:p>
        </w:tc>
        <w:tc>
          <w:tcPr>
            <w:tcW w:type="dxa" w:w="1587"/>
            <w:vAlign w:val="center"/>
          </w:tcPr>
          <w:p>
            <w:pPr>
              <w:keepNext/>
              <w:spacing w:line="276" w:lineRule="auto" w:after="0"/>
              <w:ind w:firstLine="0"/>
              <w:jc w:val="center"/>
            </w:pPr>
            <w:r>
              <w:rPr>
                <w:b w:val="0"/>
                <w:sz w:val="18"/>
              </w:rPr>
              <w:t>-9.38%</w:t>
            </w:r>
          </w:p>
        </w:tc>
        <w:tc>
          <w:tcPr>
            <w:tcW w:type="dxa" w:w="1247"/>
            <w:vAlign w:val="center"/>
          </w:tcPr>
          <w:p>
            <w:pPr>
              <w:keepNext/>
              <w:spacing w:line="276" w:lineRule="auto" w:after="0"/>
              <w:ind w:firstLine="0"/>
              <w:jc w:val="center"/>
            </w:pPr>
            <w:r>
              <w:rPr>
                <w:b w:val="0"/>
                <w:sz w:val="18"/>
              </w:rPr>
              <w:t>1.508</w:t>
            </w:r>
          </w:p>
        </w:tc>
      </w:tr>
      <w:tr>
        <w:trPr>
          <w:cantSplit/>
        </w:trPr>
        <w:tc>
          <w:tcPr>
            <w:tcW w:type="dxa" w:w="3572"/>
            <w:vAlign w:val="center"/>
          </w:tcPr>
          <w:p>
            <w:pPr>
              <w:keepNext/>
              <w:spacing w:line="276" w:lineRule="auto" w:after="0"/>
              <w:ind w:firstLine="0"/>
              <w:jc w:val="left"/>
            </w:pPr>
            <w:r>
              <w:rPr>
                <w:b w:val="0"/>
                <w:sz w:val="18"/>
              </w:rPr>
              <w:t>v3 顺序 固定T0.6 Top500</w:t>
            </w:r>
          </w:p>
        </w:tc>
        <w:tc>
          <w:tcPr>
            <w:tcW w:type="dxa" w:w="1361"/>
            <w:vAlign w:val="center"/>
          </w:tcPr>
          <w:p>
            <w:pPr>
              <w:keepNext/>
              <w:spacing w:line="276" w:lineRule="auto" w:after="0"/>
              <w:ind w:firstLine="0"/>
              <w:jc w:val="center"/>
            </w:pPr>
            <w:r>
              <w:rPr>
                <w:b w:val="0"/>
                <w:sz w:val="18"/>
              </w:rPr>
              <w:t>16.15%</w:t>
            </w:r>
          </w:p>
        </w:tc>
        <w:tc>
          <w:tcPr>
            <w:tcW w:type="dxa" w:w="1247"/>
            <w:vAlign w:val="center"/>
          </w:tcPr>
          <w:p>
            <w:pPr>
              <w:keepNext/>
              <w:spacing w:line="276" w:lineRule="auto" w:after="0"/>
              <w:ind w:firstLine="0"/>
              <w:jc w:val="center"/>
            </w:pPr>
            <w:r>
              <w:rPr>
                <w:b w:val="0"/>
                <w:sz w:val="18"/>
              </w:rPr>
              <w:t>1.147</w:t>
            </w:r>
          </w:p>
        </w:tc>
        <w:tc>
          <w:tcPr>
            <w:tcW w:type="dxa" w:w="1587"/>
            <w:vAlign w:val="center"/>
          </w:tcPr>
          <w:p>
            <w:pPr>
              <w:keepNext/>
              <w:spacing w:line="276" w:lineRule="auto" w:after="0"/>
              <w:ind w:firstLine="0"/>
              <w:jc w:val="center"/>
            </w:pPr>
            <w:r>
              <w:rPr>
                <w:b w:val="0"/>
                <w:sz w:val="18"/>
              </w:rPr>
              <w:t>-7.34%</w:t>
            </w:r>
          </w:p>
        </w:tc>
        <w:tc>
          <w:tcPr>
            <w:tcW w:type="dxa" w:w="1247"/>
            <w:vAlign w:val="center"/>
          </w:tcPr>
          <w:p>
            <w:pPr>
              <w:keepNext/>
              <w:spacing w:line="276" w:lineRule="auto" w:after="0"/>
              <w:ind w:firstLine="0"/>
              <w:jc w:val="center"/>
            </w:pPr>
            <w:r>
              <w:rPr>
                <w:b w:val="0"/>
                <w:sz w:val="18"/>
              </w:rPr>
              <w:t>2.199</w:t>
            </w:r>
          </w:p>
        </w:tc>
      </w:tr>
    </w:tbl>
    <w:p>
      <w:pPr>
        <w:pStyle w:val="Caption"/>
        <w:spacing w:before="80" w:after="180"/>
      </w:pPr>
      <w:r>
        <w:t>注：同一2021年已被反复查看，且改动与读出不完全一致；这是探索性版本记录，不是单因素消融或独立确认。243日、rf=0、硬执行器保存收益。</w:t>
      </w:r>
    </w:p>
    <w:p>
      <w:pPr>
        <w:jc w:val="both"/>
      </w:pPr>
      <w:r>
        <w:t>另以固定p1配方训练2013至2020年的数据、在2021至2022年选择epoch后，对2023年1月3日至2026年9月28日的探索性保留期实施多种读出。各读出从现金开始；该实验检验原p1配方及其组合映射，并未逐一复验v2/v3各改动。政策softmax读出的CAGR约−0.12%，标准夏普0.109、最大回撤32.87%；Top500等权读出CAGR为2.08%、夏普0.206、最大回撤35.65%。同池全体市值加权对照为7.41%、0.536和18.56%。其含义是，在该持仓初始化及执行设定下，保留期结果不支持将此前单年优势视为稳定的政策alpha。</w:t>
      </w:r>
    </w:p>
    <w:p>
      <w:pPr>
        <w:pStyle w:val="Caption"/>
        <w:keepNext/>
      </w:pPr>
      <w:r>
        <w:rPr>
          <w:b/>
        </w:rPr>
        <w:t>表7 政策路线的探索性保留期</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3572"/>
        <w:gridCol w:w="1361"/>
        <w:gridCol w:w="1247"/>
        <w:gridCol w:w="1587"/>
        <w:gridCol w:w="1247"/>
      </w:tblGrid>
      <w:tr>
        <w:trPr>
          <w:cantSplit/>
          <w:tblHeader/>
        </w:trPr>
        <w:tc>
          <w:tcPr>
            <w:tcW w:type="dxa" w:w="3572"/>
            <w:vAlign w:val="center"/>
            <w:shd w:fill="E7EDF2"/>
          </w:tcPr>
          <w:p>
            <w:pPr>
              <w:keepNext/>
              <w:spacing w:line="276" w:lineRule="auto" w:after="0"/>
              <w:ind w:firstLine="0"/>
              <w:jc w:val="center"/>
            </w:pPr>
            <w:r>
              <w:rPr>
                <w:b/>
                <w:sz w:val="18"/>
              </w:rPr>
              <w:t>读出</w:t>
            </w:r>
          </w:p>
        </w:tc>
        <w:tc>
          <w:tcPr>
            <w:tcW w:type="dxa" w:w="1361"/>
            <w:vAlign w:val="center"/>
            <w:shd w:fill="E7EDF2"/>
          </w:tcPr>
          <w:p>
            <w:pPr>
              <w:keepNext/>
              <w:spacing w:line="276" w:lineRule="auto" w:after="0"/>
              <w:ind w:firstLine="0"/>
              <w:jc w:val="center"/>
            </w:pPr>
            <w:r>
              <w:rPr>
                <w:b/>
                <w:sz w:val="18"/>
              </w:rPr>
              <w:t>CAGR</w:t>
            </w:r>
          </w:p>
        </w:tc>
        <w:tc>
          <w:tcPr>
            <w:tcW w:type="dxa" w:w="1247"/>
            <w:vAlign w:val="center"/>
            <w:shd w:fill="E7EDF2"/>
          </w:tcPr>
          <w:p>
            <w:pPr>
              <w:keepNext/>
              <w:spacing w:line="276" w:lineRule="auto" w:after="0"/>
              <w:ind w:firstLine="0"/>
              <w:jc w:val="center"/>
            </w:pPr>
            <w:r>
              <w:rPr>
                <w:b/>
                <w:sz w:val="18"/>
              </w:rPr>
              <w:t>标准夏普</w:t>
            </w:r>
          </w:p>
        </w:tc>
        <w:tc>
          <w:tcPr>
            <w:tcW w:type="dxa" w:w="1587"/>
            <w:vAlign w:val="center"/>
            <w:shd w:fill="E7EDF2"/>
          </w:tcPr>
          <w:p>
            <w:pPr>
              <w:keepNext/>
              <w:spacing w:line="276" w:lineRule="auto" w:after="0"/>
              <w:ind w:firstLine="0"/>
              <w:jc w:val="center"/>
            </w:pPr>
            <w:r>
              <w:rPr>
                <w:b/>
                <w:sz w:val="18"/>
              </w:rPr>
              <w:t>最大回撤</w:t>
            </w:r>
          </w:p>
        </w:tc>
        <w:tc>
          <w:tcPr>
            <w:tcW w:type="dxa" w:w="1247"/>
            <w:vAlign w:val="center"/>
            <w:shd w:fill="E7EDF2"/>
          </w:tcPr>
          <w:p>
            <w:pPr>
              <w:keepNext/>
              <w:spacing w:line="276" w:lineRule="auto" w:after="0"/>
              <w:ind w:firstLine="0"/>
              <w:jc w:val="center"/>
            </w:pPr>
            <w:r>
              <w:rPr>
                <w:b/>
                <w:sz w:val="18"/>
              </w:rPr>
              <w:t>Calmar</w:t>
            </w:r>
          </w:p>
        </w:tc>
      </w:tr>
      <w:tr>
        <w:trPr>
          <w:cantSplit/>
        </w:trPr>
        <w:tc>
          <w:tcPr>
            <w:tcW w:type="dxa" w:w="3572"/>
            <w:vAlign w:val="center"/>
          </w:tcPr>
          <w:p>
            <w:pPr>
              <w:keepNext/>
              <w:spacing w:line="276" w:lineRule="auto" w:after="0"/>
              <w:ind w:firstLine="0"/>
              <w:jc w:val="left"/>
            </w:pPr>
            <w:r>
              <w:rPr>
                <w:b w:val="0"/>
                <w:sz w:val="18"/>
              </w:rPr>
              <w:t>同池全体等权</w:t>
            </w:r>
          </w:p>
        </w:tc>
        <w:tc>
          <w:tcPr>
            <w:tcW w:type="dxa" w:w="1361"/>
            <w:vAlign w:val="center"/>
          </w:tcPr>
          <w:p>
            <w:pPr>
              <w:keepNext/>
              <w:spacing w:line="276" w:lineRule="auto" w:after="0"/>
              <w:ind w:firstLine="0"/>
              <w:jc w:val="center"/>
            </w:pPr>
            <w:r>
              <w:rPr>
                <w:b w:val="0"/>
                <w:sz w:val="18"/>
              </w:rPr>
              <w:t>3.78%</w:t>
            </w:r>
          </w:p>
        </w:tc>
        <w:tc>
          <w:tcPr>
            <w:tcW w:type="dxa" w:w="1247"/>
            <w:vAlign w:val="center"/>
          </w:tcPr>
          <w:p>
            <w:pPr>
              <w:keepNext/>
              <w:spacing w:line="276" w:lineRule="auto" w:after="0"/>
              <w:ind w:firstLine="0"/>
              <w:jc w:val="center"/>
            </w:pPr>
            <w:r>
              <w:rPr>
                <w:b w:val="0"/>
                <w:sz w:val="18"/>
              </w:rPr>
              <w:t>0.274</w:t>
            </w:r>
          </w:p>
        </w:tc>
        <w:tc>
          <w:tcPr>
            <w:tcW w:type="dxa" w:w="1587"/>
            <w:vAlign w:val="center"/>
          </w:tcPr>
          <w:p>
            <w:pPr>
              <w:keepNext/>
              <w:spacing w:line="276" w:lineRule="auto" w:after="0"/>
              <w:ind w:firstLine="0"/>
              <w:jc w:val="center"/>
            </w:pPr>
            <w:r>
              <w:rPr>
                <w:b w:val="0"/>
                <w:sz w:val="18"/>
              </w:rPr>
              <w:t>-35.59%</w:t>
            </w:r>
          </w:p>
        </w:tc>
        <w:tc>
          <w:tcPr>
            <w:tcW w:type="dxa" w:w="1247"/>
            <w:vAlign w:val="center"/>
          </w:tcPr>
          <w:p>
            <w:pPr>
              <w:keepNext/>
              <w:spacing w:line="276" w:lineRule="auto" w:after="0"/>
              <w:ind w:firstLine="0"/>
              <w:jc w:val="center"/>
            </w:pPr>
            <w:r>
              <w:rPr>
                <w:b w:val="0"/>
                <w:sz w:val="18"/>
              </w:rPr>
              <w:t>0.106</w:t>
            </w:r>
          </w:p>
        </w:tc>
      </w:tr>
      <w:tr>
        <w:trPr>
          <w:cantSplit/>
        </w:trPr>
        <w:tc>
          <w:tcPr>
            <w:tcW w:type="dxa" w:w="3572"/>
            <w:vAlign w:val="center"/>
          </w:tcPr>
          <w:p>
            <w:pPr>
              <w:keepNext/>
              <w:spacing w:line="276" w:lineRule="auto" w:after="0"/>
              <w:ind w:firstLine="0"/>
              <w:jc w:val="left"/>
            </w:pPr>
            <w:r>
              <w:rPr>
                <w:b w:val="0"/>
                <w:sz w:val="18"/>
              </w:rPr>
              <w:t>同池全体市值加权</w:t>
            </w:r>
          </w:p>
        </w:tc>
        <w:tc>
          <w:tcPr>
            <w:tcW w:type="dxa" w:w="1361"/>
            <w:vAlign w:val="center"/>
          </w:tcPr>
          <w:p>
            <w:pPr>
              <w:keepNext/>
              <w:spacing w:line="276" w:lineRule="auto" w:after="0"/>
              <w:ind w:firstLine="0"/>
              <w:jc w:val="center"/>
            </w:pPr>
            <w:r>
              <w:rPr>
                <w:b w:val="0"/>
                <w:sz w:val="18"/>
              </w:rPr>
              <w:t>7.41%</w:t>
            </w:r>
          </w:p>
        </w:tc>
        <w:tc>
          <w:tcPr>
            <w:tcW w:type="dxa" w:w="1247"/>
            <w:vAlign w:val="center"/>
          </w:tcPr>
          <w:p>
            <w:pPr>
              <w:keepNext/>
              <w:spacing w:line="276" w:lineRule="auto" w:after="0"/>
              <w:ind w:firstLine="0"/>
              <w:jc w:val="center"/>
            </w:pPr>
            <w:r>
              <w:rPr>
                <w:b w:val="0"/>
                <w:sz w:val="18"/>
              </w:rPr>
              <w:t>0.536</w:t>
            </w:r>
          </w:p>
        </w:tc>
        <w:tc>
          <w:tcPr>
            <w:tcW w:type="dxa" w:w="1587"/>
            <w:vAlign w:val="center"/>
          </w:tcPr>
          <w:p>
            <w:pPr>
              <w:keepNext/>
              <w:spacing w:line="276" w:lineRule="auto" w:after="0"/>
              <w:ind w:firstLine="0"/>
              <w:jc w:val="center"/>
            </w:pPr>
            <w:r>
              <w:rPr>
                <w:b w:val="0"/>
                <w:sz w:val="18"/>
              </w:rPr>
              <w:t>-18.56%</w:t>
            </w:r>
          </w:p>
        </w:tc>
        <w:tc>
          <w:tcPr>
            <w:tcW w:type="dxa" w:w="1247"/>
            <w:vAlign w:val="center"/>
          </w:tcPr>
          <w:p>
            <w:pPr>
              <w:keepNext/>
              <w:spacing w:line="276" w:lineRule="auto" w:after="0"/>
              <w:ind w:firstLine="0"/>
              <w:jc w:val="center"/>
            </w:pPr>
            <w:r>
              <w:rPr>
                <w:b w:val="0"/>
                <w:sz w:val="18"/>
              </w:rPr>
              <w:t>0.399</w:t>
            </w:r>
          </w:p>
        </w:tc>
      </w:tr>
      <w:tr>
        <w:trPr>
          <w:cantSplit/>
        </w:trPr>
        <w:tc>
          <w:tcPr>
            <w:tcW w:type="dxa" w:w="3572"/>
            <w:vAlign w:val="center"/>
          </w:tcPr>
          <w:p>
            <w:pPr>
              <w:keepNext/>
              <w:spacing w:line="276" w:lineRule="auto" w:after="0"/>
              <w:ind w:firstLine="0"/>
              <w:jc w:val="left"/>
            </w:pPr>
            <w:r>
              <w:rPr>
                <w:b w:val="0"/>
                <w:sz w:val="18"/>
              </w:rPr>
              <w:t>政策分数 Top500等权</w:t>
            </w:r>
          </w:p>
        </w:tc>
        <w:tc>
          <w:tcPr>
            <w:tcW w:type="dxa" w:w="1361"/>
            <w:vAlign w:val="center"/>
          </w:tcPr>
          <w:p>
            <w:pPr>
              <w:keepNext/>
              <w:spacing w:line="276" w:lineRule="auto" w:after="0"/>
              <w:ind w:firstLine="0"/>
              <w:jc w:val="center"/>
            </w:pPr>
            <w:r>
              <w:rPr>
                <w:b w:val="0"/>
                <w:sz w:val="18"/>
              </w:rPr>
              <w:t>2.08%</w:t>
            </w:r>
          </w:p>
        </w:tc>
        <w:tc>
          <w:tcPr>
            <w:tcW w:type="dxa" w:w="1247"/>
            <w:vAlign w:val="center"/>
          </w:tcPr>
          <w:p>
            <w:pPr>
              <w:keepNext/>
              <w:spacing w:line="276" w:lineRule="auto" w:after="0"/>
              <w:ind w:firstLine="0"/>
              <w:jc w:val="center"/>
            </w:pPr>
            <w:r>
              <w:rPr>
                <w:b w:val="0"/>
                <w:sz w:val="18"/>
              </w:rPr>
              <w:t>0.206</w:t>
            </w:r>
          </w:p>
        </w:tc>
        <w:tc>
          <w:tcPr>
            <w:tcW w:type="dxa" w:w="1587"/>
            <w:vAlign w:val="center"/>
          </w:tcPr>
          <w:p>
            <w:pPr>
              <w:keepNext/>
              <w:spacing w:line="276" w:lineRule="auto" w:after="0"/>
              <w:ind w:firstLine="0"/>
              <w:jc w:val="center"/>
            </w:pPr>
            <w:r>
              <w:rPr>
                <w:b w:val="0"/>
                <w:sz w:val="18"/>
              </w:rPr>
              <w:t>-35.65%</w:t>
            </w:r>
          </w:p>
        </w:tc>
        <w:tc>
          <w:tcPr>
            <w:tcW w:type="dxa" w:w="1247"/>
            <w:vAlign w:val="center"/>
          </w:tcPr>
          <w:p>
            <w:pPr>
              <w:keepNext/>
              <w:spacing w:line="276" w:lineRule="auto" w:after="0"/>
              <w:ind w:firstLine="0"/>
              <w:jc w:val="center"/>
            </w:pPr>
            <w:r>
              <w:rPr>
                <w:b w:val="0"/>
                <w:sz w:val="18"/>
              </w:rPr>
              <w:t>0.058</w:t>
            </w:r>
          </w:p>
        </w:tc>
      </w:tr>
      <w:tr>
        <w:trPr>
          <w:cantSplit/>
        </w:trPr>
        <w:tc>
          <w:tcPr>
            <w:tcW w:type="dxa" w:w="3572"/>
            <w:vAlign w:val="center"/>
          </w:tcPr>
          <w:p>
            <w:pPr>
              <w:keepNext/>
              <w:spacing w:line="276" w:lineRule="auto" w:after="0"/>
              <w:ind w:firstLine="0"/>
              <w:jc w:val="left"/>
            </w:pPr>
            <w:r>
              <w:rPr>
                <w:b w:val="0"/>
                <w:sz w:val="18"/>
              </w:rPr>
              <w:t>政策softmax</w:t>
            </w:r>
          </w:p>
        </w:tc>
        <w:tc>
          <w:tcPr>
            <w:tcW w:type="dxa" w:w="1361"/>
            <w:vAlign w:val="center"/>
          </w:tcPr>
          <w:p>
            <w:pPr>
              <w:keepNext/>
              <w:spacing w:line="276" w:lineRule="auto" w:after="0"/>
              <w:ind w:firstLine="0"/>
              <w:jc w:val="center"/>
            </w:pPr>
            <w:r>
              <w:rPr>
                <w:b w:val="0"/>
                <w:sz w:val="18"/>
              </w:rPr>
              <w:t>-0.12%</w:t>
            </w:r>
          </w:p>
        </w:tc>
        <w:tc>
          <w:tcPr>
            <w:tcW w:type="dxa" w:w="1247"/>
            <w:vAlign w:val="center"/>
          </w:tcPr>
          <w:p>
            <w:pPr>
              <w:keepNext/>
              <w:spacing w:line="276" w:lineRule="auto" w:after="0"/>
              <w:ind w:firstLine="0"/>
              <w:jc w:val="center"/>
            </w:pPr>
            <w:r>
              <w:rPr>
                <w:b w:val="0"/>
                <w:sz w:val="18"/>
              </w:rPr>
              <w:t>0.109</w:t>
            </w:r>
          </w:p>
        </w:tc>
        <w:tc>
          <w:tcPr>
            <w:tcW w:type="dxa" w:w="1587"/>
            <w:vAlign w:val="center"/>
          </w:tcPr>
          <w:p>
            <w:pPr>
              <w:keepNext/>
              <w:spacing w:line="276" w:lineRule="auto" w:after="0"/>
              <w:ind w:firstLine="0"/>
              <w:jc w:val="center"/>
            </w:pPr>
            <w:r>
              <w:rPr>
                <w:b w:val="0"/>
                <w:sz w:val="18"/>
              </w:rPr>
              <w:t>-32.87%</w:t>
            </w:r>
          </w:p>
        </w:tc>
        <w:tc>
          <w:tcPr>
            <w:tcW w:type="dxa" w:w="1247"/>
            <w:vAlign w:val="center"/>
          </w:tcPr>
          <w:p>
            <w:pPr>
              <w:keepNext/>
              <w:spacing w:line="276" w:lineRule="auto" w:after="0"/>
              <w:ind w:firstLine="0"/>
              <w:jc w:val="center"/>
            </w:pPr>
            <w:r>
              <w:rPr>
                <w:b w:val="0"/>
                <w:sz w:val="18"/>
              </w:rPr>
              <w:t>-0.004</w:t>
            </w:r>
          </w:p>
        </w:tc>
      </w:tr>
    </w:tbl>
    <w:p>
      <w:pPr>
        <w:pStyle w:val="Caption"/>
        <w:spacing w:before="80" w:after="180"/>
      </w:pPr>
      <w:r>
        <w:t>注：2023年1月3日至2026年9月28日，906日，rf=0，读出从现金初始化。该时期已反复使用；不可称为未触及的最终样本外。</w:t>
      </w:r>
    </w:p>
    <w:p>
      <w:pPr>
        <w:keepNext/>
        <w:ind w:firstLine="0"/>
        <w:jc w:val="center"/>
      </w:pPr>
      <w:r>
        <w:drawing>
          <wp:inline xmlns:a="http://schemas.openxmlformats.org/drawingml/2006/main" xmlns:pic="http://schemas.openxmlformats.org/drawingml/2006/picture">
            <wp:extent cx="5832000" cy="3181680"/>
            <wp:docPr id="2" name="Picture 2"/>
            <wp:cNvGraphicFramePr>
              <a:graphicFrameLocks noChangeAspect="1"/>
            </wp:cNvGraphicFramePr>
            <a:graphic>
              <a:graphicData uri="http://schemas.openxmlformats.org/drawingml/2006/picture">
                <pic:pic>
                  <pic:nvPicPr>
                    <pic:cNvPr id="0" name="holdout.png"/>
                    <pic:cNvPicPr/>
                  </pic:nvPicPr>
                  <pic:blipFill>
                    <a:blip r:embed="rId11"/>
                    <a:stretch>
                      <a:fillRect/>
                    </a:stretch>
                  </pic:blipFill>
                  <pic:spPr>
                    <a:xfrm>
                      <a:off x="0" y="0"/>
                      <a:ext cx="5832000" cy="3181680"/>
                    </a:xfrm>
                    <a:prstGeom prst="rect"/>
                  </pic:spPr>
                </pic:pic>
              </a:graphicData>
            </a:graphic>
          </wp:inline>
        </w:drawing>
      </w:r>
    </w:p>
    <w:p>
      <w:pPr>
        <w:pStyle w:val="Caption"/>
      </w:pPr>
      <w:r>
        <w:t>图2 政策路线探索性保留期的净值与回撤。三条曲线同池、同日期，但组合映射不同；不构成未触及的最终样本外。来源：保存日收益，本文绘制。</w:t>
      </w:r>
    </w:p>
    <w:p>
      <w:pPr>
        <w:jc w:val="both"/>
      </w:pPr>
      <w:r>
        <w:t>政策多头与现金结构在下跌市场面临市场暴露，且训练成本代理、实际持仓延续与执行上限并不完全一致。这些均是可能解释，尚不足以证明损失由某个单一机制导致。尤其不能仅从日志中的性能变化推出“排序梯度必然冲突”或“再平衡溢价解释全部收益”。需要在冻结其他设置的消融实验中进一步区分。</w:t>
      </w:r>
    </w:p>
    <w:p>
      <w:pPr>
        <w:pStyle w:val="Heading2"/>
      </w:pPr>
      <w:r>
        <w:t>5.5 F17收益预测网络的日频结果</w:t>
      </w:r>
    </w:p>
    <w:p>
      <w:pPr>
        <w:jc w:val="both"/>
      </w:pPr>
      <w:r>
        <w:t>独立预测分支的v1保存了2021年1月4日至2026年9月28日共1,391个交易日的毛收益账本，按当时分数选股，不先按未来标签可得性筛股票。其组合采用Top50及80名缓冲；F17等权，NN另有softmax与等权两种读出。表8使用同一时间段，并将两种NN映射同时呈现，以避免把组合层选择混同于纯预测效果。</w:t>
      </w:r>
    </w:p>
    <w:p>
      <w:pPr>
        <w:pStyle w:val="Caption"/>
        <w:keepNext/>
      </w:pPr>
      <w:r>
        <w:rPr>
          <w:b/>
        </w:rPr>
        <w:t>表8 F17收益预测分支v1的日频毛收益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3572"/>
        <w:gridCol w:w="1361"/>
        <w:gridCol w:w="1247"/>
        <w:gridCol w:w="1587"/>
        <w:gridCol w:w="1247"/>
      </w:tblGrid>
      <w:tr>
        <w:trPr>
          <w:cantSplit/>
          <w:tblHeader/>
        </w:trPr>
        <w:tc>
          <w:tcPr>
            <w:tcW w:type="dxa" w:w="3572"/>
            <w:vAlign w:val="center"/>
            <w:shd w:fill="E7EDF2"/>
          </w:tcPr>
          <w:p>
            <w:pPr>
              <w:keepNext/>
              <w:spacing w:line="276" w:lineRule="auto" w:after="0"/>
              <w:ind w:firstLine="0"/>
              <w:jc w:val="center"/>
            </w:pPr>
            <w:r>
              <w:rPr>
                <w:b/>
                <w:sz w:val="18"/>
              </w:rPr>
              <w:t>评分与映射</w:t>
            </w:r>
          </w:p>
        </w:tc>
        <w:tc>
          <w:tcPr>
            <w:tcW w:type="dxa" w:w="1361"/>
            <w:vAlign w:val="center"/>
            <w:shd w:fill="E7EDF2"/>
          </w:tcPr>
          <w:p>
            <w:pPr>
              <w:keepNext/>
              <w:spacing w:line="276" w:lineRule="auto" w:after="0"/>
              <w:ind w:firstLine="0"/>
              <w:jc w:val="center"/>
            </w:pPr>
            <w:r>
              <w:rPr>
                <w:b/>
                <w:sz w:val="18"/>
              </w:rPr>
              <w:t>CAGR</w:t>
            </w:r>
          </w:p>
        </w:tc>
        <w:tc>
          <w:tcPr>
            <w:tcW w:type="dxa" w:w="1247"/>
            <w:vAlign w:val="center"/>
            <w:shd w:fill="E7EDF2"/>
          </w:tcPr>
          <w:p>
            <w:pPr>
              <w:keepNext/>
              <w:spacing w:line="276" w:lineRule="auto" w:after="0"/>
              <w:ind w:firstLine="0"/>
              <w:jc w:val="center"/>
            </w:pPr>
            <w:r>
              <w:rPr>
                <w:b/>
                <w:sz w:val="18"/>
              </w:rPr>
              <w:t>标准夏普</w:t>
            </w:r>
          </w:p>
        </w:tc>
        <w:tc>
          <w:tcPr>
            <w:tcW w:type="dxa" w:w="1587"/>
            <w:vAlign w:val="center"/>
            <w:shd w:fill="E7EDF2"/>
          </w:tcPr>
          <w:p>
            <w:pPr>
              <w:keepNext/>
              <w:spacing w:line="276" w:lineRule="auto" w:after="0"/>
              <w:ind w:firstLine="0"/>
              <w:jc w:val="center"/>
            </w:pPr>
            <w:r>
              <w:rPr>
                <w:b/>
                <w:sz w:val="18"/>
              </w:rPr>
              <w:t>最大回撤</w:t>
            </w:r>
          </w:p>
        </w:tc>
        <w:tc>
          <w:tcPr>
            <w:tcW w:type="dxa" w:w="1247"/>
            <w:vAlign w:val="center"/>
            <w:shd w:fill="E7EDF2"/>
          </w:tcPr>
          <w:p>
            <w:pPr>
              <w:keepNext/>
              <w:spacing w:line="276" w:lineRule="auto" w:after="0"/>
              <w:ind w:firstLine="0"/>
              <w:jc w:val="center"/>
            </w:pPr>
            <w:r>
              <w:rPr>
                <w:b/>
                <w:sz w:val="18"/>
              </w:rPr>
              <w:t>Calmar</w:t>
            </w:r>
          </w:p>
        </w:tc>
      </w:tr>
      <w:tr>
        <w:trPr>
          <w:cantSplit/>
        </w:trPr>
        <w:tc>
          <w:tcPr>
            <w:tcW w:type="dxa" w:w="3572"/>
            <w:vAlign w:val="center"/>
          </w:tcPr>
          <w:p>
            <w:pPr>
              <w:keepNext/>
              <w:spacing w:line="276" w:lineRule="auto" w:after="0"/>
              <w:ind w:firstLine="0"/>
              <w:jc w:val="left"/>
            </w:pPr>
            <w:r>
              <w:rPr>
                <w:b w:val="0"/>
                <w:sz w:val="18"/>
              </w:rPr>
              <w:t>F17 等权</w:t>
            </w:r>
          </w:p>
        </w:tc>
        <w:tc>
          <w:tcPr>
            <w:tcW w:type="dxa" w:w="1361"/>
            <w:vAlign w:val="center"/>
          </w:tcPr>
          <w:p>
            <w:pPr>
              <w:keepNext/>
              <w:spacing w:line="276" w:lineRule="auto" w:after="0"/>
              <w:ind w:firstLine="0"/>
              <w:jc w:val="center"/>
            </w:pPr>
            <w:r>
              <w:rPr>
                <w:b w:val="0"/>
                <w:sz w:val="18"/>
              </w:rPr>
              <w:t>20.49%</w:t>
            </w:r>
          </w:p>
        </w:tc>
        <w:tc>
          <w:tcPr>
            <w:tcW w:type="dxa" w:w="1247"/>
            <w:vAlign w:val="center"/>
          </w:tcPr>
          <w:p>
            <w:pPr>
              <w:keepNext/>
              <w:spacing w:line="276" w:lineRule="auto" w:after="0"/>
              <w:ind w:firstLine="0"/>
              <w:jc w:val="center"/>
            </w:pPr>
            <w:r>
              <w:rPr>
                <w:b w:val="0"/>
                <w:sz w:val="18"/>
              </w:rPr>
              <w:t>1.143</w:t>
            </w:r>
          </w:p>
        </w:tc>
        <w:tc>
          <w:tcPr>
            <w:tcW w:type="dxa" w:w="1587"/>
            <w:vAlign w:val="center"/>
          </w:tcPr>
          <w:p>
            <w:pPr>
              <w:keepNext/>
              <w:spacing w:line="276" w:lineRule="auto" w:after="0"/>
              <w:ind w:firstLine="0"/>
              <w:jc w:val="center"/>
            </w:pPr>
            <w:r>
              <w:rPr>
                <w:b w:val="0"/>
                <w:sz w:val="18"/>
              </w:rPr>
              <w:t>-24.63%</w:t>
            </w:r>
          </w:p>
        </w:tc>
        <w:tc>
          <w:tcPr>
            <w:tcW w:type="dxa" w:w="1247"/>
            <w:vAlign w:val="center"/>
          </w:tcPr>
          <w:p>
            <w:pPr>
              <w:keepNext/>
              <w:spacing w:line="276" w:lineRule="auto" w:after="0"/>
              <w:ind w:firstLine="0"/>
              <w:jc w:val="center"/>
            </w:pPr>
            <w:r>
              <w:rPr>
                <w:b w:val="0"/>
                <w:sz w:val="18"/>
              </w:rPr>
              <w:t>0.832</w:t>
            </w:r>
          </w:p>
        </w:tc>
      </w:tr>
      <w:tr>
        <w:trPr>
          <w:cantSplit/>
        </w:trPr>
        <w:tc>
          <w:tcPr>
            <w:tcW w:type="dxa" w:w="3572"/>
            <w:vAlign w:val="center"/>
          </w:tcPr>
          <w:p>
            <w:pPr>
              <w:keepNext/>
              <w:spacing w:line="276" w:lineRule="auto" w:after="0"/>
              <w:ind w:firstLine="0"/>
              <w:jc w:val="left"/>
            </w:pPr>
            <w:r>
              <w:rPr>
                <w:b w:val="0"/>
                <w:sz w:val="18"/>
              </w:rPr>
              <w:t>NN 等权</w:t>
            </w:r>
          </w:p>
        </w:tc>
        <w:tc>
          <w:tcPr>
            <w:tcW w:type="dxa" w:w="1361"/>
            <w:vAlign w:val="center"/>
          </w:tcPr>
          <w:p>
            <w:pPr>
              <w:keepNext/>
              <w:spacing w:line="276" w:lineRule="auto" w:after="0"/>
              <w:ind w:firstLine="0"/>
              <w:jc w:val="center"/>
            </w:pPr>
            <w:r>
              <w:rPr>
                <w:b w:val="0"/>
                <w:sz w:val="18"/>
              </w:rPr>
              <w:t>18.37%</w:t>
            </w:r>
          </w:p>
        </w:tc>
        <w:tc>
          <w:tcPr>
            <w:tcW w:type="dxa" w:w="1247"/>
            <w:vAlign w:val="center"/>
          </w:tcPr>
          <w:p>
            <w:pPr>
              <w:keepNext/>
              <w:spacing w:line="276" w:lineRule="auto" w:after="0"/>
              <w:ind w:firstLine="0"/>
              <w:jc w:val="center"/>
            </w:pPr>
            <w:r>
              <w:rPr>
                <w:b w:val="0"/>
                <w:sz w:val="18"/>
              </w:rPr>
              <w:t>0.852</w:t>
            </w:r>
          </w:p>
        </w:tc>
        <w:tc>
          <w:tcPr>
            <w:tcW w:type="dxa" w:w="1587"/>
            <w:vAlign w:val="center"/>
          </w:tcPr>
          <w:p>
            <w:pPr>
              <w:keepNext/>
              <w:spacing w:line="276" w:lineRule="auto" w:after="0"/>
              <w:ind w:firstLine="0"/>
              <w:jc w:val="center"/>
            </w:pPr>
            <w:r>
              <w:rPr>
                <w:b w:val="0"/>
                <w:sz w:val="18"/>
              </w:rPr>
              <w:t>-33.45%</w:t>
            </w:r>
          </w:p>
        </w:tc>
        <w:tc>
          <w:tcPr>
            <w:tcW w:type="dxa" w:w="1247"/>
            <w:vAlign w:val="center"/>
          </w:tcPr>
          <w:p>
            <w:pPr>
              <w:keepNext/>
              <w:spacing w:line="276" w:lineRule="auto" w:after="0"/>
              <w:ind w:firstLine="0"/>
              <w:jc w:val="center"/>
            </w:pPr>
            <w:r>
              <w:rPr>
                <w:b w:val="0"/>
                <w:sz w:val="18"/>
              </w:rPr>
              <w:t>0.549</w:t>
            </w:r>
          </w:p>
        </w:tc>
      </w:tr>
      <w:tr>
        <w:trPr>
          <w:cantSplit/>
        </w:trPr>
        <w:tc>
          <w:tcPr>
            <w:tcW w:type="dxa" w:w="3572"/>
            <w:vAlign w:val="center"/>
          </w:tcPr>
          <w:p>
            <w:pPr>
              <w:keepNext/>
              <w:spacing w:line="276" w:lineRule="auto" w:after="0"/>
              <w:ind w:firstLine="0"/>
              <w:jc w:val="left"/>
            </w:pPr>
            <w:r>
              <w:rPr>
                <w:b w:val="0"/>
                <w:sz w:val="18"/>
              </w:rPr>
              <w:t>NN softmax</w:t>
            </w:r>
          </w:p>
        </w:tc>
        <w:tc>
          <w:tcPr>
            <w:tcW w:type="dxa" w:w="1361"/>
            <w:vAlign w:val="center"/>
          </w:tcPr>
          <w:p>
            <w:pPr>
              <w:keepNext/>
              <w:spacing w:line="276" w:lineRule="auto" w:after="0"/>
              <w:ind w:firstLine="0"/>
              <w:jc w:val="center"/>
            </w:pPr>
            <w:r>
              <w:rPr>
                <w:b w:val="0"/>
                <w:sz w:val="18"/>
              </w:rPr>
              <w:t>18.27%</w:t>
            </w:r>
          </w:p>
        </w:tc>
        <w:tc>
          <w:tcPr>
            <w:tcW w:type="dxa" w:w="1247"/>
            <w:vAlign w:val="center"/>
          </w:tcPr>
          <w:p>
            <w:pPr>
              <w:keepNext/>
              <w:spacing w:line="276" w:lineRule="auto" w:after="0"/>
              <w:ind w:firstLine="0"/>
              <w:jc w:val="center"/>
            </w:pPr>
            <w:r>
              <w:rPr>
                <w:b w:val="0"/>
                <w:sz w:val="18"/>
              </w:rPr>
              <w:t>0.841</w:t>
            </w:r>
          </w:p>
        </w:tc>
        <w:tc>
          <w:tcPr>
            <w:tcW w:type="dxa" w:w="1587"/>
            <w:vAlign w:val="center"/>
          </w:tcPr>
          <w:p>
            <w:pPr>
              <w:keepNext/>
              <w:spacing w:line="276" w:lineRule="auto" w:after="0"/>
              <w:ind w:firstLine="0"/>
              <w:jc w:val="center"/>
            </w:pPr>
            <w:r>
              <w:rPr>
                <w:b w:val="0"/>
                <w:sz w:val="18"/>
              </w:rPr>
              <w:t>-33.53%</w:t>
            </w:r>
          </w:p>
        </w:tc>
        <w:tc>
          <w:tcPr>
            <w:tcW w:type="dxa" w:w="1247"/>
            <w:vAlign w:val="center"/>
          </w:tcPr>
          <w:p>
            <w:pPr>
              <w:keepNext/>
              <w:spacing w:line="276" w:lineRule="auto" w:after="0"/>
              <w:ind w:firstLine="0"/>
              <w:jc w:val="center"/>
            </w:pPr>
            <w:r>
              <w:rPr>
                <w:b w:val="0"/>
                <w:sz w:val="18"/>
              </w:rPr>
              <w:t>0.545</w:t>
            </w:r>
          </w:p>
        </w:tc>
      </w:tr>
      <w:tr>
        <w:trPr>
          <w:cantSplit/>
        </w:trPr>
        <w:tc>
          <w:tcPr>
            <w:tcW w:type="dxa" w:w="3572"/>
            <w:vAlign w:val="center"/>
          </w:tcPr>
          <w:p>
            <w:pPr>
              <w:keepNext/>
              <w:spacing w:line="276" w:lineRule="auto" w:after="0"/>
              <w:ind w:firstLine="0"/>
              <w:jc w:val="left"/>
            </w:pPr>
            <w:r>
              <w:rPr>
                <w:b w:val="0"/>
                <w:sz w:val="18"/>
              </w:rPr>
              <w:t>Ridge</w:t>
            </w:r>
          </w:p>
        </w:tc>
        <w:tc>
          <w:tcPr>
            <w:tcW w:type="dxa" w:w="1361"/>
            <w:vAlign w:val="center"/>
          </w:tcPr>
          <w:p>
            <w:pPr>
              <w:keepNext/>
              <w:spacing w:line="276" w:lineRule="auto" w:after="0"/>
              <w:ind w:firstLine="0"/>
              <w:jc w:val="center"/>
            </w:pPr>
            <w:r>
              <w:rPr>
                <w:b w:val="0"/>
                <w:sz w:val="18"/>
              </w:rPr>
              <w:t>18.04%</w:t>
            </w:r>
          </w:p>
        </w:tc>
        <w:tc>
          <w:tcPr>
            <w:tcW w:type="dxa" w:w="1247"/>
            <w:vAlign w:val="center"/>
          </w:tcPr>
          <w:p>
            <w:pPr>
              <w:keepNext/>
              <w:spacing w:line="276" w:lineRule="auto" w:after="0"/>
              <w:ind w:firstLine="0"/>
              <w:jc w:val="center"/>
            </w:pPr>
            <w:r>
              <w:rPr>
                <w:b w:val="0"/>
                <w:sz w:val="18"/>
              </w:rPr>
              <w:t>0.817</w:t>
            </w:r>
          </w:p>
        </w:tc>
        <w:tc>
          <w:tcPr>
            <w:tcW w:type="dxa" w:w="1587"/>
            <w:vAlign w:val="center"/>
          </w:tcPr>
          <w:p>
            <w:pPr>
              <w:keepNext/>
              <w:spacing w:line="276" w:lineRule="auto" w:after="0"/>
              <w:ind w:firstLine="0"/>
              <w:jc w:val="center"/>
            </w:pPr>
            <w:r>
              <w:rPr>
                <w:b w:val="0"/>
                <w:sz w:val="18"/>
              </w:rPr>
              <w:t>-35.12%</w:t>
            </w:r>
          </w:p>
        </w:tc>
        <w:tc>
          <w:tcPr>
            <w:tcW w:type="dxa" w:w="1247"/>
            <w:vAlign w:val="center"/>
          </w:tcPr>
          <w:p>
            <w:pPr>
              <w:keepNext/>
              <w:spacing w:line="276" w:lineRule="auto" w:after="0"/>
              <w:ind w:firstLine="0"/>
              <w:jc w:val="center"/>
            </w:pPr>
            <w:r>
              <w:rPr>
                <w:b w:val="0"/>
                <w:sz w:val="18"/>
              </w:rPr>
              <w:t>0.514</w:t>
            </w:r>
          </w:p>
        </w:tc>
      </w:tr>
    </w:tbl>
    <w:p>
      <w:pPr>
        <w:pStyle w:val="Caption"/>
        <w:spacing w:before="80" w:after="180"/>
      </w:pPr>
      <w:r>
        <w:t>注：2021年1月4日至2026年9月28日，1,391日，rf=0，未扣费用。Top50及80名缓冲，按当时分数选股；仍是代理估值和执行条件下的研究账本。</w:t>
      </w:r>
    </w:p>
    <w:p>
      <w:pPr>
        <w:jc w:val="both"/>
      </w:pPr>
      <w:r>
        <w:t>F17的夏普1.143及Calmar 0.832均高于NN softmax的0.841和0.545；NN等权读出也未超过F17。这说明该样本中，网络获得的预测信息并未充分转化为更好的日频风险收益。然而该表不计交易费用，且仍受估值、证券覆盖及代理执行限制，不能据此断言F17在真实交易中已获得相同优势。</w:t>
      </w:r>
    </w:p>
    <w:p>
      <w:pPr>
        <w:keepNext/>
        <w:ind w:firstLine="0"/>
        <w:jc w:val="center"/>
      </w:pPr>
      <w:r>
        <w:drawing>
          <wp:inline xmlns:a="http://schemas.openxmlformats.org/drawingml/2006/main" xmlns:pic="http://schemas.openxmlformats.org/drawingml/2006/picture">
            <wp:extent cx="5832000" cy="3181680"/>
            <wp:docPr id="3" name="Picture 3"/>
            <wp:cNvGraphicFramePr>
              <a:graphicFrameLocks noChangeAspect="1"/>
            </wp:cNvGraphicFramePr>
            <a:graphic>
              <a:graphicData uri="http://schemas.openxmlformats.org/drawingml/2006/picture">
                <pic:pic>
                  <pic:nvPicPr>
                    <pic:cNvPr id="0" name="nn_daily.png"/>
                    <pic:cNvPicPr/>
                  </pic:nvPicPr>
                  <pic:blipFill>
                    <a:blip r:embed="rId12"/>
                    <a:stretch>
                      <a:fillRect/>
                    </a:stretch>
                  </pic:blipFill>
                  <pic:spPr>
                    <a:xfrm>
                      <a:off x="0" y="0"/>
                      <a:ext cx="5832000" cy="3181680"/>
                    </a:xfrm>
                    <a:prstGeom prst="rect"/>
                  </pic:spPr>
                </pic:pic>
              </a:graphicData>
            </a:graphic>
          </wp:inline>
        </w:drawing>
      </w:r>
    </w:p>
    <w:p>
      <w:pPr>
        <w:pStyle w:val="Caption"/>
      </w:pPr>
      <w:r>
        <w:t>图3 F17收益预测分支v1的日频毛净值与回撤。图中没有扣除费用；不与最新v4/v5周期读数拼接。来源：保存日收益，本文绘制。</w:t>
      </w:r>
    </w:p>
    <w:p>
      <w:pPr>
        <w:pStyle w:val="Heading2"/>
      </w:pPr>
      <w:r>
        <w:t>5.6 最新v4与估值扩展的条件性收益诊断</w:t>
      </w:r>
    </w:p>
    <w:p>
      <w:pPr>
        <w:jc w:val="both"/>
      </w:pPr>
      <w:r>
        <w:t>v4/v5的最新读出是另一个实验对象：58个形成日上，先剔除未来收益标签缺失记录，再选择分数最高的50只等权，用周期标签形成净值。表9保留原252/22年化口径，其回撤仅在周期端点观察。v4 NN的平均RankIC为0.1167，高于F17对照的0.1112，但差值普通配对t约0.93；其CAGR为23.07%，高于F17的20.17%，同时夏普更低、回撤更深。因此，“平均预测排序更高”“绝对收益更高”和“风险调整表现更好”在此并不一致。</w:t>
      </w:r>
    </w:p>
    <w:p>
      <w:pPr>
        <w:pStyle w:val="Caption"/>
        <w:keepNext/>
      </w:pPr>
      <w:r>
        <w:rPr>
          <w:b/>
        </w:rPr>
        <w:t>表9 最新NN的条件性周期收益诊断</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2494"/>
        <w:gridCol w:w="1134"/>
        <w:gridCol w:w="1361"/>
        <w:gridCol w:w="1134"/>
        <w:gridCol w:w="1531"/>
        <w:gridCol w:w="1361"/>
      </w:tblGrid>
      <w:tr>
        <w:trPr>
          <w:cantSplit/>
          <w:tblHeader/>
        </w:trPr>
        <w:tc>
          <w:tcPr>
            <w:tcW w:type="dxa" w:w="2494"/>
            <w:vAlign w:val="center"/>
            <w:shd w:fill="E7EDF2"/>
          </w:tcPr>
          <w:p>
            <w:pPr>
              <w:keepNext/>
              <w:spacing w:line="276" w:lineRule="auto" w:after="0"/>
              <w:ind w:firstLine="0"/>
              <w:jc w:val="center"/>
            </w:pPr>
            <w:r>
              <w:rPr>
                <w:b/>
                <w:sz w:val="18"/>
              </w:rPr>
              <w:t>模型</w:t>
            </w:r>
          </w:p>
        </w:tc>
        <w:tc>
          <w:tcPr>
            <w:tcW w:type="dxa" w:w="1134"/>
            <w:vAlign w:val="center"/>
            <w:shd w:fill="E7EDF2"/>
          </w:tcPr>
          <w:p>
            <w:pPr>
              <w:keepNext/>
              <w:spacing w:line="276" w:lineRule="auto" w:after="0"/>
              <w:ind w:firstLine="0"/>
              <w:jc w:val="center"/>
            </w:pPr>
            <w:r>
              <w:rPr>
                <w:b/>
                <w:sz w:val="18"/>
              </w:rPr>
              <w:t>RankIC</w:t>
            </w:r>
          </w:p>
        </w:tc>
        <w:tc>
          <w:tcPr>
            <w:tcW w:type="dxa" w:w="1361"/>
            <w:vAlign w:val="center"/>
            <w:shd w:fill="E7EDF2"/>
          </w:tcPr>
          <w:p>
            <w:pPr>
              <w:keepNext/>
              <w:spacing w:line="276" w:lineRule="auto" w:after="0"/>
              <w:ind w:firstLine="0"/>
              <w:jc w:val="center"/>
            </w:pPr>
            <w:r>
              <w:rPr>
                <w:b/>
                <w:sz w:val="18"/>
              </w:rPr>
              <w:t>CAGR</w:t>
            </w:r>
          </w:p>
        </w:tc>
        <w:tc>
          <w:tcPr>
            <w:tcW w:type="dxa" w:w="1134"/>
            <w:vAlign w:val="center"/>
            <w:shd w:fill="E7EDF2"/>
          </w:tcPr>
          <w:p>
            <w:pPr>
              <w:keepNext/>
              <w:spacing w:line="276" w:lineRule="auto" w:after="0"/>
              <w:ind w:firstLine="0"/>
              <w:jc w:val="center"/>
            </w:pPr>
            <w:r>
              <w:rPr>
                <w:b/>
                <w:sz w:val="18"/>
              </w:rPr>
              <w:t>夏普</w:t>
            </w:r>
          </w:p>
        </w:tc>
        <w:tc>
          <w:tcPr>
            <w:tcW w:type="dxa" w:w="1531"/>
            <w:vAlign w:val="center"/>
            <w:shd w:fill="E7EDF2"/>
          </w:tcPr>
          <w:p>
            <w:pPr>
              <w:keepNext/>
              <w:spacing w:line="276" w:lineRule="auto" w:after="0"/>
              <w:ind w:firstLine="0"/>
              <w:jc w:val="center"/>
            </w:pPr>
            <w:r>
              <w:rPr>
                <w:b/>
                <w:sz w:val="18"/>
              </w:rPr>
              <w:t>端点回撤</w:t>
            </w:r>
          </w:p>
        </w:tc>
        <w:tc>
          <w:tcPr>
            <w:tcW w:type="dxa" w:w="1361"/>
            <w:vAlign w:val="center"/>
            <w:shd w:fill="E7EDF2"/>
          </w:tcPr>
          <w:p>
            <w:pPr>
              <w:keepNext/>
              <w:spacing w:line="276" w:lineRule="auto" w:after="0"/>
              <w:ind w:firstLine="0"/>
              <w:jc w:val="center"/>
            </w:pPr>
            <w:r>
              <w:rPr>
                <w:b/>
                <w:sz w:val="18"/>
              </w:rPr>
              <w:t>端点Calmar</w:t>
            </w:r>
          </w:p>
        </w:tc>
      </w:tr>
      <w:tr>
        <w:trPr>
          <w:cantSplit/>
        </w:trPr>
        <w:tc>
          <w:tcPr>
            <w:tcW w:type="dxa" w:w="2494"/>
            <w:vAlign w:val="center"/>
          </w:tcPr>
          <w:p>
            <w:pPr>
              <w:keepNext/>
              <w:spacing w:line="276" w:lineRule="auto" w:after="0"/>
              <w:ind w:firstLine="0"/>
              <w:jc w:val="left"/>
            </w:pPr>
            <w:r>
              <w:rPr>
                <w:b w:val="0"/>
                <w:sz w:val="18"/>
              </w:rPr>
              <w:t>F17对照</w:t>
            </w:r>
          </w:p>
        </w:tc>
        <w:tc>
          <w:tcPr>
            <w:tcW w:type="dxa" w:w="1134"/>
            <w:vAlign w:val="center"/>
          </w:tcPr>
          <w:p>
            <w:pPr>
              <w:keepNext/>
              <w:spacing w:line="276" w:lineRule="auto" w:after="0"/>
              <w:ind w:firstLine="0"/>
              <w:jc w:val="center"/>
            </w:pPr>
            <w:r>
              <w:rPr>
                <w:b w:val="0"/>
                <w:sz w:val="18"/>
              </w:rPr>
              <w:t>0.1112</w:t>
            </w:r>
          </w:p>
        </w:tc>
        <w:tc>
          <w:tcPr>
            <w:tcW w:type="dxa" w:w="1361"/>
            <w:vAlign w:val="center"/>
          </w:tcPr>
          <w:p>
            <w:pPr>
              <w:keepNext/>
              <w:spacing w:line="276" w:lineRule="auto" w:after="0"/>
              <w:ind w:firstLine="0"/>
              <w:jc w:val="center"/>
            </w:pPr>
            <w:r>
              <w:rPr>
                <w:b w:val="0"/>
                <w:sz w:val="18"/>
              </w:rPr>
              <w:t>20.17%</w:t>
            </w:r>
          </w:p>
        </w:tc>
        <w:tc>
          <w:tcPr>
            <w:tcW w:type="dxa" w:w="1134"/>
            <w:vAlign w:val="center"/>
          </w:tcPr>
          <w:p>
            <w:pPr>
              <w:keepNext/>
              <w:spacing w:line="276" w:lineRule="auto" w:after="0"/>
              <w:ind w:firstLine="0"/>
              <w:jc w:val="center"/>
            </w:pPr>
            <w:r>
              <w:rPr>
                <w:b w:val="0"/>
                <w:sz w:val="18"/>
              </w:rPr>
              <w:t>1.084</w:t>
            </w:r>
          </w:p>
        </w:tc>
        <w:tc>
          <w:tcPr>
            <w:tcW w:type="dxa" w:w="1531"/>
            <w:vAlign w:val="center"/>
          </w:tcPr>
          <w:p>
            <w:pPr>
              <w:keepNext/>
              <w:spacing w:line="276" w:lineRule="auto" w:after="0"/>
              <w:ind w:firstLine="0"/>
              <w:jc w:val="center"/>
            </w:pPr>
            <w:r>
              <w:rPr>
                <w:b w:val="0"/>
                <w:sz w:val="18"/>
              </w:rPr>
              <w:t>-19.35%</w:t>
            </w:r>
          </w:p>
        </w:tc>
        <w:tc>
          <w:tcPr>
            <w:tcW w:type="dxa" w:w="1361"/>
            <w:vAlign w:val="center"/>
          </w:tcPr>
          <w:p>
            <w:pPr>
              <w:keepNext/>
              <w:spacing w:line="276" w:lineRule="auto" w:after="0"/>
              <w:ind w:firstLine="0"/>
              <w:jc w:val="center"/>
            </w:pPr>
            <w:r>
              <w:rPr>
                <w:b w:val="0"/>
                <w:sz w:val="18"/>
              </w:rPr>
              <w:t>1.042</w:t>
            </w:r>
          </w:p>
        </w:tc>
      </w:tr>
      <w:tr>
        <w:trPr>
          <w:cantSplit/>
        </w:trPr>
        <w:tc>
          <w:tcPr>
            <w:tcW w:type="dxa" w:w="2494"/>
            <w:vAlign w:val="center"/>
          </w:tcPr>
          <w:p>
            <w:pPr>
              <w:keepNext/>
              <w:spacing w:line="276" w:lineRule="auto" w:after="0"/>
              <w:ind w:firstLine="0"/>
              <w:jc w:val="left"/>
            </w:pPr>
            <w:r>
              <w:rPr>
                <w:b w:val="0"/>
                <w:sz w:val="18"/>
              </w:rPr>
              <w:t>v4 Ridge</w:t>
            </w:r>
          </w:p>
        </w:tc>
        <w:tc>
          <w:tcPr>
            <w:tcW w:type="dxa" w:w="1134"/>
            <w:vAlign w:val="center"/>
          </w:tcPr>
          <w:p>
            <w:pPr>
              <w:keepNext/>
              <w:spacing w:line="276" w:lineRule="auto" w:after="0"/>
              <w:ind w:firstLine="0"/>
              <w:jc w:val="center"/>
            </w:pPr>
            <w:r>
              <w:rPr>
                <w:b w:val="0"/>
                <w:sz w:val="18"/>
              </w:rPr>
              <w:t>0.1137</w:t>
            </w:r>
          </w:p>
        </w:tc>
        <w:tc>
          <w:tcPr>
            <w:tcW w:type="dxa" w:w="1361"/>
            <w:vAlign w:val="center"/>
          </w:tcPr>
          <w:p>
            <w:pPr>
              <w:keepNext/>
              <w:spacing w:line="276" w:lineRule="auto" w:after="0"/>
              <w:ind w:firstLine="0"/>
              <w:jc w:val="center"/>
            </w:pPr>
            <w:r>
              <w:rPr>
                <w:b w:val="0"/>
                <w:sz w:val="18"/>
              </w:rPr>
              <w:t>17.86%</w:t>
            </w:r>
          </w:p>
        </w:tc>
        <w:tc>
          <w:tcPr>
            <w:tcW w:type="dxa" w:w="1134"/>
            <w:vAlign w:val="center"/>
          </w:tcPr>
          <w:p>
            <w:pPr>
              <w:keepNext/>
              <w:spacing w:line="276" w:lineRule="auto" w:after="0"/>
              <w:ind w:firstLine="0"/>
              <w:jc w:val="center"/>
            </w:pPr>
            <w:r>
              <w:rPr>
                <w:b w:val="0"/>
                <w:sz w:val="18"/>
              </w:rPr>
              <w:t>0.814</w:t>
            </w:r>
          </w:p>
        </w:tc>
        <w:tc>
          <w:tcPr>
            <w:tcW w:type="dxa" w:w="1531"/>
            <w:vAlign w:val="center"/>
          </w:tcPr>
          <w:p>
            <w:pPr>
              <w:keepNext/>
              <w:spacing w:line="276" w:lineRule="auto" w:after="0"/>
              <w:ind w:firstLine="0"/>
              <w:jc w:val="center"/>
            </w:pPr>
            <w:r>
              <w:rPr>
                <w:b w:val="0"/>
                <w:sz w:val="18"/>
              </w:rPr>
              <w:t>-29.67%</w:t>
            </w:r>
          </w:p>
        </w:tc>
        <w:tc>
          <w:tcPr>
            <w:tcW w:type="dxa" w:w="1361"/>
            <w:vAlign w:val="center"/>
          </w:tcPr>
          <w:p>
            <w:pPr>
              <w:keepNext/>
              <w:spacing w:line="276" w:lineRule="auto" w:after="0"/>
              <w:ind w:firstLine="0"/>
              <w:jc w:val="center"/>
            </w:pPr>
            <w:r>
              <w:rPr>
                <w:b w:val="0"/>
                <w:sz w:val="18"/>
              </w:rPr>
              <w:t>0.602</w:t>
            </w:r>
          </w:p>
        </w:tc>
      </w:tr>
      <w:tr>
        <w:trPr>
          <w:cantSplit/>
        </w:trPr>
        <w:tc>
          <w:tcPr>
            <w:tcW w:type="dxa" w:w="2494"/>
            <w:vAlign w:val="center"/>
          </w:tcPr>
          <w:p>
            <w:pPr>
              <w:keepNext/>
              <w:spacing w:line="276" w:lineRule="auto" w:after="0"/>
              <w:ind w:firstLine="0"/>
              <w:jc w:val="left"/>
            </w:pPr>
            <w:r>
              <w:rPr>
                <w:b w:val="0"/>
                <w:sz w:val="18"/>
              </w:rPr>
              <w:t>v4 NN</w:t>
            </w:r>
          </w:p>
        </w:tc>
        <w:tc>
          <w:tcPr>
            <w:tcW w:type="dxa" w:w="1134"/>
            <w:vAlign w:val="center"/>
          </w:tcPr>
          <w:p>
            <w:pPr>
              <w:keepNext/>
              <w:spacing w:line="276" w:lineRule="auto" w:after="0"/>
              <w:ind w:firstLine="0"/>
              <w:jc w:val="center"/>
            </w:pPr>
            <w:r>
              <w:rPr>
                <w:b w:val="0"/>
                <w:sz w:val="18"/>
              </w:rPr>
              <w:t>0.1167</w:t>
            </w:r>
          </w:p>
        </w:tc>
        <w:tc>
          <w:tcPr>
            <w:tcW w:type="dxa" w:w="1361"/>
            <w:vAlign w:val="center"/>
          </w:tcPr>
          <w:p>
            <w:pPr>
              <w:keepNext/>
              <w:spacing w:line="276" w:lineRule="auto" w:after="0"/>
              <w:ind w:firstLine="0"/>
              <w:jc w:val="center"/>
            </w:pPr>
            <w:r>
              <w:rPr>
                <w:b w:val="0"/>
                <w:sz w:val="18"/>
              </w:rPr>
              <w:t>23.07%</w:t>
            </w:r>
          </w:p>
        </w:tc>
        <w:tc>
          <w:tcPr>
            <w:tcW w:type="dxa" w:w="1134"/>
            <w:vAlign w:val="center"/>
          </w:tcPr>
          <w:p>
            <w:pPr>
              <w:keepNext/>
              <w:spacing w:line="276" w:lineRule="auto" w:after="0"/>
              <w:ind w:firstLine="0"/>
              <w:jc w:val="center"/>
            </w:pPr>
            <w:r>
              <w:rPr>
                <w:b w:val="0"/>
                <w:sz w:val="18"/>
              </w:rPr>
              <w:t>1.014</w:t>
            </w:r>
          </w:p>
        </w:tc>
        <w:tc>
          <w:tcPr>
            <w:tcW w:type="dxa" w:w="1531"/>
            <w:vAlign w:val="center"/>
          </w:tcPr>
          <w:p>
            <w:pPr>
              <w:keepNext/>
              <w:spacing w:line="276" w:lineRule="auto" w:after="0"/>
              <w:ind w:firstLine="0"/>
              <w:jc w:val="center"/>
            </w:pPr>
            <w:r>
              <w:rPr>
                <w:b w:val="0"/>
                <w:sz w:val="18"/>
              </w:rPr>
              <w:t>-24.44%</w:t>
            </w:r>
          </w:p>
        </w:tc>
        <w:tc>
          <w:tcPr>
            <w:tcW w:type="dxa" w:w="1361"/>
            <w:vAlign w:val="center"/>
          </w:tcPr>
          <w:p>
            <w:pPr>
              <w:keepNext/>
              <w:spacing w:line="276" w:lineRule="auto" w:after="0"/>
              <w:ind w:firstLine="0"/>
              <w:jc w:val="center"/>
            </w:pPr>
            <w:r>
              <w:rPr>
                <w:b w:val="0"/>
                <w:sz w:val="18"/>
              </w:rPr>
              <w:t>0.944</w:t>
            </w:r>
          </w:p>
        </w:tc>
      </w:tr>
      <w:tr>
        <w:trPr>
          <w:cantSplit/>
        </w:trPr>
        <w:tc>
          <w:tcPr>
            <w:tcW w:type="dxa" w:w="2494"/>
            <w:vAlign w:val="center"/>
          </w:tcPr>
          <w:p>
            <w:pPr>
              <w:keepNext/>
              <w:spacing w:line="276" w:lineRule="auto" w:after="0"/>
              <w:ind w:firstLine="0"/>
              <w:jc w:val="left"/>
            </w:pPr>
            <w:r>
              <w:rPr>
                <w:b w:val="0"/>
                <w:sz w:val="18"/>
              </w:rPr>
              <w:t>v5 NN</w:t>
            </w:r>
          </w:p>
        </w:tc>
        <w:tc>
          <w:tcPr>
            <w:tcW w:type="dxa" w:w="1134"/>
            <w:vAlign w:val="center"/>
          </w:tcPr>
          <w:p>
            <w:pPr>
              <w:keepNext/>
              <w:spacing w:line="276" w:lineRule="auto" w:after="0"/>
              <w:ind w:firstLine="0"/>
              <w:jc w:val="center"/>
            </w:pPr>
            <w:r>
              <w:rPr>
                <w:b w:val="0"/>
                <w:sz w:val="18"/>
              </w:rPr>
              <w:t>0.1107</w:t>
            </w:r>
          </w:p>
        </w:tc>
        <w:tc>
          <w:tcPr>
            <w:tcW w:type="dxa" w:w="1361"/>
            <w:vAlign w:val="center"/>
          </w:tcPr>
          <w:p>
            <w:pPr>
              <w:keepNext/>
              <w:spacing w:line="276" w:lineRule="auto" w:after="0"/>
              <w:ind w:firstLine="0"/>
              <w:jc w:val="center"/>
            </w:pPr>
            <w:r>
              <w:rPr>
                <w:b w:val="0"/>
                <w:sz w:val="18"/>
              </w:rPr>
              <w:t>22.83%</w:t>
            </w:r>
          </w:p>
        </w:tc>
        <w:tc>
          <w:tcPr>
            <w:tcW w:type="dxa" w:w="1134"/>
            <w:vAlign w:val="center"/>
          </w:tcPr>
          <w:p>
            <w:pPr>
              <w:keepNext/>
              <w:spacing w:line="276" w:lineRule="auto" w:after="0"/>
              <w:ind w:firstLine="0"/>
              <w:jc w:val="center"/>
            </w:pPr>
            <w:r>
              <w:rPr>
                <w:b w:val="0"/>
                <w:sz w:val="18"/>
              </w:rPr>
              <w:t>1.035</w:t>
            </w:r>
          </w:p>
        </w:tc>
        <w:tc>
          <w:tcPr>
            <w:tcW w:type="dxa" w:w="1531"/>
            <w:vAlign w:val="center"/>
          </w:tcPr>
          <w:p>
            <w:pPr>
              <w:keepNext/>
              <w:spacing w:line="276" w:lineRule="auto" w:after="0"/>
              <w:ind w:firstLine="0"/>
              <w:jc w:val="center"/>
            </w:pPr>
            <w:r>
              <w:rPr>
                <w:b w:val="0"/>
                <w:sz w:val="18"/>
              </w:rPr>
              <w:t>-23.38%</w:t>
            </w:r>
          </w:p>
        </w:tc>
        <w:tc>
          <w:tcPr>
            <w:tcW w:type="dxa" w:w="1361"/>
            <w:vAlign w:val="center"/>
          </w:tcPr>
          <w:p>
            <w:pPr>
              <w:keepNext/>
              <w:spacing w:line="276" w:lineRule="auto" w:after="0"/>
              <w:ind w:firstLine="0"/>
              <w:jc w:val="center"/>
            </w:pPr>
            <w:r>
              <w:rPr>
                <w:b w:val="0"/>
                <w:sz w:val="18"/>
              </w:rPr>
              <w:t>0.976</w:t>
            </w:r>
          </w:p>
        </w:tc>
      </w:tr>
    </w:tbl>
    <w:p>
      <w:pPr>
        <w:pStyle w:val="Caption"/>
        <w:spacing w:before="80" w:after="180"/>
      </w:pPr>
      <w:r>
        <w:t>注：58个2021至2025年形成日，收益兑现至2026年2月3日；原252/22年化、rf=0、毛收益。先删除未来标签缺失股票再选Top50；结果不能作为无偏可交易比较。</w:t>
      </w:r>
    </w:p>
    <w:p>
      <w:pPr>
        <w:jc w:val="both"/>
      </w:pPr>
      <w:r>
        <w:t>缺失标签筛选会实际改变入选组合。对58个形成日逐一复核发现，F17有48日因未来标签缺失而替换共119个入选名额，v4 NN有7日替换8个，v5 NN有7日替换9个。该处理使用了形成日尚不可知的未来可观察性，且对模型影响不同；目前无法仅凭缺失次数确定偏差方向。因此表9是“条件于标签可得性的周期收益诊断”，不能用于证明无偏的可交易策略优劣。</w:t>
      </w:r>
    </w:p>
    <w:p>
      <w:pPr>
        <w:jc w:val="both"/>
      </w:pPr>
      <w:r>
        <w:t>成本分析还需要相同期数。原毛收益使用58期，25基点情景因首期换手不可得使用57期，不能把两者全部差值解释为费用。匹配57期后，v4 NN毛CAGR为22.48%、费用情景为19.92%，F17分别为19.70%和17.83%；对应费用情景夏普为0.895与0.971，周期端点Calmar为0.773与0.853。即使在这一有条件的诊断里，费用也没有改变“NN绝对收益略高、风险调整指标较低”的观察。</w:t>
      </w:r>
    </w:p>
    <w:p>
      <w:pPr>
        <w:jc w:val="both"/>
      </w:pPr>
      <w:r>
        <w:t>v5增加估值后的IC降至0.1107，相对v4差约−0.0060，普通配对t约−3.28，但周期夏普从1.014略升至1.035、回撤幅度由24.44%略降至23.38%。这是一组混合结果，不能写成v5在所有指标上失败，更不能据此证明估值普遍无效或42维输入必然过拟合。高度相关特征、有效时间样本有限、训练目标错配等是合理待检验解释，而非已被识别的因果机制。</w:t>
      </w:r>
    </w:p>
    <w:p>
      <w:pPr>
        <w:pStyle w:val="Heading2"/>
      </w:pPr>
      <w:r>
        <w:t>5.7 估值overlay与预测目标的错配</w:t>
      </w:r>
    </w:p>
    <w:p>
      <w:pPr>
        <w:jc w:val="both"/>
      </w:pPr>
      <w:r>
        <w:t>估值overlay将EP、BP、SP及DIV的截面百分位平均为VALUE，随后构造rank(NN)+λ×rank(VALUE)。λ仅以2021至2022年的平均IC选择，网格为0、0.05、0.1、0.2、0.3、0.5、0.75及1，最终选择0.5；2023至2025年形成日作为测试块。在该块，IC从约0.1194提高到0.1222，但Top50的原口径CAGR从21.76%下降到13.75%，夏普由0.902下降至0.734，回撤幅度仍约23%至24%。</w:t>
      </w:r>
    </w:p>
    <w:p>
      <w:pPr>
        <w:jc w:val="both"/>
      </w:pPr>
      <w:r>
        <w:t>此处风险收益统计丢弃测试块首期后为34期，配对均值差与t统计使用35期；两者样本数不同，附件分别保留。overlay相对NN的周期收益差约−0.62个百分点，普通配对t约−1.23，不能宣称显著的总体损害。其更直接的含义是：全截面IC改善没有保证头部组合获益。以IC选权重却以Top50收益评价，会形成可观测的目标错配；不能在看到测试结果后改用另一个λ，并仍称其为同一独立测试。</w:t>
      </w:r>
    </w:p>
    <w:p>
      <w:pPr>
        <w:pStyle w:val="Heading1"/>
      </w:pPr>
      <w:r>
        <w:t>6 讨论与研究局限</w:t>
      </w:r>
    </w:p>
    <w:p>
      <w:pPr>
        <w:pStyle w:val="Heading2"/>
      </w:pPr>
      <w:r>
        <w:t>6.1 等权基准为何仍具竞争力</w:t>
      </w:r>
    </w:p>
    <w:p>
      <w:pPr>
        <w:jc w:val="both"/>
      </w:pPr>
      <w:r>
        <w:t>F17已经对因子单位、极端值、行业及规模共变进行处理，等权在此基础上提供了强约束的组合先验。重新估计系数可减少某些偏差，却引入跨时期稳定性要求；大量股票行也不能替代独立的市场状态和时间观测。本文观察到向等权收缩没有稳定胜出、完全收缩则回到基准，与估计误差和先验约束的重要性相一致，但不构成对某一理论机制的单独识别。</w:t>
      </w:r>
    </w:p>
    <w:p>
      <w:pPr>
        <w:jc w:val="both"/>
      </w:pPr>
      <w:r>
        <w:t>因此，baseline应是一组有明确职责的对照，而不是任意选取的弱模型：固定F17用于衡量新增预测结构；同预处理equal用于识别系数估计增量；Ridge用于限制非线性与线性估计之间的混淆；同池全体等权或市值加权用于判断市场和流动性暴露；相同分数的不同组合映射则用于识别持仓设计。原实验尚未在所有分支完成完整的共同协议比较，跨表结论必须保留这一边界。</w:t>
      </w:r>
    </w:p>
    <w:p>
      <w:pPr>
        <w:pStyle w:val="Heading2"/>
      </w:pPr>
      <w:r>
        <w:t>6.2 模型优点与结果证据应分别评价</w:t>
      </w:r>
    </w:p>
    <w:p>
      <w:pPr>
        <w:jc w:val="both"/>
      </w:pPr>
      <w:r>
        <w:t>固定F17的优点是透明、便于归因及较少估计自由度，缺点是无法主动表示状态依赖。正则化模型的优点是显式控制先验与共线性，缺点是选参及评价域可能不稳定。政策网络可以直接表示股票、现金及持仓状态之间的关系，但训练代理与执行账本可能不一致。收益预测NN便于采用统一监督和线性对照，却需要另行解决从预测到组合的映射。文献改进的价值在于提出可检验的机制与更清晰的实验，而不必表现为每个版本的夏普单调上升。</w:t>
      </w:r>
    </w:p>
    <w:p>
      <w:pPr>
        <w:jc w:val="both"/>
      </w:pPr>
      <w:r>
        <w:t>市场状态也可能影响因子和组合表现。Daniel and Moskowitz（2016）说明动量风险与市场状态有关，Cederburg et al.（2020）则提示动态波动管理的样本内优势未必转化为实时优势。本文可据此解释为何需要分时期报告和负结果归档，但不能将文献机制直接认定为本项目已证实的损失原因。</w:t>
      </w:r>
    </w:p>
    <w:p>
      <w:pPr>
        <w:pStyle w:val="Heading2"/>
      </w:pPr>
      <w:r>
        <w:t>6.3 统计识别与实施限制</w:t>
      </w:r>
    </w:p>
    <w:p>
      <w:pPr>
        <w:jc w:val="both"/>
      </w:pPr>
      <w:r>
        <w:t>第一，历史区间被反复使用，完整研究搜索族没有全面冻结，普通t、局部HAC或固定候选bootstrap不能自动校正所有研究选择。v4/v5仅有58个形成日，overlay测试风险收益统计仅34期，极端市场路径对结论影响很大。本文保留原有统计并限定含义，不把“不显著”解释为模型等价，也不把个别超过常用阈值的t值解释为总体策略已经成立。</w:t>
      </w:r>
    </w:p>
    <w:p>
      <w:pPr>
        <w:jc w:val="both"/>
      </w:pPr>
      <w:r>
        <w:t>第二，部分标签和股票筛选使用了未来信息。政策当前代码存在入场索引提前及折边界标签跨越；权重实验和最新NN评价先筛未来可得标签。缺失的退出价格可能涉及停牌、退市或数据覆盖，而非随机缺失。修复需要先按形成日可知信息冻结持仓，再对缺失退出价格及退市现金流制定一致的事前处置规则，不能仅删除困难股票。</w:t>
      </w:r>
    </w:p>
    <w:p>
      <w:pPr>
        <w:jc w:val="both"/>
      </w:pPr>
      <w:r>
        <w:t>第三，日频、周期频率和成本口径并不统一。周期末回撤可能遗漏持有期中更深下跌；名称换手不是实际金额换手；多空收益未充分包含融券可得性与成本。持仓旧价、复权记量、公司行动与容量代理尚未解决。因而本文所有指标描述的是所保存实验规则下的历史结果，不构成交易执行验收。</w:t>
      </w:r>
    </w:p>
    <w:p>
      <w:pPr>
        <w:pStyle w:val="Heading2"/>
      </w:pPr>
      <w:r>
        <w:t>6.4 后续实验的可证伪路径</w:t>
      </w:r>
    </w:p>
    <w:p>
      <w:pPr>
        <w:jc w:val="both"/>
      </w:pPr>
      <w:r>
        <w:t>后续研究应首先冻结共同股票池、点时信息、标签入场退出时点、缺失收益处置和一套实际资金账本，再比较固定F17、向等权收缩、相同输入的浅层NN及直接政策。信号层可保留IC，但组合层主指标应事先选定，例如扣费后夏普或Calmar，并记录它与收益、回撤和换手之间的约束。比较应使用相同评价日期与rf，避免从毛收益、净收益和多种年化方法中事后选优。</w:t>
      </w:r>
    </w:p>
    <w:p>
      <w:pPr>
        <w:jc w:val="both"/>
      </w:pPr>
      <w:r>
        <w:t>训练目标改进可以围绕头部排序和费用展开，但需要限制候选数量，并用未参与开发的时间数据确认。对于政策网络，应先使训练成本、当前持仓和执行可行集一致；对于收益预测NN，应先修复未来标签条件化，再判断估值、排序目标或其他结构是否提供增量。所有新实验均应使用新版本输出目录，保留历史失败结果；这比在同一58个形成日上继续扫温度、λ和因子权重更有识别价值。</w:t>
      </w:r>
    </w:p>
    <w:p>
      <w:pPr>
        <w:pStyle w:val="Heading1"/>
      </w:pPr>
      <w:r>
        <w:t>7 结论</w:t>
      </w:r>
    </w:p>
    <w:p>
      <w:pPr>
        <w:jc w:val="both"/>
      </w:pPr>
      <w:r>
        <w:t>本研究完成了从F17固定因子评分、正则化权重重估，到关系增强组合政策及文献驱动改进的模型谱系重建，并将F17收益预测网络作为独立分支进行比较。各类模型具有明确方法动机，但现有保存结果未证明提高复杂度带来稳定的风险调整收益。正则化主比较中，等权与向等权收缩的夏普分别为0.942和0.931；文献改进的证据主要来自反复使用的单年，固定p1配方在后续探索区间也未超过同池市值加权对照；收益预测分支的日频毛收益结果仍由F17获得较高夏普和较低回撤。</w:t>
      </w:r>
    </w:p>
    <w:p>
      <w:pPr>
        <w:jc w:val="both"/>
      </w:pPr>
      <w:r>
        <w:t>最新NN部分读数显示收益预测具有信息，但未来标签筛选、样本重复使用和组合评价差异限制了其投资解释。本文的最终判断是保留等权F17作为透明研究基准，并将时序一致性、缺失收益处理、目标与组合映射以及执行验收作为下一阶段的优先工作。该结论针对已经完成的实验，不否定机器学习在更完善数据和协议下的潜在价值，也不把当前任何一条曲线认定为已经证实的可实施alpha。</w:t>
      </w:r>
    </w:p>
    <w:p>
      <w:pPr>
        <w:pStyle w:val="Heading1"/>
      </w:pPr>
      <w:r>
        <w:t>数据可用性与研究声明</w:t>
      </w:r>
    </w:p>
    <w:p>
      <w:pPr>
        <w:jc w:val="both"/>
      </w:pPr>
      <w:r>
        <w:t>数据与代码可用性：随文归档四类模型的源代码快照、必要配置、保存结果、主要预测及部分小型模型检查点，并提供来源路径、SHA256校验值和指标复核脚本。完整原始行情、若干大型训练数组及部分历史目标权重数组另列为外部依赖，未随包分发。附件支持结果复核与方法检查；完整重训还需要原数据、兼容环境及路径配置。</w:t>
      </w:r>
    </w:p>
    <w:p>
      <w:pPr>
        <w:jc w:val="both"/>
      </w:pPr>
      <w:r>
        <w:t>伦理声明：研究对象为证券市场数据及模型输出，不涉及招募受试者或干预个体。数据的后续使用与分发应遵守各原始数据源的授权范围。</w:t>
      </w:r>
    </w:p>
    <w:p>
      <w:pPr>
        <w:jc w:val="both"/>
      </w:pPr>
      <w:r>
        <w:t>作者贡献：Gilmour Jia负责研究问题与比较框架设计、策略开发与实验组织、数据及文献积累、结果解释和论文定稿。人工智能工具辅助代码实现、文件整理、指标复算、文献核对与文稿编排。本文方法来源及文献原作者通过引文单独标明。</w:t>
      </w:r>
    </w:p>
    <w:p>
      <w:pPr>
        <w:jc w:val="both"/>
      </w:pPr>
      <w:r>
        <w:t>利益冲突与资助：作者的持仓利益、商业关系和资助情况需在正式提交前由作者本人声明；本文不据现有实验文件推断不存在利益冲突或资助。</w:t>
      </w:r>
    </w:p>
    <w:p>
      <w:pPr>
        <w:jc w:val="both"/>
      </w:pPr>
      <w:r>
        <w:t>AI工具使用：人工智能工具参与文件梳理、代码阅读、指标复算辅助、文献信息核对及文稿与排版。所有绩效数字以归档实验或明确标注的复算为依据，未生成虚构回测。文稿不代表期刊同行评议或正式投稿验收。</w:t>
      </w:r>
    </w:p>
    <w:p>
      <w:pPr>
        <w:pStyle w:val="Heading1"/>
      </w:pPr>
      <w:r>
        <w:t>参考文献</w:t>
      </w:r>
    </w:p>
    <w:p>
      <w:pPr>
        <w:spacing w:line="276" w:lineRule="auto"/>
        <w:ind w:hanging="369" w:left="369"/>
      </w:pPr>
      <w:r>
        <w:rPr>
          <w:sz w:val="19"/>
        </w:rPr>
        <w:t xml:space="preserve">Bali, T. G., Cakici, N., &amp; Whitelaw, R. F. (2011). Maxing out: Stocks as lotteries and the cross-section of expected returns. </w:t>
      </w:r>
      <w:r>
        <w:rPr>
          <w:i/>
          <w:sz w:val="19"/>
        </w:rPr>
        <w:t>Journal of Financial Economics</w:t>
      </w:r>
      <w:r>
        <w:rPr>
          <w:sz w:val="19"/>
        </w:rPr>
        <w:t>, 99(2), 427–446. https://doi.org/10.1016/j.jfineco.2010.08.014</w:t>
      </w:r>
    </w:p>
    <w:p>
      <w:pPr>
        <w:spacing w:line="276" w:lineRule="auto"/>
        <w:ind w:hanging="369" w:left="369"/>
      </w:pPr>
      <w:r>
        <w:rPr>
          <w:sz w:val="19"/>
        </w:rPr>
        <w:t xml:space="preserve">Brandt, M. W., Santa-Clara, P., &amp; Valkanov, R. (2009). Parametric portfolio policies: Exploiting characteristics in the cross-section of equity returns. </w:t>
      </w:r>
      <w:r>
        <w:rPr>
          <w:i/>
          <w:sz w:val="19"/>
        </w:rPr>
        <w:t>The Review of Financial Studies</w:t>
      </w:r>
      <w:r>
        <w:rPr>
          <w:sz w:val="19"/>
        </w:rPr>
        <w:t>, 22(9), 3411–3447. https://doi.org/10.1093/rfs/hhp003</w:t>
      </w:r>
    </w:p>
    <w:p>
      <w:pPr>
        <w:spacing w:line="276" w:lineRule="auto"/>
        <w:ind w:hanging="369" w:left="369"/>
      </w:pPr>
      <w:r>
        <w:rPr>
          <w:sz w:val="19"/>
        </w:rPr>
        <w:t xml:space="preserve">Cederburg, S., O’Doherty, M. S., Wang, F., &amp; Yan, X. S. (2020). On the performance of volatility-managed portfolios. </w:t>
      </w:r>
      <w:r>
        <w:rPr>
          <w:i/>
          <w:sz w:val="19"/>
        </w:rPr>
        <w:t>Journal of Financial Economics</w:t>
      </w:r>
      <w:r>
        <w:rPr>
          <w:sz w:val="19"/>
        </w:rPr>
        <w:t>, 138(1), 95–117. https://doi.org/10.1016/j.jfineco.2020.04.015</w:t>
      </w:r>
    </w:p>
    <w:p>
      <w:pPr>
        <w:spacing w:line="276" w:lineRule="auto"/>
        <w:ind w:hanging="369" w:left="369"/>
      </w:pPr>
      <w:r>
        <w:rPr>
          <w:sz w:val="19"/>
        </w:rPr>
        <w:t xml:space="preserve">Cohen, L., &amp; Frazzini, A. (2008). Economic links and predictable returns. </w:t>
      </w:r>
      <w:r>
        <w:rPr>
          <w:i/>
          <w:sz w:val="19"/>
        </w:rPr>
        <w:t>The Journal of Finance</w:t>
      </w:r>
      <w:r>
        <w:rPr>
          <w:sz w:val="19"/>
        </w:rPr>
        <w:t>, 63(4), 1977–2011. https://doi.org/10.1111/j.1540-6261.2008.01379.x</w:t>
      </w:r>
    </w:p>
    <w:p>
      <w:pPr>
        <w:spacing w:line="276" w:lineRule="auto"/>
        <w:ind w:hanging="369" w:left="369"/>
      </w:pPr>
      <w:r>
        <w:rPr>
          <w:sz w:val="19"/>
        </w:rPr>
        <w:t xml:space="preserve">Daniel, K., &amp; Moskowitz, T. J. (2016). Momentum crashes. </w:t>
      </w:r>
      <w:r>
        <w:rPr>
          <w:i/>
          <w:sz w:val="19"/>
        </w:rPr>
        <w:t>Journal of Financial Economics</w:t>
      </w:r>
      <w:r>
        <w:rPr>
          <w:sz w:val="19"/>
        </w:rPr>
        <w:t>, 122(2), 221–247. https://doi.org/10.1016/j.jfineco.2015.12.002</w:t>
      </w:r>
    </w:p>
    <w:p>
      <w:pPr>
        <w:spacing w:line="276" w:lineRule="auto"/>
        <w:ind w:hanging="369" w:left="369"/>
      </w:pPr>
      <w:r>
        <w:rPr>
          <w:sz w:val="19"/>
        </w:rPr>
        <w:t xml:space="preserve">DeMiguel, V., Garlappi, L., &amp; Uppal, R. (2009). Optimal versus naive diversification: How inefficient is the 1/N portfolio strategy? </w:t>
      </w:r>
      <w:r>
        <w:rPr>
          <w:i/>
          <w:sz w:val="19"/>
        </w:rPr>
        <w:t>The Review of Financial Studies</w:t>
      </w:r>
      <w:r>
        <w:rPr>
          <w:sz w:val="19"/>
        </w:rPr>
        <w:t>, 22(5), 1915–1953. https://doi.org/10.1093/rfs/hhm075</w:t>
      </w:r>
    </w:p>
    <w:p>
      <w:pPr>
        <w:spacing w:line="276" w:lineRule="auto"/>
        <w:ind w:hanging="369" w:left="369"/>
      </w:pPr>
      <w:r>
        <w:rPr>
          <w:sz w:val="19"/>
        </w:rPr>
        <w:t xml:space="preserve">Freyberger, J., Neuhierl, A., &amp; Weber, M. (2020). Dissecting characteristics nonparametrically. </w:t>
      </w:r>
      <w:r>
        <w:rPr>
          <w:i/>
          <w:sz w:val="19"/>
        </w:rPr>
        <w:t>The Review of Financial Studies</w:t>
      </w:r>
      <w:r>
        <w:rPr>
          <w:sz w:val="19"/>
        </w:rPr>
        <w:t>, 33(5), 2326–2377. https://doi.org/10.1093/rfs/hhz123</w:t>
      </w:r>
    </w:p>
    <w:p>
      <w:pPr>
        <w:spacing w:line="276" w:lineRule="auto"/>
        <w:ind w:hanging="369" w:left="369"/>
      </w:pPr>
      <w:r>
        <w:rPr>
          <w:sz w:val="19"/>
        </w:rPr>
        <w:t xml:space="preserve">Gârleanu, N., &amp; Pedersen, L. H. (2013). Dynamic trading with predictable returns and transaction costs. </w:t>
      </w:r>
      <w:r>
        <w:rPr>
          <w:i/>
          <w:sz w:val="19"/>
        </w:rPr>
        <w:t>The Journal of Finance</w:t>
      </w:r>
      <w:r>
        <w:rPr>
          <w:sz w:val="19"/>
        </w:rPr>
        <w:t>, 68(6), 2309–2340. https://doi.org/10.1111/jofi.12080</w:t>
      </w:r>
    </w:p>
    <w:p>
      <w:pPr>
        <w:spacing w:line="276" w:lineRule="auto"/>
        <w:ind w:hanging="369" w:left="369"/>
      </w:pPr>
      <w:r>
        <w:rPr>
          <w:sz w:val="19"/>
        </w:rPr>
        <w:t xml:space="preserve">Gu, S., Kelly, B., &amp; Xiu, D. (2020). Empirical asset pricing via machine learning. </w:t>
      </w:r>
      <w:r>
        <w:rPr>
          <w:i/>
          <w:sz w:val="19"/>
        </w:rPr>
        <w:t>The Review of Financial Studies</w:t>
      </w:r>
      <w:r>
        <w:rPr>
          <w:sz w:val="19"/>
        </w:rPr>
        <w:t>, 33(5), 2223–2273. https://doi.org/10.1093/rfs/hhaa009</w:t>
      </w:r>
    </w:p>
    <w:p>
      <w:pPr>
        <w:spacing w:line="276" w:lineRule="auto"/>
        <w:ind w:hanging="369" w:left="369"/>
      </w:pPr>
      <w:r>
        <w:rPr>
          <w:sz w:val="19"/>
        </w:rPr>
        <w:t xml:space="preserve">Jensen, T. I., Kelly, B., Malamud, S., &amp; Pedersen, L. H. (2026). Machine learning and the implementable efficient frontier. </w:t>
      </w:r>
      <w:r>
        <w:rPr>
          <w:i/>
          <w:sz w:val="19"/>
        </w:rPr>
        <w:t>The Review of Financial Studies</w:t>
      </w:r>
      <w:r>
        <w:rPr>
          <w:sz w:val="19"/>
        </w:rPr>
        <w:t>, 39(10), 3035–3078. https://doi.org/10.1093/rfs/hhag022</w:t>
      </w:r>
    </w:p>
    <w:p>
      <w:pPr>
        <w:spacing w:line="276" w:lineRule="auto"/>
        <w:ind w:hanging="369" w:left="369"/>
      </w:pPr>
      <w:r>
        <w:rPr>
          <w:sz w:val="19"/>
        </w:rPr>
        <w:t xml:space="preserve">Kozak, S., Nagel, S., &amp; Santosh, S. (2020). Shrinking the cross-section. </w:t>
      </w:r>
      <w:r>
        <w:rPr>
          <w:i/>
          <w:sz w:val="19"/>
        </w:rPr>
        <w:t>Journal of Financial Economics</w:t>
      </w:r>
      <w:r>
        <w:rPr>
          <w:sz w:val="19"/>
        </w:rPr>
        <w:t>, 135(2), 271–292. https://doi.org/10.1016/j.jfineco.2019.06.008</w:t>
      </w:r>
    </w:p>
    <w:p>
      <w:pPr>
        <w:spacing w:line="276" w:lineRule="auto"/>
        <w:ind w:hanging="369" w:left="369"/>
      </w:pPr>
      <w:r>
        <w:rPr>
          <w:sz w:val="19"/>
        </w:rPr>
        <w:t xml:space="preserve">Ledoit, O., &amp; Wolf, M. (2003). Improved estimation of the covariance matrix of stock returns with an application to portfolio selection. </w:t>
      </w:r>
      <w:r>
        <w:rPr>
          <w:i/>
          <w:sz w:val="19"/>
        </w:rPr>
        <w:t>Journal of Empirical Finance</w:t>
      </w:r>
      <w:r>
        <w:rPr>
          <w:sz w:val="19"/>
        </w:rPr>
        <w:t>, 10(5), 603–621. https://doi.org/10.1016/S0927-5398(03)00007-0</w:t>
      </w:r>
    </w:p>
    <w:p>
      <w:pPr>
        <w:spacing w:line="276" w:lineRule="auto"/>
        <w:ind w:hanging="369" w:left="369"/>
      </w:pPr>
      <w:r>
        <w:rPr>
          <w:sz w:val="19"/>
        </w:rPr>
        <w:t xml:space="preserve">Leippold, M., Wang, Q., &amp; Zhou, W. (2022). Machine learning in the Chinese stock market. </w:t>
      </w:r>
      <w:r>
        <w:rPr>
          <w:i/>
          <w:sz w:val="19"/>
        </w:rPr>
        <w:t>Journal of Financial Economics</w:t>
      </w:r>
      <w:r>
        <w:rPr>
          <w:sz w:val="19"/>
        </w:rPr>
        <w:t>, 145(2), 64–82. https://doi.org/10.1016/j.jfineco.2021.08.017</w:t>
      </w:r>
    </w:p>
    <w:p>
      <w:pPr>
        <w:spacing w:line="276" w:lineRule="auto"/>
        <w:ind w:hanging="369" w:left="369"/>
      </w:pPr>
      <w:r>
        <w:rPr>
          <w:sz w:val="19"/>
        </w:rPr>
        <w:t xml:space="preserve">Liu, J., Stambaugh, R. F., &amp; Yuan, Y. (2019). Size and value in China. </w:t>
      </w:r>
      <w:r>
        <w:rPr>
          <w:i/>
          <w:sz w:val="19"/>
        </w:rPr>
        <w:t>Journal of Financial Economics</w:t>
      </w:r>
      <w:r>
        <w:rPr>
          <w:sz w:val="19"/>
        </w:rPr>
        <w:t>, 134(1), 48–69. https://doi.org/10.1016/j.jfineco.2019.03.008</w:t>
      </w:r>
    </w:p>
    <w:p>
      <w:pPr>
        <w:spacing w:line="276" w:lineRule="auto"/>
        <w:ind w:hanging="369" w:left="369"/>
      </w:pPr>
      <w:r>
        <w:rPr>
          <w:sz w:val="19"/>
        </w:rPr>
        <w:t xml:space="preserve">Novy-Marx, R., &amp; Velikov, M. (2016). A taxonomy of anomalies and their trading costs. </w:t>
      </w:r>
      <w:r>
        <w:rPr>
          <w:i/>
          <w:sz w:val="19"/>
        </w:rPr>
        <w:t>The Review of Financial Studies</w:t>
      </w:r>
      <w:r>
        <w:rPr>
          <w:sz w:val="19"/>
        </w:rPr>
        <w:t>, 29(1), 104–147. https://doi.org/10.1093/rfs/hhv063</w:t>
      </w:r>
    </w:p>
    <w:p>
      <w:pPr>
        <w:spacing w:line="276" w:lineRule="auto"/>
        <w:ind w:hanging="369" w:left="369"/>
      </w:pPr>
      <w:r>
        <w:rPr>
          <w:sz w:val="19"/>
        </w:rPr>
        <w:t xml:space="preserve">Simon, F., Weibels, S., &amp; Zimmermann, T. (2026). Deep parametric portfolio policies. </w:t>
      </w:r>
      <w:r>
        <w:rPr>
          <w:i/>
          <w:sz w:val="19"/>
        </w:rPr>
        <w:t>Management Science</w:t>
      </w:r>
      <w:r>
        <w:rPr>
          <w:sz w:val="19"/>
        </w:rPr>
        <w:t>. Advance online publication. https://doi.org/10.1287/mnsc.2025.00721</w:t>
      </w:r>
    </w:p>
    <w:p>
      <w:pPr>
        <w:pStyle w:val="Heading1"/>
      </w:pPr>
      <w:r>
        <w:t>附录A F17因子定义与合成方向</w:t>
      </w:r>
    </w:p>
    <w:p>
      <w:pPr>
        <w:jc w:val="both"/>
      </w:pPr>
      <w:r>
        <w:t>下表按实际代码定义列示，而非仅按变量名称解释。因子符号已经写入构造函数，合成时不依据验证期IC临时反号。SIZE在后续市值中性化后不再代表未经处理的纯规模暴露；ISKEW实际采用原始收益偏度，不能称为残差特质偏度。</w:t>
      </w:r>
    </w:p>
    <w:p>
      <w:pPr>
        <w:pStyle w:val="Caption"/>
        <w:keepNext/>
      </w:pPr>
      <w:r>
        <w:rPr>
          <w:b/>
        </w:rPr>
        <w:t>表A1 F17因子字典</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587"/>
        <w:gridCol w:w="4932"/>
        <w:gridCol w:w="2494"/>
      </w:tblGrid>
      <w:tr>
        <w:trPr>
          <w:cantSplit/>
          <w:tblHeader/>
        </w:trPr>
        <w:tc>
          <w:tcPr>
            <w:tcW w:type="dxa" w:w="1587"/>
            <w:vAlign w:val="center"/>
            <w:shd w:fill="E7EDF2"/>
          </w:tcPr>
          <w:p>
            <w:pPr>
              <w:keepNext/>
              <w:spacing w:line="276" w:lineRule="auto" w:after="0"/>
              <w:ind w:firstLine="0"/>
              <w:jc w:val="center"/>
            </w:pPr>
            <w:r>
              <w:rPr>
                <w:b/>
                <w:sz w:val="18"/>
              </w:rPr>
              <w:t>因子</w:t>
            </w:r>
          </w:p>
        </w:tc>
        <w:tc>
          <w:tcPr>
            <w:tcW w:type="dxa" w:w="4932"/>
            <w:vAlign w:val="center"/>
            <w:shd w:fill="E7EDF2"/>
          </w:tcPr>
          <w:p>
            <w:pPr>
              <w:keepNext/>
              <w:spacing w:line="276" w:lineRule="auto" w:after="0"/>
              <w:ind w:firstLine="0"/>
              <w:jc w:val="center"/>
            </w:pPr>
            <w:r>
              <w:rPr>
                <w:b/>
                <w:sz w:val="18"/>
              </w:rPr>
              <w:t>实际构造</w:t>
            </w:r>
          </w:p>
        </w:tc>
        <w:tc>
          <w:tcPr>
            <w:tcW w:type="dxa" w:w="2494"/>
            <w:vAlign w:val="center"/>
            <w:shd w:fill="E7EDF2"/>
          </w:tcPr>
          <w:p>
            <w:pPr>
              <w:keepNext/>
              <w:spacing w:line="276" w:lineRule="auto" w:after="0"/>
              <w:ind w:firstLine="0"/>
              <w:jc w:val="center"/>
            </w:pPr>
            <w:r>
              <w:rPr>
                <w:b/>
                <w:sz w:val="18"/>
              </w:rPr>
              <w:t>原始方向与含义</w:t>
            </w:r>
          </w:p>
        </w:tc>
      </w:tr>
      <w:tr>
        <w:trPr>
          <w:cantSplit/>
        </w:trPr>
        <w:tc>
          <w:tcPr>
            <w:tcW w:type="dxa" w:w="1587"/>
            <w:vAlign w:val="center"/>
          </w:tcPr>
          <w:p>
            <w:pPr>
              <w:keepNext/>
              <w:spacing w:line="276" w:lineRule="auto" w:after="0"/>
              <w:ind w:firstLine="0"/>
              <w:jc w:val="left"/>
            </w:pPr>
            <w:r>
              <w:rPr>
                <w:b w:val="0"/>
                <w:sz w:val="18"/>
              </w:rPr>
              <w:t>TURN</w:t>
            </w:r>
          </w:p>
        </w:tc>
        <w:tc>
          <w:tcPr>
            <w:tcW w:type="dxa" w:w="4932"/>
            <w:vAlign w:val="center"/>
          </w:tcPr>
          <w:p>
            <w:pPr>
              <w:keepNext/>
              <w:spacing w:line="276" w:lineRule="auto" w:after="0"/>
              <w:ind w:firstLine="0"/>
              <w:jc w:val="left"/>
            </w:pPr>
            <w:r>
              <w:rPr>
                <w:b w:val="0"/>
                <w:sz w:val="18"/>
              </w:rPr>
              <w:t>−21日平均换手率</w:t>
            </w:r>
          </w:p>
        </w:tc>
        <w:tc>
          <w:tcPr>
            <w:tcW w:type="dxa" w:w="2494"/>
            <w:vAlign w:val="center"/>
          </w:tcPr>
          <w:p>
            <w:pPr>
              <w:keepNext/>
              <w:spacing w:line="276" w:lineRule="auto" w:after="0"/>
              <w:ind w:firstLine="0"/>
              <w:jc w:val="left"/>
            </w:pPr>
            <w:r>
              <w:rPr>
                <w:b w:val="0"/>
                <w:sz w:val="18"/>
              </w:rPr>
              <w:t>偏低换手</w:t>
            </w:r>
          </w:p>
        </w:tc>
      </w:tr>
      <w:tr>
        <w:trPr>
          <w:cantSplit/>
        </w:trPr>
        <w:tc>
          <w:tcPr>
            <w:tcW w:type="dxa" w:w="1587"/>
            <w:vAlign w:val="center"/>
          </w:tcPr>
          <w:p>
            <w:pPr>
              <w:keepNext/>
              <w:spacing w:line="276" w:lineRule="auto" w:after="0"/>
              <w:ind w:firstLine="0"/>
              <w:jc w:val="left"/>
            </w:pPr>
            <w:r>
              <w:rPr>
                <w:b w:val="0"/>
                <w:sz w:val="18"/>
              </w:rPr>
              <w:t>MAX5</w:t>
            </w:r>
          </w:p>
        </w:tc>
        <w:tc>
          <w:tcPr>
            <w:tcW w:type="dxa" w:w="4932"/>
            <w:vAlign w:val="center"/>
          </w:tcPr>
          <w:p>
            <w:pPr>
              <w:keepNext/>
              <w:spacing w:line="276" w:lineRule="auto" w:after="0"/>
              <w:ind w:firstLine="0"/>
              <w:jc w:val="left"/>
            </w:pPr>
            <w:r>
              <w:rPr>
                <w:b w:val="0"/>
                <w:sz w:val="18"/>
              </w:rPr>
              <w:t>−过去21日最高5个日收益均值</w:t>
            </w:r>
          </w:p>
        </w:tc>
        <w:tc>
          <w:tcPr>
            <w:tcW w:type="dxa" w:w="2494"/>
            <w:vAlign w:val="center"/>
          </w:tcPr>
          <w:p>
            <w:pPr>
              <w:keepNext/>
              <w:spacing w:line="276" w:lineRule="auto" w:after="0"/>
              <w:ind w:firstLine="0"/>
              <w:jc w:val="left"/>
            </w:pPr>
            <w:r>
              <w:rPr>
                <w:b w:val="0"/>
                <w:sz w:val="18"/>
              </w:rPr>
              <w:t>偏低彩票性</w:t>
            </w:r>
          </w:p>
        </w:tc>
      </w:tr>
      <w:tr>
        <w:trPr>
          <w:cantSplit/>
        </w:trPr>
        <w:tc>
          <w:tcPr>
            <w:tcW w:type="dxa" w:w="1587"/>
            <w:vAlign w:val="center"/>
          </w:tcPr>
          <w:p>
            <w:pPr>
              <w:keepNext w:val="0"/>
              <w:spacing w:line="276" w:lineRule="auto" w:after="0"/>
              <w:ind w:firstLine="0"/>
              <w:jc w:val="left"/>
            </w:pPr>
            <w:r>
              <w:rPr>
                <w:b w:val="0"/>
                <w:sz w:val="18"/>
              </w:rPr>
              <w:t>INTRADAY</w:t>
            </w:r>
          </w:p>
        </w:tc>
        <w:tc>
          <w:tcPr>
            <w:tcW w:type="dxa" w:w="4932"/>
            <w:vAlign w:val="center"/>
          </w:tcPr>
          <w:p>
            <w:pPr>
              <w:keepNext w:val="0"/>
              <w:spacing w:line="276" w:lineRule="auto" w:after="0"/>
              <w:ind w:firstLine="0"/>
              <w:jc w:val="left"/>
            </w:pPr>
            <w:r>
              <w:rPr>
                <w:b w:val="0"/>
                <w:sz w:val="18"/>
              </w:rPr>
              <w:t>−21日日内收益复合值</w:t>
            </w:r>
          </w:p>
        </w:tc>
        <w:tc>
          <w:tcPr>
            <w:tcW w:type="dxa" w:w="2494"/>
            <w:vAlign w:val="center"/>
          </w:tcPr>
          <w:p>
            <w:pPr>
              <w:keepNext w:val="0"/>
              <w:spacing w:line="276" w:lineRule="auto" w:after="0"/>
              <w:ind w:firstLine="0"/>
              <w:jc w:val="left"/>
            </w:pPr>
            <w:r>
              <w:rPr>
                <w:b w:val="0"/>
                <w:sz w:val="18"/>
              </w:rPr>
              <w:t>日内反转</w:t>
            </w:r>
          </w:p>
        </w:tc>
      </w:tr>
      <w:tr>
        <w:trPr>
          <w:cantSplit/>
        </w:trPr>
        <w:tc>
          <w:tcPr>
            <w:tcW w:type="dxa" w:w="1587"/>
            <w:vAlign w:val="center"/>
          </w:tcPr>
          <w:p>
            <w:pPr>
              <w:keepNext w:val="0"/>
              <w:spacing w:line="276" w:lineRule="auto" w:after="0"/>
              <w:ind w:firstLine="0"/>
              <w:jc w:val="left"/>
            </w:pPr>
            <w:r>
              <w:rPr>
                <w:b w:val="0"/>
                <w:sz w:val="18"/>
              </w:rPr>
              <w:t>ILLIQ</w:t>
            </w:r>
          </w:p>
        </w:tc>
        <w:tc>
          <w:tcPr>
            <w:tcW w:type="dxa" w:w="4932"/>
            <w:vAlign w:val="center"/>
          </w:tcPr>
          <w:p>
            <w:pPr>
              <w:keepNext w:val="0"/>
              <w:spacing w:line="276" w:lineRule="auto" w:after="0"/>
              <w:ind w:firstLine="0"/>
              <w:jc w:val="left"/>
            </w:pPr>
            <w:r>
              <w:rPr>
                <w:b w:val="0"/>
                <w:sz w:val="18"/>
              </w:rPr>
              <w:t>log1p(21日均|收益|/成交额×10⁸)</w:t>
            </w:r>
          </w:p>
        </w:tc>
        <w:tc>
          <w:tcPr>
            <w:tcW w:type="dxa" w:w="2494"/>
            <w:vAlign w:val="center"/>
          </w:tcPr>
          <w:p>
            <w:pPr>
              <w:keepNext w:val="0"/>
              <w:spacing w:line="276" w:lineRule="auto" w:after="0"/>
              <w:ind w:firstLine="0"/>
              <w:jc w:val="left"/>
            </w:pPr>
            <w:r>
              <w:rPr>
                <w:b w:val="0"/>
                <w:sz w:val="18"/>
              </w:rPr>
              <w:t>偏高非流动性</w:t>
            </w:r>
          </w:p>
        </w:tc>
      </w:tr>
      <w:tr>
        <w:trPr>
          <w:cantSplit/>
        </w:trPr>
        <w:tc>
          <w:tcPr>
            <w:tcW w:type="dxa" w:w="1587"/>
            <w:vAlign w:val="center"/>
          </w:tcPr>
          <w:p>
            <w:pPr>
              <w:keepNext w:val="0"/>
              <w:spacing w:line="276" w:lineRule="auto" w:after="0"/>
              <w:ind w:firstLine="0"/>
              <w:jc w:val="left"/>
            </w:pPr>
            <w:r>
              <w:rPr>
                <w:b w:val="0"/>
                <w:sz w:val="18"/>
              </w:rPr>
              <w:t>COMMOVE</w:t>
            </w:r>
          </w:p>
        </w:tc>
        <w:tc>
          <w:tcPr>
            <w:tcW w:type="dxa" w:w="4932"/>
            <w:vAlign w:val="center"/>
          </w:tcPr>
          <w:p>
            <w:pPr>
              <w:keepNext w:val="0"/>
              <w:spacing w:line="276" w:lineRule="auto" w:after="0"/>
              <w:ind w:firstLine="0"/>
              <w:jc w:val="left"/>
            </w:pPr>
            <w:r>
              <w:rPr>
                <w:b w:val="0"/>
                <w:sz w:val="18"/>
              </w:rPr>
              <w:t>60日个股与剔除自身行业收益相关</w:t>
            </w:r>
          </w:p>
        </w:tc>
        <w:tc>
          <w:tcPr>
            <w:tcW w:type="dxa" w:w="2494"/>
            <w:vAlign w:val="center"/>
          </w:tcPr>
          <w:p>
            <w:pPr>
              <w:keepNext w:val="0"/>
              <w:spacing w:line="276" w:lineRule="auto" w:after="0"/>
              <w:ind w:firstLine="0"/>
              <w:jc w:val="left"/>
            </w:pPr>
            <w:r>
              <w:rPr>
                <w:b w:val="0"/>
                <w:sz w:val="18"/>
              </w:rPr>
              <w:t>正向统计联动</w:t>
            </w:r>
          </w:p>
        </w:tc>
      </w:tr>
      <w:tr>
        <w:trPr>
          <w:cantSplit/>
        </w:trPr>
        <w:tc>
          <w:tcPr>
            <w:tcW w:type="dxa" w:w="1587"/>
            <w:vAlign w:val="center"/>
          </w:tcPr>
          <w:p>
            <w:pPr>
              <w:keepNext w:val="0"/>
              <w:spacing w:line="276" w:lineRule="auto" w:after="0"/>
              <w:ind w:firstLine="0"/>
              <w:jc w:val="left"/>
            </w:pPr>
            <w:r>
              <w:rPr>
                <w:b w:val="0"/>
                <w:sz w:val="18"/>
              </w:rPr>
              <w:t>TURN_SHOCK</w:t>
            </w:r>
          </w:p>
        </w:tc>
        <w:tc>
          <w:tcPr>
            <w:tcW w:type="dxa" w:w="4932"/>
            <w:vAlign w:val="center"/>
          </w:tcPr>
          <w:p>
            <w:pPr>
              <w:keepNext w:val="0"/>
              <w:spacing w:line="276" w:lineRule="auto" w:after="0"/>
              <w:ind w:firstLine="0"/>
              <w:jc w:val="left"/>
            </w:pPr>
            <w:r>
              <w:rPr>
                <w:b w:val="0"/>
                <w:sz w:val="18"/>
              </w:rPr>
              <w:t>−(5日均换手/60日均换手−1)</w:t>
            </w:r>
          </w:p>
        </w:tc>
        <w:tc>
          <w:tcPr>
            <w:tcW w:type="dxa" w:w="2494"/>
            <w:vAlign w:val="center"/>
          </w:tcPr>
          <w:p>
            <w:pPr>
              <w:keepNext w:val="0"/>
              <w:spacing w:line="276" w:lineRule="auto" w:after="0"/>
              <w:ind w:firstLine="0"/>
              <w:jc w:val="left"/>
            </w:pPr>
            <w:r>
              <w:rPr>
                <w:b w:val="0"/>
                <w:sz w:val="18"/>
              </w:rPr>
              <w:t>偏低换手冲击</w:t>
            </w:r>
          </w:p>
        </w:tc>
      </w:tr>
      <w:tr>
        <w:trPr>
          <w:cantSplit/>
        </w:trPr>
        <w:tc>
          <w:tcPr>
            <w:tcW w:type="dxa" w:w="1587"/>
            <w:vAlign w:val="center"/>
          </w:tcPr>
          <w:p>
            <w:pPr>
              <w:keepNext w:val="0"/>
              <w:spacing w:line="276" w:lineRule="auto" w:after="0"/>
              <w:ind w:firstLine="0"/>
              <w:jc w:val="left"/>
            </w:pPr>
            <w:r>
              <w:rPr>
                <w:b w:val="0"/>
                <w:sz w:val="18"/>
              </w:rPr>
              <w:t>REV_1W</w:t>
            </w:r>
          </w:p>
        </w:tc>
        <w:tc>
          <w:tcPr>
            <w:tcW w:type="dxa" w:w="4932"/>
            <w:vAlign w:val="center"/>
          </w:tcPr>
          <w:p>
            <w:pPr>
              <w:keepNext w:val="0"/>
              <w:spacing w:line="276" w:lineRule="auto" w:after="0"/>
              <w:ind w:firstLine="0"/>
              <w:jc w:val="left"/>
            </w:pPr>
            <w:r>
              <w:rPr>
                <w:b w:val="0"/>
                <w:sz w:val="18"/>
              </w:rPr>
              <w:t>−过去5日价格收益</w:t>
            </w:r>
          </w:p>
        </w:tc>
        <w:tc>
          <w:tcPr>
            <w:tcW w:type="dxa" w:w="2494"/>
            <w:vAlign w:val="center"/>
          </w:tcPr>
          <w:p>
            <w:pPr>
              <w:keepNext w:val="0"/>
              <w:spacing w:line="276" w:lineRule="auto" w:after="0"/>
              <w:ind w:firstLine="0"/>
              <w:jc w:val="left"/>
            </w:pPr>
            <w:r>
              <w:rPr>
                <w:b w:val="0"/>
                <w:sz w:val="18"/>
              </w:rPr>
              <w:t>周度反转</w:t>
            </w:r>
          </w:p>
        </w:tc>
      </w:tr>
      <w:tr>
        <w:trPr>
          <w:cantSplit/>
        </w:trPr>
        <w:tc>
          <w:tcPr>
            <w:tcW w:type="dxa" w:w="1587"/>
            <w:vAlign w:val="center"/>
          </w:tcPr>
          <w:p>
            <w:pPr>
              <w:keepNext w:val="0"/>
              <w:spacing w:line="276" w:lineRule="auto" w:after="0"/>
              <w:ind w:firstLine="0"/>
              <w:jc w:val="left"/>
            </w:pPr>
            <w:r>
              <w:rPr>
                <w:b w:val="0"/>
                <w:sz w:val="18"/>
              </w:rPr>
              <w:t>ISKEW</w:t>
            </w:r>
          </w:p>
        </w:tc>
        <w:tc>
          <w:tcPr>
            <w:tcW w:type="dxa" w:w="4932"/>
            <w:vAlign w:val="center"/>
          </w:tcPr>
          <w:p>
            <w:pPr>
              <w:keepNext w:val="0"/>
              <w:spacing w:line="276" w:lineRule="auto" w:after="0"/>
              <w:ind w:firstLine="0"/>
              <w:jc w:val="left"/>
            </w:pPr>
            <w:r>
              <w:rPr>
                <w:b w:val="0"/>
                <w:sz w:val="18"/>
              </w:rPr>
              <w:t>−60日原始日收益偏度</w:t>
            </w:r>
          </w:p>
        </w:tc>
        <w:tc>
          <w:tcPr>
            <w:tcW w:type="dxa" w:w="2494"/>
            <w:vAlign w:val="center"/>
          </w:tcPr>
          <w:p>
            <w:pPr>
              <w:keepNext w:val="0"/>
              <w:spacing w:line="276" w:lineRule="auto" w:after="0"/>
              <w:ind w:firstLine="0"/>
              <w:jc w:val="left"/>
            </w:pPr>
            <w:r>
              <w:rPr>
                <w:b w:val="0"/>
                <w:sz w:val="18"/>
              </w:rPr>
              <w:t>偏低偏度</w:t>
            </w:r>
          </w:p>
        </w:tc>
      </w:tr>
      <w:tr>
        <w:trPr>
          <w:cantSplit/>
        </w:trPr>
        <w:tc>
          <w:tcPr>
            <w:tcW w:type="dxa" w:w="1587"/>
            <w:vAlign w:val="center"/>
          </w:tcPr>
          <w:p>
            <w:pPr>
              <w:keepNext w:val="0"/>
              <w:spacing w:line="276" w:lineRule="auto" w:after="0"/>
              <w:ind w:firstLine="0"/>
              <w:jc w:val="left"/>
            </w:pPr>
            <w:r>
              <w:rPr>
                <w:b w:val="0"/>
                <w:sz w:val="18"/>
              </w:rPr>
              <w:t>IVOL</w:t>
            </w:r>
          </w:p>
        </w:tc>
        <w:tc>
          <w:tcPr>
            <w:tcW w:type="dxa" w:w="4932"/>
            <w:vAlign w:val="center"/>
          </w:tcPr>
          <w:p>
            <w:pPr>
              <w:keepNext w:val="0"/>
              <w:spacing w:line="276" w:lineRule="auto" w:after="0"/>
              <w:ind w:firstLine="0"/>
              <w:jc w:val="left"/>
            </w:pPr>
            <w:r>
              <w:rPr>
                <w:b w:val="0"/>
                <w:sz w:val="18"/>
              </w:rPr>
              <w:t>−252日市场模型残差波动年化估计</w:t>
            </w:r>
          </w:p>
        </w:tc>
        <w:tc>
          <w:tcPr>
            <w:tcW w:type="dxa" w:w="2494"/>
            <w:vAlign w:val="center"/>
          </w:tcPr>
          <w:p>
            <w:pPr>
              <w:keepNext w:val="0"/>
              <w:spacing w:line="276" w:lineRule="auto" w:after="0"/>
              <w:ind w:firstLine="0"/>
              <w:jc w:val="left"/>
            </w:pPr>
            <w:r>
              <w:rPr>
                <w:b w:val="0"/>
                <w:sz w:val="18"/>
              </w:rPr>
              <w:t>偏低残差波动</w:t>
            </w:r>
          </w:p>
        </w:tc>
      </w:tr>
      <w:tr>
        <w:trPr>
          <w:cantSplit/>
        </w:trPr>
        <w:tc>
          <w:tcPr>
            <w:tcW w:type="dxa" w:w="1587"/>
            <w:vAlign w:val="center"/>
          </w:tcPr>
          <w:p>
            <w:pPr>
              <w:keepNext w:val="0"/>
              <w:spacing w:line="276" w:lineRule="auto" w:after="0"/>
              <w:ind w:firstLine="0"/>
              <w:jc w:val="left"/>
            </w:pPr>
            <w:r>
              <w:rPr>
                <w:b w:val="0"/>
                <w:sz w:val="18"/>
              </w:rPr>
              <w:t>OVERNIGHT</w:t>
            </w:r>
          </w:p>
        </w:tc>
        <w:tc>
          <w:tcPr>
            <w:tcW w:type="dxa" w:w="4932"/>
            <w:vAlign w:val="center"/>
          </w:tcPr>
          <w:p>
            <w:pPr>
              <w:keepNext w:val="0"/>
              <w:spacing w:line="276" w:lineRule="auto" w:after="0"/>
              <w:ind w:firstLine="0"/>
              <w:jc w:val="left"/>
            </w:pPr>
            <w:r>
              <w:rPr>
                <w:b w:val="0"/>
                <w:sz w:val="18"/>
              </w:rPr>
              <w:t>21日隔夜收益复合值</w:t>
            </w:r>
          </w:p>
        </w:tc>
        <w:tc>
          <w:tcPr>
            <w:tcW w:type="dxa" w:w="2494"/>
            <w:vAlign w:val="center"/>
          </w:tcPr>
          <w:p>
            <w:pPr>
              <w:keepNext w:val="0"/>
              <w:spacing w:line="276" w:lineRule="auto" w:after="0"/>
              <w:ind w:firstLine="0"/>
              <w:jc w:val="left"/>
            </w:pPr>
            <w:r>
              <w:rPr>
                <w:b w:val="0"/>
                <w:sz w:val="18"/>
              </w:rPr>
              <w:t>正向</w:t>
            </w:r>
          </w:p>
        </w:tc>
      </w:tr>
      <w:tr>
        <w:trPr>
          <w:cantSplit/>
        </w:trPr>
        <w:tc>
          <w:tcPr>
            <w:tcW w:type="dxa" w:w="1587"/>
            <w:vAlign w:val="center"/>
          </w:tcPr>
          <w:p>
            <w:pPr>
              <w:keepNext w:val="0"/>
              <w:spacing w:line="276" w:lineRule="auto" w:after="0"/>
              <w:ind w:firstLine="0"/>
              <w:jc w:val="left"/>
            </w:pPr>
            <w:r>
              <w:rPr>
                <w:b w:val="0"/>
                <w:sz w:val="18"/>
              </w:rPr>
              <w:t>LEAD_LAG</w:t>
            </w:r>
          </w:p>
        </w:tc>
        <w:tc>
          <w:tcPr>
            <w:tcW w:type="dxa" w:w="4932"/>
            <w:vAlign w:val="center"/>
          </w:tcPr>
          <w:p>
            <w:pPr>
              <w:keepNext w:val="0"/>
              <w:spacing w:line="276" w:lineRule="auto" w:after="0"/>
              <w:ind w:firstLine="0"/>
              <w:jc w:val="left"/>
            </w:pPr>
            <w:r>
              <w:rPr>
                <w:b w:val="0"/>
                <w:sz w:val="18"/>
              </w:rPr>
              <w:t>−个股收益对滞后一期市场收益的回归系数</w:t>
            </w:r>
          </w:p>
        </w:tc>
        <w:tc>
          <w:tcPr>
            <w:tcW w:type="dxa" w:w="2494"/>
            <w:vAlign w:val="center"/>
          </w:tcPr>
          <w:p>
            <w:pPr>
              <w:keepNext w:val="0"/>
              <w:spacing w:line="276" w:lineRule="auto" w:after="0"/>
              <w:ind w:firstLine="0"/>
              <w:jc w:val="left"/>
            </w:pPr>
            <w:r>
              <w:rPr>
                <w:b w:val="0"/>
                <w:sz w:val="18"/>
              </w:rPr>
              <w:t>反向滞后暴露</w:t>
            </w:r>
          </w:p>
        </w:tc>
      </w:tr>
      <w:tr>
        <w:trPr>
          <w:cantSplit/>
        </w:trPr>
        <w:tc>
          <w:tcPr>
            <w:tcW w:type="dxa" w:w="1587"/>
            <w:vAlign w:val="center"/>
          </w:tcPr>
          <w:p>
            <w:pPr>
              <w:keepNext w:val="0"/>
              <w:spacing w:line="276" w:lineRule="auto" w:after="0"/>
              <w:ind w:firstLine="0"/>
              <w:jc w:val="left"/>
            </w:pPr>
            <w:r>
              <w:rPr>
                <w:b w:val="0"/>
                <w:sz w:val="18"/>
              </w:rPr>
              <w:t>CO_SKEW</w:t>
            </w:r>
          </w:p>
        </w:tc>
        <w:tc>
          <w:tcPr>
            <w:tcW w:type="dxa" w:w="4932"/>
            <w:vAlign w:val="center"/>
          </w:tcPr>
          <w:p>
            <w:pPr>
              <w:keepNext w:val="0"/>
              <w:spacing w:line="276" w:lineRule="auto" w:after="0"/>
              <w:ind w:firstLine="0"/>
              <w:jc w:val="left"/>
            </w:pPr>
            <w:r>
              <w:rPr>
                <w:b w:val="0"/>
                <w:sz w:val="18"/>
              </w:rPr>
              <w:t>滚动矩构造的负市场协偏度代理</w:t>
            </w:r>
          </w:p>
        </w:tc>
        <w:tc>
          <w:tcPr>
            <w:tcW w:type="dxa" w:w="2494"/>
            <w:vAlign w:val="center"/>
          </w:tcPr>
          <w:p>
            <w:pPr>
              <w:keepNext w:val="0"/>
              <w:spacing w:line="276" w:lineRule="auto" w:after="0"/>
              <w:ind w:firstLine="0"/>
              <w:jc w:val="left"/>
            </w:pPr>
            <w:r>
              <w:rPr>
                <w:b w:val="0"/>
                <w:sz w:val="18"/>
              </w:rPr>
              <w:t>偏低协偏度</w:t>
            </w:r>
          </w:p>
        </w:tc>
      </w:tr>
      <w:tr>
        <w:trPr>
          <w:cantSplit/>
        </w:trPr>
        <w:tc>
          <w:tcPr>
            <w:tcW w:type="dxa" w:w="1587"/>
            <w:vAlign w:val="center"/>
          </w:tcPr>
          <w:p>
            <w:pPr>
              <w:keepNext w:val="0"/>
              <w:spacing w:line="276" w:lineRule="auto" w:after="0"/>
              <w:ind w:firstLine="0"/>
              <w:jc w:val="left"/>
            </w:pPr>
            <w:r>
              <w:rPr>
                <w:b w:val="0"/>
                <w:sz w:val="18"/>
              </w:rPr>
              <w:t>BETA</w:t>
            </w:r>
          </w:p>
        </w:tc>
        <w:tc>
          <w:tcPr>
            <w:tcW w:type="dxa" w:w="4932"/>
            <w:vAlign w:val="center"/>
          </w:tcPr>
          <w:p>
            <w:pPr>
              <w:keepNext w:val="0"/>
              <w:spacing w:line="276" w:lineRule="auto" w:after="0"/>
              <w:ind w:firstLine="0"/>
              <w:jc w:val="left"/>
            </w:pPr>
            <w:r>
              <w:rPr>
                <w:b w:val="0"/>
                <w:sz w:val="18"/>
              </w:rPr>
              <w:t>−252日市场beta</w:t>
            </w:r>
          </w:p>
        </w:tc>
        <w:tc>
          <w:tcPr>
            <w:tcW w:type="dxa" w:w="2494"/>
            <w:vAlign w:val="center"/>
          </w:tcPr>
          <w:p>
            <w:pPr>
              <w:keepNext w:val="0"/>
              <w:spacing w:line="276" w:lineRule="auto" w:after="0"/>
              <w:ind w:firstLine="0"/>
              <w:jc w:val="left"/>
            </w:pPr>
            <w:r>
              <w:rPr>
                <w:b w:val="0"/>
                <w:sz w:val="18"/>
              </w:rPr>
              <w:t>偏低市场暴露</w:t>
            </w:r>
          </w:p>
        </w:tc>
      </w:tr>
      <w:tr>
        <w:trPr>
          <w:cantSplit/>
        </w:trPr>
        <w:tc>
          <w:tcPr>
            <w:tcW w:type="dxa" w:w="1587"/>
            <w:vAlign w:val="center"/>
          </w:tcPr>
          <w:p>
            <w:pPr>
              <w:keepNext w:val="0"/>
              <w:spacing w:line="276" w:lineRule="auto" w:after="0"/>
              <w:ind w:firstLine="0"/>
              <w:jc w:val="left"/>
            </w:pPr>
            <w:r>
              <w:rPr>
                <w:b w:val="0"/>
                <w:sz w:val="18"/>
              </w:rPr>
              <w:t>REV_LT</w:t>
            </w:r>
          </w:p>
        </w:tc>
        <w:tc>
          <w:tcPr>
            <w:tcW w:type="dxa" w:w="4932"/>
            <w:vAlign w:val="center"/>
          </w:tcPr>
          <w:p>
            <w:pPr>
              <w:keepNext w:val="0"/>
              <w:spacing w:line="276" w:lineRule="auto" w:after="0"/>
              <w:ind w:firstLine="0"/>
              <w:jc w:val="left"/>
            </w:pPr>
            <w:r>
              <w:rPr>
                <w:b w:val="0"/>
                <w:sz w:val="18"/>
              </w:rPr>
              <w:t>−(P[t−252]/P[t−756]−1)</w:t>
            </w:r>
          </w:p>
        </w:tc>
        <w:tc>
          <w:tcPr>
            <w:tcW w:type="dxa" w:w="2494"/>
            <w:vAlign w:val="center"/>
          </w:tcPr>
          <w:p>
            <w:pPr>
              <w:keepNext w:val="0"/>
              <w:spacing w:line="276" w:lineRule="auto" w:after="0"/>
              <w:ind w:firstLine="0"/>
              <w:jc w:val="left"/>
            </w:pPr>
            <w:r>
              <w:rPr>
                <w:b w:val="0"/>
                <w:sz w:val="18"/>
              </w:rPr>
              <w:t>跳过最近一年的两年反转</w:t>
            </w:r>
          </w:p>
        </w:tc>
      </w:tr>
      <w:tr>
        <w:trPr>
          <w:cantSplit/>
        </w:trPr>
        <w:tc>
          <w:tcPr>
            <w:tcW w:type="dxa" w:w="1587"/>
            <w:vAlign w:val="center"/>
          </w:tcPr>
          <w:p>
            <w:pPr>
              <w:keepNext w:val="0"/>
              <w:spacing w:line="276" w:lineRule="auto" w:after="0"/>
              <w:ind w:firstLine="0"/>
              <w:jc w:val="left"/>
            </w:pPr>
            <w:r>
              <w:rPr>
                <w:b w:val="0"/>
                <w:sz w:val="18"/>
              </w:rPr>
              <w:t>SIZE</w:t>
            </w:r>
          </w:p>
        </w:tc>
        <w:tc>
          <w:tcPr>
            <w:tcW w:type="dxa" w:w="4932"/>
            <w:vAlign w:val="center"/>
          </w:tcPr>
          <w:p>
            <w:pPr>
              <w:keepNext w:val="0"/>
              <w:spacing w:line="276" w:lineRule="auto" w:after="0"/>
              <w:ind w:firstLine="0"/>
              <w:jc w:val="left"/>
            </w:pPr>
            <w:r>
              <w:rPr>
                <w:b w:val="0"/>
                <w:sz w:val="18"/>
              </w:rPr>
              <w:t>−log流通市值，随后仍做市值中性化</w:t>
            </w:r>
          </w:p>
        </w:tc>
        <w:tc>
          <w:tcPr>
            <w:tcW w:type="dxa" w:w="2494"/>
            <w:vAlign w:val="center"/>
          </w:tcPr>
          <w:p>
            <w:pPr>
              <w:keepNext w:val="0"/>
              <w:spacing w:line="276" w:lineRule="auto" w:after="0"/>
              <w:ind w:firstLine="0"/>
              <w:jc w:val="left"/>
            </w:pPr>
            <w:r>
              <w:rPr>
                <w:b w:val="0"/>
                <w:sz w:val="18"/>
              </w:rPr>
              <w:t>非未经处理的规模暴露</w:t>
            </w:r>
          </w:p>
        </w:tc>
      </w:tr>
      <w:tr>
        <w:trPr>
          <w:cantSplit/>
        </w:trPr>
        <w:tc>
          <w:tcPr>
            <w:tcW w:type="dxa" w:w="1587"/>
            <w:vAlign w:val="center"/>
          </w:tcPr>
          <w:p>
            <w:pPr>
              <w:keepNext w:val="0"/>
              <w:spacing w:line="276" w:lineRule="auto" w:after="0"/>
              <w:ind w:firstLine="0"/>
              <w:jc w:val="left"/>
            </w:pPr>
            <w:r>
              <w:rPr>
                <w:b w:val="0"/>
                <w:sz w:val="18"/>
              </w:rPr>
              <w:t>HIGH52</w:t>
            </w:r>
          </w:p>
        </w:tc>
        <w:tc>
          <w:tcPr>
            <w:tcW w:type="dxa" w:w="4932"/>
            <w:vAlign w:val="center"/>
          </w:tcPr>
          <w:p>
            <w:pPr>
              <w:keepNext w:val="0"/>
              <w:spacing w:line="276" w:lineRule="auto" w:after="0"/>
              <w:ind w:firstLine="0"/>
              <w:jc w:val="left"/>
            </w:pPr>
            <w:r>
              <w:rPr>
                <w:b w:val="0"/>
                <w:sz w:val="18"/>
              </w:rPr>
              <w:t>当前收盘/252日最高价</w:t>
            </w:r>
          </w:p>
        </w:tc>
        <w:tc>
          <w:tcPr>
            <w:tcW w:type="dxa" w:w="2494"/>
            <w:vAlign w:val="center"/>
          </w:tcPr>
          <w:p>
            <w:pPr>
              <w:keepNext w:val="0"/>
              <w:spacing w:line="276" w:lineRule="auto" w:after="0"/>
              <w:ind w:firstLine="0"/>
              <w:jc w:val="left"/>
            </w:pPr>
            <w:r>
              <w:rPr>
                <w:b w:val="0"/>
                <w:sz w:val="18"/>
              </w:rPr>
              <w:t>正向</w:t>
            </w:r>
          </w:p>
        </w:tc>
      </w:tr>
      <w:tr>
        <w:trPr>
          <w:cantSplit/>
        </w:trPr>
        <w:tc>
          <w:tcPr>
            <w:tcW w:type="dxa" w:w="1587"/>
            <w:vAlign w:val="center"/>
          </w:tcPr>
          <w:p>
            <w:pPr>
              <w:keepNext w:val="0"/>
              <w:spacing w:line="276" w:lineRule="auto" w:after="0"/>
              <w:ind w:firstLine="0"/>
              <w:jc w:val="left"/>
            </w:pPr>
            <w:r>
              <w:rPr>
                <w:b w:val="0"/>
                <w:sz w:val="18"/>
              </w:rPr>
              <w:t>RES_MOM</w:t>
            </w:r>
          </w:p>
        </w:tc>
        <w:tc>
          <w:tcPr>
            <w:tcW w:type="dxa" w:w="4932"/>
            <w:vAlign w:val="center"/>
          </w:tcPr>
          <w:p>
            <w:pPr>
              <w:keepNext w:val="0"/>
              <w:spacing w:line="276" w:lineRule="auto" w:after="0"/>
              <w:ind w:firstLine="0"/>
              <w:jc w:val="left"/>
            </w:pPr>
            <w:r>
              <w:rPr>
                <w:b w:val="0"/>
                <w:sz w:val="18"/>
              </w:rPr>
              <w:t>231日市场残差收益和，滞后21日</w:t>
            </w:r>
          </w:p>
        </w:tc>
        <w:tc>
          <w:tcPr>
            <w:tcW w:type="dxa" w:w="2494"/>
            <w:vAlign w:val="center"/>
          </w:tcPr>
          <w:p>
            <w:pPr>
              <w:keepNext w:val="0"/>
              <w:spacing w:line="276" w:lineRule="auto" w:after="0"/>
              <w:ind w:firstLine="0"/>
              <w:jc w:val="left"/>
            </w:pPr>
            <w:r>
              <w:rPr>
                <w:b w:val="0"/>
                <w:sz w:val="18"/>
              </w:rPr>
              <w:t>正向残差动量</w:t>
            </w:r>
          </w:p>
        </w:tc>
      </w:tr>
    </w:tbl>
    <w:p>
      <w:pPr>
        <w:pStyle w:val="Caption"/>
        <w:spacing w:before="80" w:after="180"/>
      </w:pPr>
      <w:r>
        <w:t>来源：ashare_factor_strategy.py 与 strategy_v2.py。表中方向指进入中性化前的符号；中性化及标准化后进入合成。</w:t>
      </w:r>
    </w:p>
    <w:p>
      <w:pPr>
        <w:pStyle w:val="Heading1"/>
      </w:pPr>
      <w:r>
        <w:t>附录B 参数选择与结果复核索引</w:t>
      </w:r>
    </w:p>
    <w:p>
      <w:pPr>
        <w:jc w:val="both"/>
      </w:pPr>
      <w:r>
        <w:t>模型参数具有三种来源：经济与实施约束、计算与统计稳定性设定，以及训练期内验证选择。1/17是透明先验，50股及3%上限是分散化设定，21日是研究持有周期，缓冲与不交易带面向换手控制；它们并非由文献推导出的唯一最优值。λ、学习率和weight decay则由所记录网格及内层验证选择，不能在看到最终结果后另行赋予“最优”解释。</w:t>
      </w:r>
    </w:p>
    <w:p>
      <w:pPr>
        <w:pStyle w:val="Caption"/>
        <w:keepNext/>
      </w:pPr>
      <w:r>
        <w:rPr>
          <w:b/>
        </w:rPr>
        <w:t>表B1 参数来源与解释</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70" w:type="dxa"/>
          <w:bottom w:w="70" w:type="dxa"/>
          <w:left w:w="90" w:type="dxa"/>
          <w:right w:w="90" w:type="dxa"/>
        </w:tblCellMar>
      </w:tblPr>
      <w:tblGrid>
        <w:gridCol w:w="1871"/>
        <w:gridCol w:w="3005"/>
        <w:gridCol w:w="4139"/>
      </w:tblGrid>
      <w:tr>
        <w:trPr>
          <w:cantSplit/>
          <w:tblHeader/>
        </w:trPr>
        <w:tc>
          <w:tcPr>
            <w:tcW w:type="dxa" w:w="1871"/>
            <w:vAlign w:val="center"/>
            <w:shd w:fill="E7EDF2"/>
          </w:tcPr>
          <w:p>
            <w:pPr>
              <w:keepNext/>
              <w:spacing w:line="276" w:lineRule="auto" w:after="0"/>
              <w:ind w:firstLine="0"/>
              <w:jc w:val="center"/>
            </w:pPr>
            <w:r>
              <w:rPr>
                <w:b/>
                <w:sz w:val="18"/>
              </w:rPr>
              <w:t>参数</w:t>
            </w:r>
          </w:p>
        </w:tc>
        <w:tc>
          <w:tcPr>
            <w:tcW w:type="dxa" w:w="3005"/>
            <w:vAlign w:val="center"/>
            <w:shd w:fill="E7EDF2"/>
          </w:tcPr>
          <w:p>
            <w:pPr>
              <w:keepNext/>
              <w:spacing w:line="276" w:lineRule="auto" w:after="0"/>
              <w:ind w:firstLine="0"/>
              <w:jc w:val="center"/>
            </w:pPr>
            <w:r>
              <w:rPr>
                <w:b/>
                <w:sz w:val="18"/>
              </w:rPr>
              <w:t>实际设置</w:t>
            </w:r>
          </w:p>
        </w:tc>
        <w:tc>
          <w:tcPr>
            <w:tcW w:type="dxa" w:w="4139"/>
            <w:vAlign w:val="center"/>
            <w:shd w:fill="E7EDF2"/>
          </w:tcPr>
          <w:p>
            <w:pPr>
              <w:keepNext/>
              <w:spacing w:line="276" w:lineRule="auto" w:after="0"/>
              <w:ind w:firstLine="0"/>
              <w:jc w:val="center"/>
            </w:pPr>
            <w:r>
              <w:rPr>
                <w:b/>
                <w:sz w:val="18"/>
              </w:rPr>
              <w:t>选择与解释</w:t>
            </w:r>
          </w:p>
        </w:tc>
      </w:tr>
      <w:tr>
        <w:trPr>
          <w:cantSplit/>
        </w:trPr>
        <w:tc>
          <w:tcPr>
            <w:tcW w:type="dxa" w:w="1871"/>
            <w:vAlign w:val="center"/>
          </w:tcPr>
          <w:p>
            <w:pPr>
              <w:keepNext/>
              <w:spacing w:line="276" w:lineRule="auto" w:after="0"/>
              <w:ind w:firstLine="0"/>
              <w:jc w:val="left"/>
            </w:pPr>
            <w:r>
              <w:rPr>
                <w:b w:val="0"/>
                <w:sz w:val="18"/>
              </w:rPr>
              <w:t>F17因子权重</w:t>
            </w:r>
          </w:p>
        </w:tc>
        <w:tc>
          <w:tcPr>
            <w:tcW w:type="dxa" w:w="3005"/>
            <w:vAlign w:val="center"/>
          </w:tcPr>
          <w:p>
            <w:pPr>
              <w:keepNext/>
              <w:spacing w:line="276" w:lineRule="auto" w:after="0"/>
              <w:ind w:firstLine="0"/>
              <w:jc w:val="left"/>
            </w:pPr>
            <w:r>
              <w:rPr>
                <w:b w:val="0"/>
                <w:sz w:val="18"/>
              </w:rPr>
              <w:t>可用因子等权；完整时1/17</w:t>
            </w:r>
          </w:p>
        </w:tc>
        <w:tc>
          <w:tcPr>
            <w:tcW w:type="dxa" w:w="4139"/>
            <w:vAlign w:val="center"/>
          </w:tcPr>
          <w:p>
            <w:pPr>
              <w:keepNext/>
              <w:spacing w:line="276" w:lineRule="auto" w:after="0"/>
              <w:ind w:firstLine="0"/>
              <w:jc w:val="left"/>
            </w:pPr>
            <w:r>
              <w:rPr>
                <w:b w:val="0"/>
                <w:sz w:val="18"/>
              </w:rPr>
              <w:t>透明先验；不是估计出的最优收益权重</w:t>
            </w:r>
          </w:p>
        </w:tc>
      </w:tr>
      <w:tr>
        <w:trPr>
          <w:cantSplit/>
        </w:trPr>
        <w:tc>
          <w:tcPr>
            <w:tcW w:type="dxa" w:w="1871"/>
            <w:vAlign w:val="center"/>
          </w:tcPr>
          <w:p>
            <w:pPr>
              <w:keepNext/>
              <w:spacing w:line="276" w:lineRule="auto" w:after="0"/>
              <w:ind w:firstLine="0"/>
              <w:jc w:val="left"/>
            </w:pPr>
            <w:r>
              <w:rPr>
                <w:b w:val="0"/>
                <w:sz w:val="18"/>
              </w:rPr>
              <w:t>F17股票权重</w:t>
            </w:r>
          </w:p>
        </w:tc>
        <w:tc>
          <w:tcPr>
            <w:tcW w:type="dxa" w:w="3005"/>
            <w:vAlign w:val="center"/>
          </w:tcPr>
          <w:p>
            <w:pPr>
              <w:keepNext/>
              <w:spacing w:line="276" w:lineRule="auto" w:after="0"/>
              <w:ind w:firstLine="0"/>
              <w:jc w:val="left"/>
            </w:pPr>
            <w:r>
              <w:rPr>
                <w:b w:val="0"/>
                <w:sz w:val="18"/>
              </w:rPr>
              <w:t>50股；通常2%；上限3%</w:t>
            </w:r>
          </w:p>
        </w:tc>
        <w:tc>
          <w:tcPr>
            <w:tcW w:type="dxa" w:w="4139"/>
            <w:vAlign w:val="center"/>
          </w:tcPr>
          <w:p>
            <w:pPr>
              <w:keepNext/>
              <w:spacing w:line="276" w:lineRule="auto" w:after="0"/>
              <w:ind w:firstLine="0"/>
              <w:jc w:val="left"/>
            </w:pPr>
            <w:r>
              <w:rPr>
                <w:b w:val="0"/>
                <w:sz w:val="18"/>
              </w:rPr>
              <w:t>分散化与集中度控制</w:t>
            </w:r>
          </w:p>
        </w:tc>
      </w:tr>
      <w:tr>
        <w:trPr>
          <w:cantSplit/>
        </w:trPr>
        <w:tc>
          <w:tcPr>
            <w:tcW w:type="dxa" w:w="1871"/>
            <w:vAlign w:val="center"/>
          </w:tcPr>
          <w:p>
            <w:pPr>
              <w:keepNext w:val="0"/>
              <w:spacing w:line="276" w:lineRule="auto" w:after="0"/>
              <w:ind w:firstLine="0"/>
              <w:jc w:val="left"/>
            </w:pPr>
            <w:r>
              <w:rPr>
                <w:b w:val="0"/>
                <w:sz w:val="18"/>
              </w:rPr>
              <w:t>信号与缓冲</w:t>
            </w:r>
          </w:p>
        </w:tc>
        <w:tc>
          <w:tcPr>
            <w:tcW w:type="dxa" w:w="3005"/>
            <w:vAlign w:val="center"/>
          </w:tcPr>
          <w:p>
            <w:pPr>
              <w:keepNext w:val="0"/>
              <w:spacing w:line="276" w:lineRule="auto" w:after="0"/>
              <w:ind w:firstLine="0"/>
              <w:jc w:val="left"/>
            </w:pPr>
            <w:r>
              <w:rPr>
                <w:b w:val="0"/>
                <w:sz w:val="18"/>
              </w:rPr>
              <w:t>21日；50入选、80名持有缓冲</w:t>
            </w:r>
          </w:p>
        </w:tc>
        <w:tc>
          <w:tcPr>
            <w:tcW w:type="dxa" w:w="4139"/>
            <w:vAlign w:val="center"/>
          </w:tcPr>
          <w:p>
            <w:pPr>
              <w:keepNext w:val="0"/>
              <w:spacing w:line="276" w:lineRule="auto" w:after="0"/>
              <w:ind w:firstLine="0"/>
              <w:jc w:val="left"/>
            </w:pPr>
            <w:r>
              <w:rPr>
                <w:b w:val="0"/>
                <w:sz w:val="18"/>
              </w:rPr>
              <w:t>约月度信号，控制边界换手</w:t>
            </w:r>
          </w:p>
        </w:tc>
      </w:tr>
      <w:tr>
        <w:trPr>
          <w:cantSplit/>
        </w:trPr>
        <w:tc>
          <w:tcPr>
            <w:tcW w:type="dxa" w:w="1871"/>
            <w:vAlign w:val="center"/>
          </w:tcPr>
          <w:p>
            <w:pPr>
              <w:keepNext w:val="0"/>
              <w:spacing w:line="276" w:lineRule="auto" w:after="0"/>
              <w:ind w:firstLine="0"/>
              <w:jc w:val="left"/>
            </w:pPr>
            <w:r>
              <w:rPr>
                <w:b w:val="0"/>
                <w:sz w:val="18"/>
              </w:rPr>
              <w:t>Ridge λ</w:t>
            </w:r>
          </w:p>
        </w:tc>
        <w:tc>
          <w:tcPr>
            <w:tcW w:type="dxa" w:w="3005"/>
            <w:vAlign w:val="center"/>
          </w:tcPr>
          <w:p>
            <w:pPr>
              <w:keepNext w:val="0"/>
              <w:spacing w:line="276" w:lineRule="auto" w:after="0"/>
              <w:ind w:firstLine="0"/>
              <w:jc w:val="left"/>
            </w:pPr>
            <w:r>
              <w:rPr>
                <w:b w:val="0"/>
                <w:sz w:val="18"/>
              </w:rPr>
              <w:t>0.003至1000 共12候选</w:t>
            </w:r>
          </w:p>
        </w:tc>
        <w:tc>
          <w:tcPr>
            <w:tcW w:type="dxa" w:w="4139"/>
            <w:vAlign w:val="center"/>
          </w:tcPr>
          <w:p>
            <w:pPr>
              <w:keepNext w:val="0"/>
              <w:spacing w:line="276" w:lineRule="auto" w:after="0"/>
              <w:ind w:firstLine="0"/>
              <w:jc w:val="left"/>
            </w:pPr>
            <w:r>
              <w:rPr>
                <w:b w:val="0"/>
                <w:sz w:val="18"/>
              </w:rPr>
              <w:t>训练窗内两个扩展验证折平均RankIC</w:t>
            </w:r>
          </w:p>
        </w:tc>
      </w:tr>
      <w:tr>
        <w:trPr>
          <w:cantSplit/>
        </w:trPr>
        <w:tc>
          <w:tcPr>
            <w:tcW w:type="dxa" w:w="1871"/>
            <w:vAlign w:val="center"/>
          </w:tcPr>
          <w:p>
            <w:pPr>
              <w:keepNext w:val="0"/>
              <w:spacing w:line="276" w:lineRule="auto" w:after="0"/>
              <w:ind w:firstLine="0"/>
              <w:jc w:val="left"/>
            </w:pPr>
            <w:r>
              <w:rPr>
                <w:b w:val="0"/>
                <w:sz w:val="18"/>
              </w:rPr>
              <w:t>验证期Ridge→equal λ</w:t>
            </w:r>
          </w:p>
        </w:tc>
        <w:tc>
          <w:tcPr>
            <w:tcW w:type="dxa" w:w="3005"/>
            <w:vAlign w:val="center"/>
          </w:tcPr>
          <w:p>
            <w:pPr>
              <w:keepNext w:val="0"/>
              <w:spacing w:line="276" w:lineRule="auto" w:after="0"/>
              <w:ind w:firstLine="0"/>
              <w:jc w:val="left"/>
            </w:pPr>
            <w:r>
              <w:rPr>
                <w:b w:val="0"/>
                <w:sz w:val="18"/>
              </w:rPr>
              <w:t>2023为300；2024/25为1000；2026为1</w:t>
            </w:r>
          </w:p>
        </w:tc>
        <w:tc>
          <w:tcPr>
            <w:tcW w:type="dxa" w:w="4139"/>
            <w:vAlign w:val="center"/>
          </w:tcPr>
          <w:p>
            <w:pPr>
              <w:keepNext w:val="0"/>
              <w:spacing w:line="276" w:lineRule="auto" w:after="0"/>
              <w:ind w:firstLine="0"/>
              <w:jc w:val="left"/>
            </w:pPr>
            <w:r>
              <w:rPr>
                <w:b w:val="0"/>
                <w:sz w:val="18"/>
              </w:rPr>
              <w:t>逐年记录；不事后替换推荐值</w:t>
            </w:r>
          </w:p>
        </w:tc>
      </w:tr>
      <w:tr>
        <w:trPr>
          <w:cantSplit/>
        </w:trPr>
        <w:tc>
          <w:tcPr>
            <w:tcW w:type="dxa" w:w="1871"/>
            <w:vAlign w:val="center"/>
          </w:tcPr>
          <w:p>
            <w:pPr>
              <w:keepNext w:val="0"/>
              <w:spacing w:line="276" w:lineRule="auto" w:after="0"/>
              <w:ind w:firstLine="0"/>
              <w:jc w:val="left"/>
            </w:pPr>
            <w:r>
              <w:rPr>
                <w:b w:val="0"/>
                <w:sz w:val="18"/>
              </w:rPr>
              <w:t>Brandt式收缩a</w:t>
            </w:r>
          </w:p>
        </w:tc>
        <w:tc>
          <w:tcPr>
            <w:tcW w:type="dxa" w:w="3005"/>
            <w:vAlign w:val="center"/>
          </w:tcPr>
          <w:p>
            <w:pPr>
              <w:keepNext w:val="0"/>
              <w:spacing w:line="276" w:lineRule="auto" w:after="0"/>
              <w:ind w:firstLine="0"/>
              <w:jc w:val="left"/>
            </w:pPr>
            <w:r>
              <w:rPr>
                <w:b w:val="0"/>
                <w:sz w:val="18"/>
              </w:rPr>
              <w:t>0、0.25、0.5、0.75、1</w:t>
            </w:r>
          </w:p>
        </w:tc>
        <w:tc>
          <w:tcPr>
            <w:tcW w:type="dxa" w:w="4139"/>
            <w:vAlign w:val="center"/>
          </w:tcPr>
          <w:p>
            <w:pPr>
              <w:keepNext w:val="0"/>
              <w:spacing w:line="276" w:lineRule="auto" w:after="0"/>
              <w:ind w:firstLine="0"/>
              <w:jc w:val="left"/>
            </w:pPr>
            <w:r>
              <w:rPr>
                <w:b w:val="0"/>
                <w:sz w:val="18"/>
              </w:rPr>
              <w:t>验证期各年均选1，回到等权</w:t>
            </w:r>
          </w:p>
        </w:tc>
      </w:tr>
      <w:tr>
        <w:trPr>
          <w:cantSplit/>
        </w:trPr>
        <w:tc>
          <w:tcPr>
            <w:tcW w:type="dxa" w:w="1871"/>
            <w:vAlign w:val="center"/>
          </w:tcPr>
          <w:p>
            <w:pPr>
              <w:keepNext w:val="0"/>
              <w:spacing w:line="276" w:lineRule="auto" w:after="0"/>
              <w:ind w:firstLine="0"/>
              <w:jc w:val="left"/>
            </w:pPr>
            <w:r>
              <w:rPr>
                <w:b w:val="0"/>
                <w:sz w:val="18"/>
              </w:rPr>
              <w:t>政策p1</w:t>
            </w:r>
          </w:p>
        </w:tc>
        <w:tc>
          <w:tcPr>
            <w:tcW w:type="dxa" w:w="3005"/>
            <w:vAlign w:val="center"/>
          </w:tcPr>
          <w:p>
            <w:pPr>
              <w:keepNext w:val="0"/>
              <w:spacing w:line="276" w:lineRule="auto" w:after="0"/>
              <w:ind w:firstLine="0"/>
              <w:jc w:val="left"/>
            </w:pPr>
            <w:r>
              <w:rPr>
                <w:b w:val="0"/>
                <w:sz w:val="18"/>
              </w:rPr>
              <w:t>70→32→16→1；3种子</w:t>
            </w:r>
          </w:p>
        </w:tc>
        <w:tc>
          <w:tcPr>
            <w:tcW w:type="dxa" w:w="4139"/>
            <w:vAlign w:val="center"/>
          </w:tcPr>
          <w:p>
            <w:pPr>
              <w:keepNext w:val="0"/>
              <w:spacing w:line="276" w:lineRule="auto" w:after="0"/>
              <w:ind w:firstLine="0"/>
              <w:jc w:val="left"/>
            </w:pPr>
            <w:r>
              <w:rPr>
                <w:b w:val="0"/>
                <w:sz w:val="18"/>
              </w:rPr>
              <w:t>lr0.005、L2 0.001、dropout0.1</w:t>
            </w:r>
          </w:p>
        </w:tc>
      </w:tr>
      <w:tr>
        <w:trPr>
          <w:cantSplit/>
        </w:trPr>
        <w:tc>
          <w:tcPr>
            <w:tcW w:type="dxa" w:w="1871"/>
            <w:vAlign w:val="center"/>
          </w:tcPr>
          <w:p>
            <w:pPr>
              <w:keepNext w:val="0"/>
              <w:spacing w:line="276" w:lineRule="auto" w:after="0"/>
              <w:ind w:firstLine="0"/>
              <w:jc w:val="left"/>
            </w:pPr>
            <w:r>
              <w:rPr>
                <w:b w:val="0"/>
                <w:sz w:val="18"/>
              </w:rPr>
              <w:t>政策温度</w:t>
            </w:r>
          </w:p>
        </w:tc>
        <w:tc>
          <w:tcPr>
            <w:tcW w:type="dxa" w:w="3005"/>
            <w:vAlign w:val="center"/>
          </w:tcPr>
          <w:p>
            <w:pPr>
              <w:keepNext w:val="0"/>
              <w:spacing w:line="276" w:lineRule="auto" w:after="0"/>
              <w:ind w:firstLine="0"/>
              <w:jc w:val="left"/>
            </w:pPr>
            <w:r>
              <w:rPr>
                <w:b w:val="0"/>
                <w:sz w:val="18"/>
              </w:rPr>
              <w:t>p1由1退火至0.1；v3试0.6</w:t>
            </w:r>
          </w:p>
        </w:tc>
        <w:tc>
          <w:tcPr>
            <w:tcW w:type="dxa" w:w="4139"/>
            <w:vAlign w:val="center"/>
          </w:tcPr>
          <w:p>
            <w:pPr>
              <w:keepNext w:val="0"/>
              <w:spacing w:line="276" w:lineRule="auto" w:after="0"/>
              <w:ind w:firstLine="0"/>
              <w:jc w:val="left"/>
            </w:pPr>
            <w:r>
              <w:rPr>
                <w:b w:val="0"/>
                <w:sz w:val="18"/>
              </w:rPr>
              <w:t>控制集中度；不是理论最优温度</w:t>
            </w:r>
          </w:p>
        </w:tc>
      </w:tr>
      <w:tr>
        <w:trPr>
          <w:cantSplit/>
        </w:trPr>
        <w:tc>
          <w:tcPr>
            <w:tcW w:type="dxa" w:w="1871"/>
            <w:vAlign w:val="center"/>
          </w:tcPr>
          <w:p>
            <w:pPr>
              <w:keepNext w:val="0"/>
              <w:spacing w:line="276" w:lineRule="auto" w:after="0"/>
              <w:ind w:firstLine="0"/>
              <w:jc w:val="left"/>
            </w:pPr>
            <w:r>
              <w:rPr>
                <w:b w:val="0"/>
                <w:sz w:val="18"/>
              </w:rPr>
              <w:t>NN v4/v5</w:t>
            </w:r>
          </w:p>
        </w:tc>
        <w:tc>
          <w:tcPr>
            <w:tcW w:type="dxa" w:w="3005"/>
            <w:vAlign w:val="center"/>
          </w:tcPr>
          <w:p>
            <w:pPr>
              <w:keepNext w:val="0"/>
              <w:spacing w:line="276" w:lineRule="auto" w:after="0"/>
              <w:ind w:firstLine="0"/>
              <w:jc w:val="left"/>
            </w:pPr>
            <w:r>
              <w:rPr>
                <w:b w:val="0"/>
                <w:sz w:val="18"/>
              </w:rPr>
              <w:t>34/42→32→16→1；3种子</w:t>
            </w:r>
          </w:p>
        </w:tc>
        <w:tc>
          <w:tcPr>
            <w:tcW w:type="dxa" w:w="4139"/>
            <w:vAlign w:val="center"/>
          </w:tcPr>
          <w:p>
            <w:pPr>
              <w:keepNext w:val="0"/>
              <w:spacing w:line="276" w:lineRule="auto" w:after="0"/>
              <w:ind w:firstLine="0"/>
              <w:jc w:val="left"/>
            </w:pPr>
            <w:r>
              <w:rPr>
                <w:b w:val="0"/>
                <w:sz w:val="18"/>
              </w:rPr>
              <w:t>Huber；日期等权；两版各45次NN拟合</w:t>
            </w:r>
          </w:p>
        </w:tc>
      </w:tr>
      <w:tr>
        <w:trPr>
          <w:cantSplit/>
        </w:trPr>
        <w:tc>
          <w:tcPr>
            <w:tcW w:type="dxa" w:w="1871"/>
            <w:vAlign w:val="center"/>
          </w:tcPr>
          <w:p>
            <w:pPr>
              <w:keepNext w:val="0"/>
              <w:spacing w:line="276" w:lineRule="auto" w:after="0"/>
              <w:ind w:firstLine="0"/>
              <w:jc w:val="left"/>
            </w:pPr>
            <w:r>
              <w:rPr>
                <w:b w:val="0"/>
                <w:sz w:val="18"/>
              </w:rPr>
              <w:t>NN选参</w:t>
            </w:r>
          </w:p>
        </w:tc>
        <w:tc>
          <w:tcPr>
            <w:tcW w:type="dxa" w:w="3005"/>
            <w:vAlign w:val="center"/>
          </w:tcPr>
          <w:p>
            <w:pPr>
              <w:keepNext w:val="0"/>
              <w:spacing w:line="276" w:lineRule="auto" w:after="0"/>
              <w:ind w:firstLine="0"/>
              <w:jc w:val="left"/>
            </w:pPr>
            <w:r>
              <w:rPr>
                <w:b w:val="0"/>
                <w:sz w:val="18"/>
              </w:rPr>
              <w:t>lr0.001；weight decay0.01</w:t>
            </w:r>
          </w:p>
        </w:tc>
        <w:tc>
          <w:tcPr>
            <w:tcW w:type="dxa" w:w="4139"/>
            <w:vAlign w:val="center"/>
          </w:tcPr>
          <w:p>
            <w:pPr>
              <w:keepNext w:val="0"/>
              <w:spacing w:line="276" w:lineRule="auto" w:after="0"/>
              <w:ind w:firstLine="0"/>
              <w:jc w:val="left"/>
            </w:pPr>
            <w:r>
              <w:rPr>
                <w:b w:val="0"/>
                <w:sz w:val="18"/>
              </w:rPr>
              <w:t>首折2019至2020验证Huber选定</w:t>
            </w:r>
          </w:p>
        </w:tc>
      </w:tr>
      <w:tr>
        <w:trPr>
          <w:cantSplit/>
        </w:trPr>
        <w:tc>
          <w:tcPr>
            <w:tcW w:type="dxa" w:w="1871"/>
            <w:vAlign w:val="center"/>
          </w:tcPr>
          <w:p>
            <w:pPr>
              <w:keepNext w:val="0"/>
              <w:spacing w:line="276" w:lineRule="auto" w:after="0"/>
              <w:ind w:firstLine="0"/>
              <w:jc w:val="left"/>
            </w:pPr>
            <w:r>
              <w:rPr>
                <w:b w:val="0"/>
                <w:sz w:val="18"/>
              </w:rPr>
              <w:t>费用情景</w:t>
            </w:r>
          </w:p>
        </w:tc>
        <w:tc>
          <w:tcPr>
            <w:tcW w:type="dxa" w:w="3005"/>
            <w:vAlign w:val="center"/>
          </w:tcPr>
          <w:p>
            <w:pPr>
              <w:keepNext w:val="0"/>
              <w:spacing w:line="276" w:lineRule="auto" w:after="0"/>
              <w:ind w:firstLine="0"/>
              <w:jc w:val="left"/>
            </w:pPr>
            <w:r>
              <w:rPr>
                <w:b w:val="0"/>
                <w:sz w:val="18"/>
              </w:rPr>
              <w:t>25bp×名称换手</w:t>
            </w:r>
          </w:p>
        </w:tc>
        <w:tc>
          <w:tcPr>
            <w:tcW w:type="dxa" w:w="4139"/>
            <w:vAlign w:val="center"/>
          </w:tcPr>
          <w:p>
            <w:pPr>
              <w:keepNext w:val="0"/>
              <w:spacing w:line="276" w:lineRule="auto" w:after="0"/>
              <w:ind w:firstLine="0"/>
              <w:jc w:val="left"/>
            </w:pPr>
            <w:r>
              <w:rPr>
                <w:b w:val="0"/>
                <w:sz w:val="18"/>
              </w:rPr>
              <w:t>仅敏感性；不等于全口径交易费用</w:t>
            </w:r>
          </w:p>
        </w:tc>
      </w:tr>
    </w:tbl>
    <w:p>
      <w:pPr>
        <w:pStyle w:val="Caption"/>
        <w:spacing w:before="80" w:after="180"/>
      </w:pPr>
      <w:r>
        <w:t>注：经济动机、固定实现选择和训练验证选参必须区分；这些参数不能仅凭事后表现被宣称为普遍最优。</w:t>
      </w:r>
    </w:p>
    <w:p>
      <w:pPr>
        <w:jc w:val="both"/>
      </w:pPr>
      <w:r>
        <w:t>论文表3对应附件第一类的独立执行审计结果；表4对应第二类的权重估计系数与本次周期复算；表5至表7对应第三、四类政策保存日收益；表8对应第四类NN独立分支的v1日频毛收益；表9对应v4/v5条件性周期收益。各类文件首先阅读模型说明.txt，再阅读保存配置、结果和源代码。四份说明与本论文采用同一版本划分。</w:t>
      </w:r>
    </w:p>
    <w:p>
      <w:pPr>
        <w:jc w:val="both"/>
      </w:pPr>
      <w:r>
        <w:t>包内复核脚本仅从已保存的收益序列计算指标，不重新训练或自动修复历史策略。归档源码保留原始实现及路径，以便追溯；在修改标签、执行或筛选规则后重新运行会形成新的实验，不能将新结果覆盖为本文原始结果。</w:t>
      </w:r>
    </w:p>
    <w:sectPr>
      <w:footerReference w:type="default" r:id="rId9"/>
      <w:pgSz w:w="11906" w:h="16838"/>
      <w:pgMar w:top="1162" w:right="1276" w:bottom="1134" w:left="1276"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7" w:lineRule="auto" w:after="100"/>
      <w:ind w:firstLine="397"/>
    </w:pPr>
    <w:rPr>
      <w:rFonts w:ascii="Times New Roman" w:hAnsi="Times New Roman" w:eastAsia="宋体"/>
      <w:b w:val="0"/>
      <w:i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60" w:line="317" w:lineRule="auto"/>
      <w:ind w:firstLine="0"/>
      <w:outlineLvl w:val="0"/>
    </w:pPr>
    <w:rPr>
      <w:rFonts w:asciiTheme="majorHAnsi" w:eastAsiaTheme="majorEastAsia" w:hAnsiTheme="majorHAnsi" w:cstheme="majorBidi" w:ascii="Times New Roman" w:hAnsi="Times New Roman" w:eastAsia="黑体"/>
      <w:b/>
      <w:bCs/>
      <w:i w:val="0"/>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60" w:line="317" w:lineRule="auto"/>
      <w:ind w:firstLine="0"/>
      <w:outlineLvl w:val="1"/>
    </w:pPr>
    <w:rPr>
      <w:rFonts w:asciiTheme="majorHAnsi" w:eastAsiaTheme="majorEastAsia" w:hAnsiTheme="majorHAnsi" w:cstheme="majorBidi" w:ascii="Times New Roman" w:hAnsi="Times New Roman" w:eastAsia="黑体"/>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317" w:lineRule="auto" w:before="0"/>
      <w:ind w:firstLine="0"/>
      <w:contextualSpacing/>
      <w:jc w:val="center"/>
    </w:pPr>
    <w:rPr>
      <w:rFonts w:asciiTheme="majorHAnsi" w:eastAsiaTheme="majorEastAsia" w:hAnsiTheme="majorHAnsi" w:cstheme="majorBidi" w:ascii="Times New Roman" w:hAnsi="Times New Roman" w:eastAsia="黑体"/>
      <w:b/>
      <w:i w:val="0"/>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17" w:lineRule="auto" w:after="100"/>
      <w:ind w:firstLine="0"/>
      <w:jc w:val="center"/>
    </w:pPr>
    <w:rPr>
      <w:rFonts w:asciiTheme="majorHAnsi" w:eastAsiaTheme="majorEastAsia" w:hAnsiTheme="majorHAnsi" w:cstheme="majorBidi" w:ascii="Times New Roman" w:hAnsi="Times New Roman" w:eastAsia="宋体"/>
      <w:b w:val="0"/>
      <w:i w:val="0"/>
      <w:iCs/>
      <w:color w:val="000000"/>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17" w:lineRule="auto"/>
    </w:pPr>
    <w:rPr>
      <w:rFonts w:ascii="Times New Roman" w:hAnsi="Times New Roman" w:eastAsia="宋体"/>
      <w:b w:val="0"/>
      <w:i w:val="0"/>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17" w:lineRule="auto" w:after="100"/>
      <w:ind w:firstLine="0"/>
    </w:pPr>
    <w:rPr>
      <w:rFonts w:ascii="Times New Roman" w:hAnsi="Times New Roman" w:eastAsia="宋体"/>
      <w:b w:val="0"/>
      <w:bCs/>
      <w:i w:val="0"/>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A股F17多因子策略的模型比较研究</dc:title>
  <dc:subject>F17四类模型的实证研究与结果复核</dc:subject>
  <dc:creator>Gilmour Jia</dc:creator>
  <cp:keywords>F17; multifactor; machine learning; Gilmour Jia</cp:keywords>
  <dc:description/>
  <cp:lastModifiedBy>Gilmour Jia</cp:lastModifiedBy>
  <cp:revision>1</cp:revision>
  <dcterms:created xsi:type="dcterms:W3CDTF">2013-12-23T23:15:00Z</dcterms:created>
  <dcterms:modified xsi:type="dcterms:W3CDTF">2013-12-23T23:15:00Z</dcterms:modified>
  <cp:category/>
  <dc:identifier/>
</cp:coreProperties>
</file>