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8D8E" w14:textId="77777777" w:rsidR="001B4121" w:rsidRPr="001B4121" w:rsidRDefault="001B4121" w:rsidP="001B4121">
      <w:pPr>
        <w:rPr>
          <w:rFonts w:ascii="Minion Pro" w:eastAsia="Times New Roman" w:hAnsi="Minion Pro" w:cs="Times New Roman"/>
          <w:color w:val="000000" w:themeColor="text1"/>
        </w:rPr>
      </w:pPr>
      <w:r w:rsidRPr="001B4121">
        <w:rPr>
          <w:rFonts w:ascii="Minion Pro" w:eastAsia="Times New Roman" w:hAnsi="Minion Pro" w:cs="Calibri"/>
          <w:color w:val="000000" w:themeColor="text1"/>
        </w:rPr>
        <w:t xml:space="preserve">Commentary Proposal (De </w:t>
      </w:r>
      <w:proofErr w:type="spellStart"/>
      <w:r w:rsidRPr="001B4121">
        <w:rPr>
          <w:rFonts w:ascii="Minion Pro" w:eastAsia="Times New Roman" w:hAnsi="Minion Pro" w:cs="Calibr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Calibri"/>
          <w:color w:val="000000" w:themeColor="text1"/>
        </w:rPr>
        <w:t>)</w:t>
      </w:r>
    </w:p>
    <w:p w14:paraId="7AFA9C7C" w14:textId="12CC3D35" w:rsidR="006F00AB" w:rsidRPr="001B4121" w:rsidRDefault="006F00AB">
      <w:pPr>
        <w:rPr>
          <w:rFonts w:ascii="Minion Pro" w:hAnsi="Minion Pro"/>
          <w:color w:val="000000" w:themeColor="text1"/>
        </w:rPr>
      </w:pPr>
    </w:p>
    <w:p w14:paraId="46F89636" w14:textId="14AC0CF9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60"/>
        <w:outlineLvl w:val="2"/>
        <w:rPr>
          <w:rFonts w:ascii="Minion Pro" w:eastAsia="Times New Roman" w:hAnsi="Minion Pro" w:cs="Segoe UI"/>
          <w:b/>
          <w:bCs/>
          <w:color w:val="000000" w:themeColor="text1"/>
        </w:rPr>
      </w:pPr>
      <w:hyperlink r:id="rId5" w:anchor="1.-name-of-the-target-article-for-which-you-are-submitting-a-commentary-proposal." w:history="1">
        <w:r w:rsidRPr="001B4121">
          <w:rPr>
            <w:rFonts w:ascii="Minion Pro" w:eastAsia="Times New Roman" w:hAnsi="Minion Pro" w:cs="Segoe UI"/>
            <w:b/>
            <w:bCs/>
            <w:color w:val="000000" w:themeColor="text1"/>
            <w:bdr w:val="single" w:sz="2" w:space="0" w:color="E5E7EB" w:frame="1"/>
          </w:rPr>
          <w:t>1. Name of the target article for which you are submitting a commentary proposal</w:t>
        </w:r>
      </w:hyperlink>
    </w:p>
    <w:p w14:paraId="49A76770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i/>
          <w:iCs/>
          <w:color w:val="000000" w:themeColor="text1"/>
        </w:rPr>
      </w:pPr>
      <w:r w:rsidRPr="001B4121">
        <w:rPr>
          <w:rFonts w:ascii="Minion Pro" w:eastAsia="Times New Roman" w:hAnsi="Minion Pro" w:cs="Segoe UI"/>
          <w:i/>
          <w:iCs/>
          <w:color w:val="000000" w:themeColor="text1"/>
        </w:rPr>
        <w:t>Advancing Theorizing about Fast-and-Slow Thinking</w:t>
      </w:r>
    </w:p>
    <w:p w14:paraId="36381B04" w14:textId="7453145F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00" w:after="160"/>
        <w:outlineLvl w:val="2"/>
        <w:rPr>
          <w:rFonts w:ascii="Minion Pro" w:eastAsia="Times New Roman" w:hAnsi="Minion Pro" w:cs="Segoe UI"/>
          <w:b/>
          <w:bCs/>
          <w:color w:val="000000" w:themeColor="text1"/>
        </w:rPr>
      </w:pPr>
      <w:hyperlink r:id="rId6" w:anchor="2.-all-authors%2C-including-any-possible-co-authors%2C-listed-at-the-top-of-your-submission-document." w:history="1">
        <w:r w:rsidRPr="001B4121">
          <w:rPr>
            <w:rFonts w:ascii="Minion Pro" w:eastAsia="Times New Roman" w:hAnsi="Minion Pro" w:cs="Segoe UI"/>
            <w:b/>
            <w:bCs/>
            <w:color w:val="000000" w:themeColor="text1"/>
            <w:bdr w:val="single" w:sz="2" w:space="0" w:color="E5E7EB" w:frame="1"/>
          </w:rPr>
          <w:t>2. All authors</w:t>
        </w:r>
      </w:hyperlink>
    </w:p>
    <w:p w14:paraId="21712E70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Jason Low, Stephen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 and John Michael</w:t>
      </w:r>
    </w:p>
    <w:p w14:paraId="0E0F4B31" w14:textId="3241782C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00" w:after="160"/>
        <w:outlineLvl w:val="2"/>
        <w:rPr>
          <w:rFonts w:ascii="Minion Pro" w:eastAsia="Times New Roman" w:hAnsi="Minion Pro" w:cs="Segoe UI"/>
          <w:b/>
          <w:bCs/>
          <w:color w:val="000000" w:themeColor="text1"/>
        </w:rPr>
      </w:pPr>
      <w:hyperlink r:id="rId7" w:anchor="3.-what-aspect-of-the-target-article-or-book-you-would-anticipate-commenting-on." w:history="1">
        <w:r w:rsidRPr="001B4121">
          <w:rPr>
            <w:rFonts w:ascii="Minion Pro" w:eastAsia="Times New Roman" w:hAnsi="Minion Pro" w:cs="Segoe UI"/>
            <w:b/>
            <w:bCs/>
            <w:color w:val="000000" w:themeColor="text1"/>
            <w:bdr w:val="single" w:sz="2" w:space="0" w:color="E5E7EB" w:frame="1"/>
          </w:rPr>
          <w:t>3. What aspect of the target article or book you would anticipate commenting on</w:t>
        </w:r>
      </w:hyperlink>
    </w:p>
    <w:p w14:paraId="7BC45BBB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>Title: ‘A View from Mindreading’</w:t>
      </w:r>
    </w:p>
    <w:p w14:paraId="37001955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Our commentary concerns the evidential basis for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’ proposed model. </w:t>
      </w:r>
      <w:hyperlink r:id="rId8" w:anchor="deneys:2022_advancing" w:history="1"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 xml:space="preserve">De </w:t>
        </w:r>
        <w:proofErr w:type="spellStart"/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Neys</w:t>
        </w:r>
        <w:proofErr w:type="spellEnd"/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 xml:space="preserve"> (2022, p. 11)</w:t>
        </w:r>
      </w:hyperlink>
      <w:r w:rsidRPr="001B4121">
        <w:rPr>
          <w:rFonts w:ascii="Minion Pro" w:eastAsia="Times New Roman" w:hAnsi="Minion Pro" w:cs="Segoe UI"/>
          <w:color w:val="000000" w:themeColor="text1"/>
        </w:rPr>
        <w:t> writes, ‘The fundamental problem I will raise is [...] there is no solid empirical ground for the exclusivity assumption.’ But in considering evidence, the domain of mindreading is mentioned only in passing. We will argue that a closer look at the domain of mindreading reveals abundant evidence. We also highlight methodological and theoretical consequences of including more research on mindreading.</w:t>
      </w:r>
    </w:p>
    <w:p w14:paraId="19D8AA39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Methodologically, the studies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’ relies on mostly involve observing a single, direct, explicit choice response. In mindreading, by contrast, the norm is to observe multiple responses including indirect and implicit responses. These include anticipatory looking and verbal responses (</w:t>
      </w:r>
      <w:hyperlink r:id="rId9" w:anchor="low:2014_quack" w:history="1"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Low, Drummond, Walmsley, &amp; Wang, 2014</w:t>
        </w:r>
      </w:hyperlink>
      <w:r w:rsidRPr="001B4121">
        <w:rPr>
          <w:rFonts w:ascii="Minion Pro" w:eastAsia="Times New Roman" w:hAnsi="Minion Pro" w:cs="Segoe UI"/>
          <w:color w:val="000000" w:themeColor="text1"/>
        </w:rPr>
        <w:t>), response times and choices (</w:t>
      </w:r>
      <w:hyperlink r:id="rId10" w:anchor="edwards:2017_reaction" w:history="1"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Edwards &amp; Low, 2017</w:t>
        </w:r>
      </w:hyperlink>
      <w:r w:rsidRPr="001B4121">
        <w:rPr>
          <w:rFonts w:ascii="Minion Pro" w:eastAsia="Times New Roman" w:hAnsi="Minion Pro" w:cs="Segoe UI"/>
          <w:color w:val="000000" w:themeColor="text1"/>
        </w:rPr>
        <w:t>), or postural sway and purposive action (</w:t>
      </w:r>
      <w:hyperlink r:id="rId11" w:anchor="zani:_mindreading" w:history="1"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 xml:space="preserve">Zani, </w:t>
        </w:r>
        <w:proofErr w:type="spellStart"/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Butterfill</w:t>
        </w:r>
        <w:proofErr w:type="spellEnd"/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, &amp; Low, 2020</w:t>
        </w:r>
      </w:hyperlink>
      <w:r w:rsidRPr="001B4121">
        <w:rPr>
          <w:rFonts w:ascii="Minion Pro" w:eastAsia="Times New Roman" w:hAnsi="Minion Pro" w:cs="Segoe UI"/>
          <w:color w:val="000000" w:themeColor="text1"/>
        </w:rPr>
        <w:t xml:space="preserve">). The lack of solid ground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 rightly identifies in the domain of reasoning may be due in part to the predominance of less sensitive measures than are commonly used in studying mindreading.</w:t>
      </w:r>
    </w:p>
    <w:p w14:paraId="2807061B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Where does this leave the exclusivity assumption?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 is surely right that as automatization is possible, any conclusion arrived at by a slow process could, in principle at least, also be arrived at by a fast process. But it does not follow from this that every fast process can generate any response. And indeed, the above findings from mindreading research raise the possibility that some </w:t>
      </w:r>
      <w:proofErr w:type="gramStart"/>
      <w:r w:rsidRPr="001B4121">
        <w:rPr>
          <w:rFonts w:ascii="Minion Pro" w:eastAsia="Times New Roman" w:hAnsi="Minion Pro" w:cs="Segoe UI"/>
          <w:color w:val="000000" w:themeColor="text1"/>
        </w:rPr>
        <w:t>fast mindreading</w:t>
      </w:r>
      <w:proofErr w:type="gramEnd"/>
      <w:r w:rsidRPr="001B4121">
        <w:rPr>
          <w:rFonts w:ascii="Minion Pro" w:eastAsia="Times New Roman" w:hAnsi="Minion Pro" w:cs="Segoe UI"/>
          <w:color w:val="000000" w:themeColor="text1"/>
        </w:rPr>
        <w:t xml:space="preserve"> processes have signature limits that restrict the range of responses they can generate – which provides a key methodology that could perhaps be adopted in reasoning research too.</w:t>
      </w:r>
    </w:p>
    <w:p w14:paraId="3081F288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One theoretical implication of considering mindreading concerns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 proposal that uncertainty monitoring determines whether System 2 is activated at all (§3.2 and figure 1). Discoveries about mindreading indicate that this cannot be the whole story. To illustrate, </w:t>
      </w:r>
      <w:hyperlink r:id="rId12" w:anchor="Ruffman:2001ng" w:history="1">
        <w:r w:rsidRPr="001B4121">
          <w:rPr>
            <w:rFonts w:ascii="Minion Pro" w:eastAsia="Times New Roman" w:hAnsi="Minion Pro" w:cs="Segoe UI"/>
            <w:color w:val="000000" w:themeColor="text1"/>
            <w:bdr w:val="dashed" w:sz="2" w:space="0" w:color="auto" w:frame="1"/>
          </w:rPr>
          <w:t>Ruffman, Garnham, Import, &amp; Connolly (2001)</w:t>
        </w:r>
      </w:hyperlink>
      <w:r w:rsidRPr="001B4121">
        <w:rPr>
          <w:rFonts w:ascii="Minion Pro" w:eastAsia="Times New Roman" w:hAnsi="Minion Pro" w:cs="Segoe UI"/>
          <w:color w:val="000000" w:themeColor="text1"/>
        </w:rPr>
        <w:t xml:space="preserve"> identifies a scenario involving false belief where System 1 and 2 processes generate conflicting responses (as indexed by anticipatory looking and explicit choices, which imply incompatible predictions). Despite the conflict, the </w:t>
      </w:r>
      <w:r w:rsidRPr="001B4121">
        <w:rPr>
          <w:rFonts w:ascii="Minion Pro" w:eastAsia="Times New Roman" w:hAnsi="Minion Pro" w:cs="Segoe UI"/>
          <w:color w:val="000000" w:themeColor="text1"/>
        </w:rPr>
        <w:lastRenderedPageBreak/>
        <w:t xml:space="preserve">decisions </w:t>
      </w:r>
      <w:proofErr w:type="gramStart"/>
      <w:r w:rsidRPr="001B4121">
        <w:rPr>
          <w:rFonts w:ascii="Minion Pro" w:eastAsia="Times New Roman" w:hAnsi="Minion Pro" w:cs="Segoe UI"/>
          <w:color w:val="000000" w:themeColor="text1"/>
        </w:rPr>
        <w:t>participants’</w:t>
      </w:r>
      <w:proofErr w:type="gramEnd"/>
      <w:r w:rsidRPr="001B4121">
        <w:rPr>
          <w:rFonts w:ascii="Minion Pro" w:eastAsia="Times New Roman" w:hAnsi="Minion Pro" w:cs="Segoe UI"/>
          <w:color w:val="000000" w:themeColor="text1"/>
        </w:rPr>
        <w:t xml:space="preserve"> made in placing bets (they went all in) reveals they felt no uncertainty. Apparently, then, System 2 can be activated even in the absence of System 1 conflicts and even without uncertainty.</w:t>
      </w:r>
    </w:p>
    <w:p w14:paraId="04421224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Widening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’ view to consider mindreading not only points to some evidence that is hard to accommodate but also yields a conclusion we think De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Neys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 will welcome: how fast and slow interact is a truly deep problem.</w:t>
      </w:r>
    </w:p>
    <w:p w14:paraId="75BEB489" w14:textId="1F2369F4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00" w:after="160"/>
        <w:outlineLvl w:val="2"/>
        <w:rPr>
          <w:rFonts w:ascii="Minion Pro" w:eastAsia="Times New Roman" w:hAnsi="Minion Pro" w:cs="Segoe UI"/>
          <w:b/>
          <w:bCs/>
          <w:color w:val="000000" w:themeColor="text1"/>
        </w:rPr>
      </w:pPr>
      <w:hyperlink r:id="rId13" w:anchor="4.-the-relevant-expertise-you-would-bring-to-bear-on-the-target-article-or-book." w:history="1">
        <w:r w:rsidRPr="001B4121">
          <w:rPr>
            <w:rFonts w:ascii="Minion Pro" w:eastAsia="Times New Roman" w:hAnsi="Minion Pro" w:cs="Segoe UI"/>
            <w:b/>
            <w:bCs/>
            <w:color w:val="000000" w:themeColor="text1"/>
            <w:bdr w:val="single" w:sz="2" w:space="0" w:color="E5E7EB" w:frame="1"/>
          </w:rPr>
          <w:t xml:space="preserve">4. The relevant expertise you would bring to bear on the target article </w:t>
        </w:r>
      </w:hyperlink>
    </w:p>
    <w:p w14:paraId="3020D439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b/>
          <w:bCs/>
          <w:color w:val="000000" w:themeColor="text1"/>
          <w:bdr w:val="single" w:sz="2" w:space="0" w:color="E5E7EB" w:frame="1"/>
        </w:rPr>
        <w:t>Low</w:t>
      </w:r>
      <w:r w:rsidRPr="001B4121">
        <w:rPr>
          <w:rFonts w:ascii="Minion Pro" w:eastAsia="Times New Roman" w:hAnsi="Minion Pro" w:cs="Segoe UI"/>
          <w:color w:val="000000" w:themeColor="text1"/>
        </w:rPr>
        <w:t> is a developmental psychologist who has studied mindreading and provided empirical and theoretical defence of a two systems theory:</w:t>
      </w:r>
    </w:p>
    <w:p w14:paraId="767A4A46" w14:textId="77777777" w:rsidR="001B4121" w:rsidRPr="001B4121" w:rsidRDefault="001B4121" w:rsidP="001B412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Low, J.,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Apperly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, I. A.,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, S. A., &amp;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Rakoczy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, H. (2016). Cognitive Architecture of Belief Reasoning in Children and Adults: A Primer on the Two-Systems Account. Child Development Perspectives, 10(3), 184–189. https://doi.org/10.1111/cdep.12183</w:t>
      </w:r>
    </w:p>
    <w:p w14:paraId="4C8048C7" w14:textId="77777777" w:rsidR="001B4121" w:rsidRPr="001B4121" w:rsidRDefault="001B4121" w:rsidP="001B412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>Edwards, K., &amp; Low, J. (2019). Level 2 perspective-taking distinguishes automatic and non-automatic belief-tracking. Cognition, 193, 104017. https://doi.org/10.1016/j.cognition.2019.104017</w:t>
      </w:r>
    </w:p>
    <w:p w14:paraId="7074E31D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proofErr w:type="spellStart"/>
      <w:r w:rsidRPr="001B4121">
        <w:rPr>
          <w:rFonts w:ascii="Minion Pro" w:eastAsia="Times New Roman" w:hAnsi="Minion Pro" w:cs="Segoe UI"/>
          <w:b/>
          <w:bCs/>
          <w:color w:val="000000" w:themeColor="text1"/>
          <w:bdr w:val="single" w:sz="2" w:space="0" w:color="E5E7EB" w:frame="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 </w:t>
      </w:r>
      <w:proofErr w:type="gramStart"/>
      <w:r w:rsidRPr="001B4121">
        <w:rPr>
          <w:rFonts w:ascii="Minion Pro" w:eastAsia="Times New Roman" w:hAnsi="Minion Pro" w:cs="Segoe UI"/>
          <w:color w:val="000000" w:themeColor="text1"/>
        </w:rPr>
        <w:t>researches</w:t>
      </w:r>
      <w:proofErr w:type="gramEnd"/>
      <w:r w:rsidRPr="001B4121">
        <w:rPr>
          <w:rFonts w:ascii="Minion Pro" w:eastAsia="Times New Roman" w:hAnsi="Minion Pro" w:cs="Segoe UI"/>
          <w:color w:val="000000" w:themeColor="text1"/>
        </w:rPr>
        <w:t xml:space="preserve"> philosophical issues in development and has defended a two systems theory of mindreading:</w:t>
      </w:r>
    </w:p>
    <w:p w14:paraId="4F39D428" w14:textId="77777777" w:rsidR="001B4121" w:rsidRPr="001B4121" w:rsidRDefault="001B4121" w:rsidP="001B412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Apperly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, I. A., &amp;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, S. (2009). Do humans have two systems to track beliefs and belief-like states? Psychological Review, 116(4), 953–970. https://doi.org/10.1037/a0016923</w:t>
      </w:r>
    </w:p>
    <w:p w14:paraId="788CEFD9" w14:textId="77777777" w:rsidR="001B4121" w:rsidRPr="001B4121" w:rsidRDefault="001B4121" w:rsidP="001B412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, S. A. (2020). The Developing Mind: A Philosophical Introduction. London: Routledge.</w:t>
      </w:r>
    </w:p>
    <w:p w14:paraId="51DA588F" w14:textId="77777777" w:rsidR="001B4121" w:rsidRPr="001B4121" w:rsidRDefault="001B4121" w:rsidP="001B41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b/>
          <w:bCs/>
          <w:color w:val="000000" w:themeColor="text1"/>
          <w:bdr w:val="single" w:sz="2" w:space="0" w:color="E5E7EB" w:frame="1"/>
        </w:rPr>
        <w:t>Michael</w:t>
      </w:r>
      <w:r w:rsidRPr="001B4121">
        <w:rPr>
          <w:rFonts w:ascii="Minion Pro" w:eastAsia="Times New Roman" w:hAnsi="Minion Pro" w:cs="Segoe UI"/>
          <w:color w:val="000000" w:themeColor="text1"/>
        </w:rPr>
        <w:t> opposed a two systems theory of mindreading on theoretical grounds but provided empirical evidence in support of it:</w:t>
      </w:r>
    </w:p>
    <w:p w14:paraId="40844230" w14:textId="77777777" w:rsidR="001B4121" w:rsidRPr="001B4121" w:rsidRDefault="001B4121" w:rsidP="001B4121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>Christensen, W., &amp; Michael, J. (2016). From two systems to a multi-systems architecture for mindreading. New Ideas in Psychology, 40, 48–64. https://doi.org/10.1016/j.newideapsych.2015.01.003</w:t>
      </w:r>
    </w:p>
    <w:p w14:paraId="2CEBF5EB" w14:textId="77777777" w:rsidR="001B4121" w:rsidRPr="001B4121" w:rsidRDefault="001B4121" w:rsidP="001B4121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20" w:after="320"/>
        <w:rPr>
          <w:rFonts w:ascii="Minion Pro" w:eastAsia="Times New Roman" w:hAnsi="Minion Pro" w:cs="Segoe UI"/>
          <w:color w:val="000000" w:themeColor="text1"/>
        </w:rPr>
      </w:pPr>
      <w:r w:rsidRPr="001B4121">
        <w:rPr>
          <w:rFonts w:ascii="Minion Pro" w:eastAsia="Times New Roman" w:hAnsi="Minion Pro" w:cs="Segoe UI"/>
          <w:color w:val="000000" w:themeColor="text1"/>
        </w:rPr>
        <w:t xml:space="preserve">Michael, J., Wolf, T.,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Letesson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, C.,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Butterfill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 xml:space="preserve">, S., Skewes, J., &amp; </w:t>
      </w:r>
      <w:proofErr w:type="spellStart"/>
      <w:r w:rsidRPr="001B4121">
        <w:rPr>
          <w:rFonts w:ascii="Minion Pro" w:eastAsia="Times New Roman" w:hAnsi="Minion Pro" w:cs="Segoe UI"/>
          <w:color w:val="000000" w:themeColor="text1"/>
        </w:rPr>
        <w:t>Hohwy</w:t>
      </w:r>
      <w:proofErr w:type="spellEnd"/>
      <w:r w:rsidRPr="001B4121">
        <w:rPr>
          <w:rFonts w:ascii="Minion Pro" w:eastAsia="Times New Roman" w:hAnsi="Minion Pro" w:cs="Segoe UI"/>
          <w:color w:val="000000" w:themeColor="text1"/>
        </w:rPr>
        <w:t>, J. (2018). Seeing it both ways: Using a double-cuing task to investigate the role of spatial cuing in Level-1 visual perspective-taking. Journal of Experimental Psychology: Human Perception and Performance, 44(5), 693–702. https://doi.org/10.1037/xhp0000486</w:t>
      </w:r>
    </w:p>
    <w:p w14:paraId="734600F9" w14:textId="77777777" w:rsidR="001B4121" w:rsidRPr="001B4121" w:rsidRDefault="001B4121" w:rsidP="001B4121">
      <w:pPr>
        <w:rPr>
          <w:rFonts w:ascii="Minion Pro" w:eastAsia="Times New Roman" w:hAnsi="Minion Pro" w:cs="Times New Roman"/>
          <w:color w:val="000000" w:themeColor="text1"/>
        </w:rPr>
      </w:pPr>
    </w:p>
    <w:p w14:paraId="4054CBB5" w14:textId="77777777" w:rsidR="001B4121" w:rsidRPr="001B4121" w:rsidRDefault="001B4121">
      <w:pPr>
        <w:rPr>
          <w:rFonts w:ascii="Minion Pro" w:hAnsi="Minion Pro"/>
          <w:color w:val="000000" w:themeColor="text1"/>
        </w:rPr>
      </w:pPr>
    </w:p>
    <w:sectPr w:rsidR="001B4121" w:rsidRPr="001B4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10CD"/>
    <w:multiLevelType w:val="multilevel"/>
    <w:tmpl w:val="705C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A14110"/>
    <w:multiLevelType w:val="multilevel"/>
    <w:tmpl w:val="6ED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D0E3C"/>
    <w:multiLevelType w:val="multilevel"/>
    <w:tmpl w:val="9CE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265041">
    <w:abstractNumId w:val="0"/>
  </w:num>
  <w:num w:numId="2" w16cid:durableId="1756785434">
    <w:abstractNumId w:val="2"/>
  </w:num>
  <w:num w:numId="3" w16cid:durableId="359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21"/>
    <w:rsid w:val="001B4121"/>
    <w:rsid w:val="006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1D43A"/>
  <w15:chartTrackingRefBased/>
  <w15:docId w15:val="{BB72959A-1C3B-434B-B87C-45FFF2AD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1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4121"/>
    <w:rPr>
      <w:color w:val="0000FF"/>
      <w:u w:val="single"/>
    </w:rPr>
  </w:style>
  <w:style w:type="paragraph" w:customStyle="1" w:styleId="source-line">
    <w:name w:val="source-line"/>
    <w:basedOn w:val="Normal"/>
    <w:rsid w:val="001B41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35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12" w:color="auto"/>
            <w:bottom w:val="single" w:sz="2" w:space="0" w:color="E5E7EB"/>
            <w:right w:val="single" w:sz="2" w:space="0" w:color="E5E7EB"/>
          </w:divBdr>
        </w:div>
        <w:div w:id="1615213696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12" w:color="auto"/>
            <w:bottom w:val="single" w:sz="2" w:space="0" w:color="E5E7EB"/>
            <w:right w:val="single" w:sz="2" w:space="0" w:color="E5E7EB"/>
          </w:divBdr>
        </w:div>
      </w:divsChild>
    </w:div>
    <w:div w:id="1580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note/IUY0XRbaXB4XH_WqI0xWC" TargetMode="External"/><Relationship Id="rId13" Type="http://schemas.openxmlformats.org/officeDocument/2006/relationships/hyperlink" Target="http://localhost:3000/note/IUY0XRbaXB4XH_WqI0xW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note/IUY0XRbaXB4XH_WqI0xWC" TargetMode="External"/><Relationship Id="rId12" Type="http://schemas.openxmlformats.org/officeDocument/2006/relationships/hyperlink" Target="http://localhost:3000/note/IUY0XRbaXB4XH_WqI0x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note/IUY0XRbaXB4XH_WqI0xWC" TargetMode="External"/><Relationship Id="rId11" Type="http://schemas.openxmlformats.org/officeDocument/2006/relationships/hyperlink" Target="http://localhost:3000/note/IUY0XRbaXB4XH_WqI0xWC" TargetMode="External"/><Relationship Id="rId5" Type="http://schemas.openxmlformats.org/officeDocument/2006/relationships/hyperlink" Target="http://localhost:3000/note/IUY0XRbaXB4XH_WqI0xW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note/IUY0XRbaXB4XH_WqI0xW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note/IUY0XRbaXB4XH_WqI0xW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2022-09-22T20:53:00Z</dcterms:created>
  <dcterms:modified xsi:type="dcterms:W3CDTF">2022-09-22T20:55:00Z</dcterms:modified>
</cp:coreProperties>
</file>