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motor: objects and others / perspectives</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Simulations of body in action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Shapiro: Special Contribution Story --- embodiment consists in mind containing, and using, simulations of body in action; </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D’ATTAC</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More sources: steve search for something developmental on goals</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Think about figures</w:t>
      </w:r>
      <w:r w:rsidDel="00000000" w:rsidR="00000000" w:rsidRPr="00000000">
        <w:rPr>
          <w:rFonts w:ascii="Times New Roman" w:cs="Times New Roman" w:eastAsia="Times New Roman" w:hAnsi="Times New Roman"/>
          <w:sz w:val="24"/>
          <w:szCs w:val="24"/>
          <w:rtl w:val="0"/>
        </w:rPr>
        <w:t xml:space="preserve"> (steve to extend model from Paris to extend not just beliefs but also object cognition)</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PAPERS TO MODEL OUR TICS UPON:</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b w:val="1"/>
          <w:color w:val="954f72"/>
          <w:sz w:val="24"/>
          <w:szCs w:val="24"/>
          <w:highlight w:val="yellow"/>
          <w:u w:val="single"/>
        </w:rPr>
      </w:pPr>
      <w:r w:rsidDel="00000000" w:rsidR="00000000" w:rsidRPr="00000000">
        <w:rPr>
          <w:rFonts w:ascii="Times New Roman" w:cs="Times New Roman" w:eastAsia="Times New Roman" w:hAnsi="Times New Roman"/>
          <w:b w:val="1"/>
          <w:sz w:val="24"/>
          <w:szCs w:val="24"/>
          <w:highlight w:val="yellow"/>
          <w:rtl w:val="0"/>
        </w:rPr>
        <w:t xml:space="preserve">Heyes, C., Chater, N., &amp; Dwyer, D.M. (2020). Opinion - Sinking in: The peripheral Baldwinisation of human cognition. </w:t>
      </w:r>
      <w:r w:rsidDel="00000000" w:rsidR="00000000" w:rsidRPr="00000000">
        <w:rPr>
          <w:rFonts w:ascii="Times New Roman" w:cs="Times New Roman" w:eastAsia="Times New Roman" w:hAnsi="Times New Roman"/>
          <w:b w:val="1"/>
          <w:i w:val="1"/>
          <w:sz w:val="24"/>
          <w:szCs w:val="24"/>
          <w:highlight w:val="yellow"/>
          <w:rtl w:val="0"/>
        </w:rPr>
        <w:t xml:space="preserve">Trends in Cognitive Sciences, 24</w:t>
      </w:r>
      <w:r w:rsidDel="00000000" w:rsidR="00000000" w:rsidRPr="00000000">
        <w:rPr>
          <w:rFonts w:ascii="Times New Roman" w:cs="Times New Roman" w:eastAsia="Times New Roman" w:hAnsi="Times New Roman"/>
          <w:b w:val="1"/>
          <w:sz w:val="24"/>
          <w:szCs w:val="24"/>
          <w:highlight w:val="yellow"/>
          <w:rtl w:val="0"/>
        </w:rPr>
        <w:t xml:space="preserve">, 884-899.</w:t>
      </w:r>
      <w:hyperlink r:id="rId6">
        <w:r w:rsidDel="00000000" w:rsidR="00000000" w:rsidRPr="00000000">
          <w:rPr>
            <w:rFonts w:ascii="Times New Roman" w:cs="Times New Roman" w:eastAsia="Times New Roman" w:hAnsi="Times New Roman"/>
            <w:b w:val="1"/>
            <w:sz w:val="24"/>
            <w:szCs w:val="24"/>
            <w:highlight w:val="yellow"/>
            <w:rtl w:val="0"/>
          </w:rPr>
          <w:t xml:space="preserve"> </w:t>
        </w:r>
      </w:hyperlink>
      <w:hyperlink r:id="rId7">
        <w:r w:rsidDel="00000000" w:rsidR="00000000" w:rsidRPr="00000000">
          <w:rPr>
            <w:rFonts w:ascii="Times New Roman" w:cs="Times New Roman" w:eastAsia="Times New Roman" w:hAnsi="Times New Roman"/>
            <w:b w:val="1"/>
            <w:color w:val="954f72"/>
            <w:sz w:val="24"/>
            <w:szCs w:val="24"/>
            <w:highlight w:val="yellow"/>
            <w:u w:val="single"/>
            <w:rtl w:val="0"/>
          </w:rPr>
          <w:t xml:space="preserve">https://doi.org/10.1016/j.tics.2020.08.006</w:t>
        </w:r>
      </w:hyperlink>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360" w:lineRule="auto"/>
        <w:rPr>
          <w:rFonts w:ascii="Times New Roman" w:cs="Times New Roman" w:eastAsia="Times New Roman" w:hAnsi="Times New Roman"/>
          <w:b w:val="1"/>
          <w:color w:val="954f72"/>
          <w:sz w:val="24"/>
          <w:szCs w:val="24"/>
          <w:u w:val="single"/>
        </w:rPr>
      </w:pPr>
      <w:r w:rsidDel="00000000" w:rsidR="00000000" w:rsidRPr="00000000">
        <w:rPr>
          <w:rFonts w:ascii="Times New Roman" w:cs="Times New Roman" w:eastAsia="Times New Roman" w:hAnsi="Times New Roman"/>
          <w:b w:val="1"/>
          <w:sz w:val="24"/>
          <w:szCs w:val="24"/>
          <w:rtl w:val="0"/>
        </w:rPr>
        <w:t xml:space="preserve">Scholl, B.J., &amp; Tremoulet, P.D. (2000). Review - Perceptual causality and animacy. </w:t>
      </w:r>
      <w:r w:rsidDel="00000000" w:rsidR="00000000" w:rsidRPr="00000000">
        <w:rPr>
          <w:rFonts w:ascii="Times New Roman" w:cs="Times New Roman" w:eastAsia="Times New Roman" w:hAnsi="Times New Roman"/>
          <w:b w:val="1"/>
          <w:i w:val="1"/>
          <w:sz w:val="24"/>
          <w:szCs w:val="24"/>
          <w:rtl w:val="0"/>
        </w:rPr>
        <w:t xml:space="preserve">Trends in Cognitive Sciences, 4</w:t>
      </w:r>
      <w:r w:rsidDel="00000000" w:rsidR="00000000" w:rsidRPr="00000000">
        <w:rPr>
          <w:rFonts w:ascii="Times New Roman" w:cs="Times New Roman" w:eastAsia="Times New Roman" w:hAnsi="Times New Roman"/>
          <w:b w:val="1"/>
          <w:sz w:val="24"/>
          <w:szCs w:val="24"/>
          <w:rtl w:val="0"/>
        </w:rPr>
        <w:t xml:space="preserve">, 299-309.</w:t>
      </w:r>
      <w:hyperlink r:id="rId8">
        <w:r w:rsidDel="00000000" w:rsidR="00000000" w:rsidRPr="00000000">
          <w:rPr>
            <w:rFonts w:ascii="Times New Roman" w:cs="Times New Roman" w:eastAsia="Times New Roman" w:hAnsi="Times New Roman"/>
            <w:b w:val="1"/>
            <w:sz w:val="24"/>
            <w:szCs w:val="24"/>
            <w:rtl w:val="0"/>
          </w:rPr>
          <w:t xml:space="preserve"> </w:t>
        </w:r>
      </w:hyperlink>
      <w:hyperlink r:id="rId9">
        <w:r w:rsidDel="00000000" w:rsidR="00000000" w:rsidRPr="00000000">
          <w:rPr>
            <w:rFonts w:ascii="Times New Roman" w:cs="Times New Roman" w:eastAsia="Times New Roman" w:hAnsi="Times New Roman"/>
            <w:b w:val="1"/>
            <w:color w:val="954f72"/>
            <w:sz w:val="24"/>
            <w:szCs w:val="24"/>
            <w:u w:val="single"/>
            <w:rtl w:val="0"/>
          </w:rPr>
          <w:t xml:space="preserve">https://doi.org/10.1016/S1364-6613(00)01506-0</w:t>
        </w:r>
      </w:hyperlink>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STUDIES WE DO NOT UNDERSTAND YET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954f72"/>
          <w:highlight w:val="yellow"/>
          <w:u w:val="single"/>
        </w:rPr>
      </w:pPr>
      <w:r w:rsidDel="00000000" w:rsidR="00000000" w:rsidRPr="00000000">
        <w:rPr>
          <w:rFonts w:ascii="Times New Roman" w:cs="Times New Roman" w:eastAsia="Times New Roman" w:hAnsi="Times New Roman"/>
          <w:highlight w:val="yellow"/>
          <w:rtl w:val="0"/>
        </w:rPr>
        <w:t xml:space="preserve">Bub, D.N., Masson, M.E.J., &amp; van Noordene, M. (2020). Motor representations evoked by objects under varying action intentions. </w:t>
      </w:r>
      <w:r w:rsidDel="00000000" w:rsidR="00000000" w:rsidRPr="00000000">
        <w:rPr>
          <w:rFonts w:ascii="Times New Roman" w:cs="Times New Roman" w:eastAsia="Times New Roman" w:hAnsi="Times New Roman"/>
          <w:i w:val="1"/>
          <w:highlight w:val="yellow"/>
          <w:rtl w:val="0"/>
        </w:rPr>
        <w:t xml:space="preserve">Journal of Experimental Psychology: Human Perception and Performance</w:t>
      </w:r>
      <w:r w:rsidDel="00000000" w:rsidR="00000000" w:rsidRPr="00000000">
        <w:rPr>
          <w:rFonts w:ascii="Times New Roman" w:cs="Times New Roman" w:eastAsia="Times New Roman" w:hAnsi="Times New Roman"/>
          <w:highlight w:val="yellow"/>
          <w:rtl w:val="0"/>
        </w:rPr>
        <w:t xml:space="preserve">. Advance online publication.</w:t>
      </w:r>
      <w:hyperlink r:id="rId10">
        <w:r w:rsidDel="00000000" w:rsidR="00000000" w:rsidRPr="00000000">
          <w:rPr>
            <w:rFonts w:ascii="Times New Roman" w:cs="Times New Roman" w:eastAsia="Times New Roman" w:hAnsi="Times New Roman"/>
            <w:highlight w:val="yellow"/>
            <w:rtl w:val="0"/>
          </w:rPr>
          <w:t xml:space="preserve"> </w:t>
        </w:r>
      </w:hyperlink>
      <w:hyperlink r:id="rId11">
        <w:r w:rsidDel="00000000" w:rsidR="00000000" w:rsidRPr="00000000">
          <w:rPr>
            <w:rFonts w:ascii="Times New Roman" w:cs="Times New Roman" w:eastAsia="Times New Roman" w:hAnsi="Times New Roman"/>
            <w:color w:val="954f72"/>
            <w:highlight w:val="yellow"/>
            <w:u w:val="single"/>
            <w:rtl w:val="0"/>
          </w:rPr>
          <w:t xml:space="preserve">https://doi.org/10.1037/xhp0000876</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sz w:val="18"/>
          <w:szCs w:val="18"/>
        </w:rPr>
      </w:pPr>
      <w:r w:rsidDel="00000000" w:rsidR="00000000" w:rsidRPr="00000000">
        <w:rPr>
          <w:rFonts w:ascii="Times New Roman" w:cs="Times New Roman" w:eastAsia="Times New Roman" w:hAnsi="Times New Roman"/>
          <w:b w:val="1"/>
          <w:sz w:val="24"/>
          <w:szCs w:val="24"/>
          <w:rtl w:val="0"/>
        </w:rPr>
        <w:t xml:space="preserve">STUDIES ON POSSIBILITY OF MOTOR MINDREADING</w:t>
      </w:r>
      <w:r w:rsidDel="00000000" w:rsidR="00000000" w:rsidRPr="00000000">
        <w:rPr>
          <w:rFonts w:ascii="Calibri" w:cs="Calibri" w:eastAsia="Calibri" w:hAnsi="Calibri"/>
          <w:color w:val="954f72"/>
          <w:sz w:val="18"/>
          <w:szCs w:val="18"/>
          <w:rtl w:val="0"/>
        </w:rPr>
        <w:t xml:space="preserve">[JL1]</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line="360" w:lineRule="auto"/>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sz w:val="24"/>
          <w:szCs w:val="24"/>
          <w:rtl w:val="0"/>
        </w:rPr>
        <w:t xml:space="preserve">Zani, G., Butterfill, S.A., &amp; Low, J. (2020). Mindreading in the balance: adults' mediolateral leaning and anticipatory looking foretell others' action preparation in a false-belief interactive task. </w:t>
      </w:r>
      <w:r w:rsidDel="00000000" w:rsidR="00000000" w:rsidRPr="00000000">
        <w:rPr>
          <w:rFonts w:ascii="Times New Roman" w:cs="Times New Roman" w:eastAsia="Times New Roman" w:hAnsi="Times New Roman"/>
          <w:b w:val="1"/>
          <w:sz w:val="24"/>
          <w:szCs w:val="24"/>
          <w:rtl w:val="0"/>
        </w:rPr>
        <w:t xml:space="preserve">Royal Society Open Science, 1</w:t>
      </w:r>
      <w:r w:rsidDel="00000000" w:rsidR="00000000" w:rsidRPr="00000000">
        <w:rPr>
          <w:rFonts w:ascii="Times New Roman" w:cs="Times New Roman" w:eastAsia="Times New Roman" w:hAnsi="Times New Roman"/>
          <w:sz w:val="24"/>
          <w:szCs w:val="24"/>
          <w:rtl w:val="0"/>
        </w:rPr>
        <w:t xml:space="preserve">, 19167. </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954f72"/>
            <w:sz w:val="24"/>
            <w:szCs w:val="24"/>
            <w:u w:val="single"/>
            <w:rtl w:val="0"/>
          </w:rPr>
          <w:t xml:space="preserve">https://doi.org/10.1098/rsos.191167</w:t>
        </w:r>
      </w:hyperlink>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line="360" w:lineRule="auto"/>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sz w:val="24"/>
          <w:szCs w:val="24"/>
          <w:rtl w:val="0"/>
        </w:rPr>
        <w:t xml:space="preserve">Edwards, K., &amp; Low, J. (2017). Reaction time profiles of adults’ action prediction reveal two mindreading systems. </w:t>
      </w:r>
      <w:r w:rsidDel="00000000" w:rsidR="00000000" w:rsidRPr="00000000">
        <w:rPr>
          <w:rFonts w:ascii="Times New Roman" w:cs="Times New Roman" w:eastAsia="Times New Roman" w:hAnsi="Times New Roman"/>
          <w:b w:val="1"/>
          <w:sz w:val="24"/>
          <w:szCs w:val="24"/>
          <w:rtl w:val="0"/>
        </w:rPr>
        <w:t xml:space="preserve">Cognition, 160</w:t>
      </w:r>
      <w:r w:rsidDel="00000000" w:rsidR="00000000" w:rsidRPr="00000000">
        <w:rPr>
          <w:rFonts w:ascii="Times New Roman" w:cs="Times New Roman" w:eastAsia="Times New Roman" w:hAnsi="Times New Roman"/>
          <w:sz w:val="24"/>
          <w:szCs w:val="24"/>
          <w:rtl w:val="0"/>
        </w:rPr>
        <w:t xml:space="preserve">, 1-16.</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954f72"/>
            <w:sz w:val="24"/>
            <w:szCs w:val="24"/>
            <w:u w:val="single"/>
            <w:rtl w:val="0"/>
          </w:rPr>
          <w:t xml:space="preserve">https://doi.org/10.1016/j.cognition.2016.12.004</w:t>
        </w:r>
      </w:hyperlink>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line="360" w:lineRule="auto"/>
        <w:rPr>
          <w:rFonts w:ascii="Times New Roman" w:cs="Times New Roman" w:eastAsia="Times New Roman" w:hAnsi="Times New Roman"/>
          <w:b w:val="1"/>
          <w:color w:val="954f72"/>
          <w:sz w:val="24"/>
          <w:szCs w:val="24"/>
          <w:highlight w:val="yellow"/>
          <w:u w:val="single"/>
        </w:rPr>
      </w:pPr>
      <w:r w:rsidDel="00000000" w:rsidR="00000000" w:rsidRPr="00000000">
        <w:rPr>
          <w:rFonts w:ascii="Times New Roman" w:cs="Times New Roman" w:eastAsia="Times New Roman" w:hAnsi="Times New Roman"/>
          <w:b w:val="1"/>
          <w:sz w:val="24"/>
          <w:szCs w:val="24"/>
          <w:highlight w:val="yellow"/>
          <w:rtl w:val="0"/>
        </w:rPr>
        <w:t xml:space="preserve">Bub, D.N., Masson, M.E.J., &amp; van Noordene, M. (2020). Motor representations evoked by objects under varying action intentions. </w:t>
      </w:r>
      <w:r w:rsidDel="00000000" w:rsidR="00000000" w:rsidRPr="00000000">
        <w:rPr>
          <w:rFonts w:ascii="Times New Roman" w:cs="Times New Roman" w:eastAsia="Times New Roman" w:hAnsi="Times New Roman"/>
          <w:b w:val="1"/>
          <w:i w:val="1"/>
          <w:sz w:val="24"/>
          <w:szCs w:val="24"/>
          <w:highlight w:val="yellow"/>
          <w:rtl w:val="0"/>
        </w:rPr>
        <w:t xml:space="preserve">Journal of Experimental Psychology: Human Perception and Performance</w:t>
      </w:r>
      <w:r w:rsidDel="00000000" w:rsidR="00000000" w:rsidRPr="00000000">
        <w:rPr>
          <w:rFonts w:ascii="Times New Roman" w:cs="Times New Roman" w:eastAsia="Times New Roman" w:hAnsi="Times New Roman"/>
          <w:b w:val="1"/>
          <w:sz w:val="24"/>
          <w:szCs w:val="24"/>
          <w:highlight w:val="yellow"/>
          <w:rtl w:val="0"/>
        </w:rPr>
        <w:t xml:space="preserve">. Advance online publication.</w:t>
      </w:r>
      <w:hyperlink r:id="rId16">
        <w:r w:rsidDel="00000000" w:rsidR="00000000" w:rsidRPr="00000000">
          <w:rPr>
            <w:rFonts w:ascii="Times New Roman" w:cs="Times New Roman" w:eastAsia="Times New Roman" w:hAnsi="Times New Roman"/>
            <w:b w:val="1"/>
            <w:sz w:val="24"/>
            <w:szCs w:val="24"/>
            <w:highlight w:val="yellow"/>
            <w:rtl w:val="0"/>
          </w:rPr>
          <w:t xml:space="preserve"> </w:t>
        </w:r>
      </w:hyperlink>
      <w:hyperlink r:id="rId17">
        <w:r w:rsidDel="00000000" w:rsidR="00000000" w:rsidRPr="00000000">
          <w:rPr>
            <w:rFonts w:ascii="Times New Roman" w:cs="Times New Roman" w:eastAsia="Times New Roman" w:hAnsi="Times New Roman"/>
            <w:b w:val="1"/>
            <w:color w:val="954f72"/>
            <w:sz w:val="24"/>
            <w:szCs w:val="24"/>
            <w:highlight w:val="yellow"/>
            <w:u w:val="single"/>
            <w:rtl w:val="0"/>
          </w:rPr>
          <w:t xml:space="preserve">https://doi.org/10.1037/xhp0000876</w:t>
        </w:r>
      </w:hyperlink>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Reinecke, R, Nazir, T.A., Carvallo, S., &amp; Jayes, J. (2020, </w:t>
      </w:r>
      <w:r w:rsidDel="00000000" w:rsidR="00000000" w:rsidRPr="00000000">
        <w:rPr>
          <w:rFonts w:ascii="Times New Roman" w:cs="Times New Roman" w:eastAsia="Times New Roman" w:hAnsi="Times New Roman"/>
          <w:sz w:val="24"/>
          <w:szCs w:val="24"/>
          <w:highlight w:val="yellow"/>
          <w:rtl w:val="0"/>
        </w:rPr>
        <w:t xml:space="preserve">unpublished</w:t>
      </w:r>
      <w:r w:rsidDel="00000000" w:rsidR="00000000" w:rsidRPr="00000000">
        <w:rPr>
          <w:rFonts w:ascii="Times New Roman" w:cs="Times New Roman" w:eastAsia="Times New Roman" w:hAnsi="Times New Roman"/>
          <w:sz w:val="24"/>
          <w:szCs w:val="24"/>
          <w:rtl w:val="0"/>
        </w:rPr>
        <w:t xml:space="preserve">). Factives at hand: When presupposition mode affects motor response.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954f72"/>
            <w:sz w:val="24"/>
            <w:szCs w:val="24"/>
            <w:u w:val="single"/>
            <w:rtl w:val="0"/>
          </w:rPr>
          <w:t xml:space="preserve">https://www.researchgate.net/publication/343836806_Factives_at_hand_When_presupposition_mode_affects_motor_response</w:t>
        </w:r>
      </w:hyperlink>
      <w:r w:rsidDel="00000000" w:rsidR="00000000" w:rsidRPr="00000000">
        <w:rPr>
          <w:rFonts w:ascii="Calibri" w:cs="Calibri" w:eastAsia="Calibri" w:hAnsi="Calibri"/>
          <w:color w:val="954f72"/>
          <w:sz w:val="18"/>
          <w:szCs w:val="18"/>
          <w:rtl w:val="0"/>
        </w:rPr>
        <w:t xml:space="preserve">[JL2]</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1">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see this as about linguistics. We see it as influence of perspective taking on motor processes.</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STUDIES THAT CONSTRAIN AGENT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sz w:val="24"/>
          <w:szCs w:val="24"/>
          <w:rtl w:val="0"/>
        </w:rPr>
        <w:t xml:space="preserve">Low, J., Edwards, K., &amp; Butterfill, S.A. (2020). Visibly constraining an agent modulates observers' automatic false-belief tracking. </w:t>
      </w:r>
      <w:r w:rsidDel="00000000" w:rsidR="00000000" w:rsidRPr="00000000">
        <w:rPr>
          <w:rFonts w:ascii="Times New Roman" w:cs="Times New Roman" w:eastAsia="Times New Roman" w:hAnsi="Times New Roman"/>
          <w:b w:val="1"/>
          <w:sz w:val="24"/>
          <w:szCs w:val="24"/>
          <w:rtl w:val="0"/>
        </w:rPr>
        <w:t xml:space="preserve">Scientific Reports, 10</w:t>
      </w:r>
      <w:r w:rsidDel="00000000" w:rsidR="00000000" w:rsidRPr="00000000">
        <w:rPr>
          <w:rFonts w:ascii="Times New Roman" w:cs="Times New Roman" w:eastAsia="Times New Roman" w:hAnsi="Times New Roman"/>
          <w:sz w:val="24"/>
          <w:szCs w:val="24"/>
          <w:rtl w:val="0"/>
        </w:rPr>
        <w:t xml:space="preserve">, 11311.</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954f72"/>
            <w:sz w:val="24"/>
            <w:szCs w:val="24"/>
            <w:u w:val="single"/>
            <w:rtl w:val="0"/>
          </w:rPr>
          <w:t xml:space="preserve">https://doi.org/10.1038/s41598-020-68240-7</w:t>
        </w:r>
      </w:hyperlink>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rPr>
          <w:rFonts w:ascii="Calibri" w:cs="Calibri" w:eastAsia="Calibri" w:hAnsi="Calibri"/>
          <w:sz w:val="18"/>
          <w:szCs w:val="18"/>
        </w:rPr>
      </w:pPr>
      <w:r w:rsidDel="00000000" w:rsidR="00000000" w:rsidRPr="00000000">
        <w:rPr>
          <w:rFonts w:ascii="Times New Roman" w:cs="Times New Roman" w:eastAsia="Times New Roman" w:hAnsi="Times New Roman"/>
          <w:sz w:val="24"/>
          <w:szCs w:val="24"/>
          <w:rtl w:val="0"/>
        </w:rPr>
        <w:t xml:space="preserve">Ward, E., Bach, P., McDonough, K., &amp; Ganis, G. (2020, </w:t>
      </w:r>
      <w:r w:rsidDel="00000000" w:rsidR="00000000" w:rsidRPr="00000000">
        <w:rPr>
          <w:rFonts w:ascii="Times New Roman" w:cs="Times New Roman" w:eastAsia="Times New Roman" w:hAnsi="Times New Roman"/>
          <w:sz w:val="24"/>
          <w:szCs w:val="24"/>
          <w:highlight w:val="yellow"/>
          <w:rtl w:val="0"/>
        </w:rPr>
        <w:t xml:space="preserve">unpublished</w:t>
      </w:r>
      <w:r w:rsidDel="00000000" w:rsidR="00000000" w:rsidRPr="00000000">
        <w:rPr>
          <w:rFonts w:ascii="Times New Roman" w:cs="Times New Roman" w:eastAsia="Times New Roman" w:hAnsi="Times New Roman"/>
          <w:sz w:val="24"/>
          <w:szCs w:val="24"/>
          <w:rtl w:val="0"/>
        </w:rPr>
        <w:t xml:space="preserve">). Is implicit Level-2 visual perspective taking embodied? Perceptual simulation of others’ perspectives is not impaired by motor restriction.</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954f72"/>
            <w:sz w:val="24"/>
            <w:szCs w:val="24"/>
            <w:u w:val="single"/>
            <w:rtl w:val="0"/>
          </w:rPr>
          <w:t xml:space="preserve">https://doi.org/10.31234/osf.io/84q7g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954f72"/>
          <w:sz w:val="18"/>
          <w:szCs w:val="18"/>
          <w:rtl w:val="0"/>
        </w:rPr>
        <w:t xml:space="preserve">[JL3]</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sz w:val="24"/>
          <w:szCs w:val="24"/>
          <w:rtl w:val="0"/>
        </w:rPr>
        <w:t xml:space="preserve">Schmitz, L., Vesper, C., Sebanz, N., &amp; Knoblich, G. (2017). Co-representation of others’ task constraints in joint action. </w:t>
      </w:r>
      <w:r w:rsidDel="00000000" w:rsidR="00000000" w:rsidRPr="00000000">
        <w:rPr>
          <w:rFonts w:ascii="Times New Roman" w:cs="Times New Roman" w:eastAsia="Times New Roman" w:hAnsi="Times New Roman"/>
          <w:b w:val="1"/>
          <w:sz w:val="24"/>
          <w:szCs w:val="24"/>
          <w:rtl w:val="0"/>
        </w:rPr>
        <w:t xml:space="preserve">Journal of Experimental Psychology: Human Perception and Performance, 43</w:t>
      </w:r>
      <w:r w:rsidDel="00000000" w:rsidR="00000000" w:rsidRPr="00000000">
        <w:rPr>
          <w:rFonts w:ascii="Times New Roman" w:cs="Times New Roman" w:eastAsia="Times New Roman" w:hAnsi="Times New Roman"/>
          <w:sz w:val="24"/>
          <w:szCs w:val="24"/>
          <w:rtl w:val="0"/>
        </w:rPr>
        <w:t xml:space="preserve">, 1480–1493.</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954f72"/>
            <w:sz w:val="24"/>
            <w:szCs w:val="24"/>
            <w:u w:val="single"/>
            <w:rtl w:val="0"/>
          </w:rPr>
          <w:t xml:space="preserve">https://doi.org/10.1037/xhp0000403</w:t>
        </w:r>
      </w:hyperlink>
      <w:r w:rsidDel="00000000" w:rsidR="00000000" w:rsidRPr="00000000">
        <w:rPr>
          <w:rtl w:val="0"/>
        </w:rPr>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‘unconstrained actors represented their coactor’s task constraint and adjusted their own actions accordingly, particularly under high coordination demands. The findings also showed that unconstrained actors represented the object property constraining their coactor’s movement rather than parameters of this movement’ --- similar to our smurf findings insofar as in both cases, constraints on the agent are reflected in the action performance of the observer.</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sz w:val="18"/>
          <w:szCs w:val="18"/>
        </w:rPr>
      </w:pPr>
      <w:r w:rsidDel="00000000" w:rsidR="00000000" w:rsidRPr="00000000">
        <w:rPr>
          <w:rFonts w:ascii="Times New Roman" w:cs="Times New Roman" w:eastAsia="Times New Roman" w:hAnsi="Times New Roman"/>
          <w:sz w:val="24"/>
          <w:szCs w:val="24"/>
          <w:rtl w:val="0"/>
        </w:rPr>
        <w:t xml:space="preserve">Fini, C., Brass, M., &amp; Committeri, G. (2015). Social scaling of extrapersonal space: Target objects are judged as closer when the reference frame is a human agent with available movement potentialities. </w:t>
      </w:r>
      <w:r w:rsidDel="00000000" w:rsidR="00000000" w:rsidRPr="00000000">
        <w:rPr>
          <w:rFonts w:ascii="Times New Roman" w:cs="Times New Roman" w:eastAsia="Times New Roman" w:hAnsi="Times New Roman"/>
          <w:b w:val="1"/>
          <w:sz w:val="24"/>
          <w:szCs w:val="24"/>
          <w:rtl w:val="0"/>
        </w:rPr>
        <w:t xml:space="preserve">Cognition, 134</w:t>
      </w:r>
      <w:r w:rsidDel="00000000" w:rsidR="00000000" w:rsidRPr="00000000">
        <w:rPr>
          <w:rFonts w:ascii="Times New Roman" w:cs="Times New Roman" w:eastAsia="Times New Roman" w:hAnsi="Times New Roman"/>
          <w:sz w:val="24"/>
          <w:szCs w:val="24"/>
          <w:rtl w:val="0"/>
        </w:rPr>
        <w:t xml:space="preserve">, 50–56.</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954f72"/>
            <w:sz w:val="24"/>
            <w:szCs w:val="24"/>
            <w:u w:val="single"/>
            <w:rtl w:val="0"/>
          </w:rPr>
          <w:t xml:space="preserve">https://doi.org/10.1016/j.cognition.2014.08.014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954f72"/>
          <w:sz w:val="18"/>
          <w:szCs w:val="18"/>
          <w:rtl w:val="0"/>
        </w:rPr>
        <w:t xml:space="preserve">[JL4]</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STUDIES THAT CONSTRAIN (or ENHANCE) OBSERVER</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Rivière, James, and Roger Lécuyer. ‘Effects of Arm Weight on C-Not-B Task Performance: Implications for the Motor Inhibitory Deficit Account of Search Failures’. </w:t>
      </w:r>
      <w:r w:rsidDel="00000000" w:rsidR="00000000" w:rsidRPr="00000000">
        <w:rPr>
          <w:rFonts w:ascii="Times New Roman" w:cs="Times New Roman" w:eastAsia="Times New Roman" w:hAnsi="Times New Roman"/>
          <w:i w:val="1"/>
          <w:sz w:val="24"/>
          <w:szCs w:val="24"/>
          <w:rtl w:val="0"/>
        </w:rPr>
        <w:t xml:space="preserve">Journal of Experimental Child Psychology</w:t>
      </w:r>
      <w:r w:rsidDel="00000000" w:rsidR="00000000" w:rsidRPr="00000000">
        <w:rPr>
          <w:rFonts w:ascii="Times New Roman" w:cs="Times New Roman" w:eastAsia="Times New Roman" w:hAnsi="Times New Roman"/>
          <w:sz w:val="24"/>
          <w:szCs w:val="24"/>
          <w:rtl w:val="0"/>
        </w:rPr>
        <w:t xml:space="preserve"> 100, no. 1 (1 May 2008): 1–16.</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https://doi.org/10.1016/j.jecp.2008.01.005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developmental: constraining infant </w:t>
      </w:r>
      <w:r w:rsidDel="00000000" w:rsidR="00000000" w:rsidRPr="00000000">
        <w:rPr>
          <w:rFonts w:ascii="Times New Roman" w:cs="Times New Roman" w:eastAsia="Times New Roman" w:hAnsi="Times New Roman"/>
          <w:i w:val="1"/>
          <w:sz w:val="24"/>
          <w:szCs w:val="24"/>
          <w:rtl w:val="0"/>
        </w:rPr>
        <w:t xml:space="preserve">improves </w:t>
      </w:r>
      <w:r w:rsidDel="00000000" w:rsidR="00000000" w:rsidRPr="00000000">
        <w:rPr>
          <w:rFonts w:ascii="Times New Roman" w:cs="Times New Roman" w:eastAsia="Times New Roman" w:hAnsi="Times New Roman"/>
          <w:sz w:val="24"/>
          <w:szCs w:val="24"/>
          <w:rtl w:val="0"/>
        </w:rPr>
        <w:t xml:space="preserve">performance (Strong evidence of effect of motor on cognition)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sz w:val="24"/>
          <w:szCs w:val="24"/>
          <w:rtl w:val="0"/>
        </w:rPr>
        <w:t xml:space="preserve">Toussaint, L., Wamain, Y., Bidet-Ildei, C., &amp; Coello, Y. (2020). Short-term upper-limb immobilization alters peripersonal space representation. </w:t>
      </w:r>
      <w:r w:rsidDel="00000000" w:rsidR="00000000" w:rsidRPr="00000000">
        <w:rPr>
          <w:rFonts w:ascii="Times New Roman" w:cs="Times New Roman" w:eastAsia="Times New Roman" w:hAnsi="Times New Roman"/>
          <w:b w:val="1"/>
          <w:sz w:val="24"/>
          <w:szCs w:val="24"/>
          <w:rtl w:val="0"/>
        </w:rPr>
        <w:t xml:space="preserve">Psychological Research, 84, </w:t>
      </w:r>
      <w:r w:rsidDel="00000000" w:rsidR="00000000" w:rsidRPr="00000000">
        <w:rPr>
          <w:rFonts w:ascii="Times New Roman" w:cs="Times New Roman" w:eastAsia="Times New Roman" w:hAnsi="Times New Roman"/>
          <w:sz w:val="24"/>
          <w:szCs w:val="24"/>
          <w:rtl w:val="0"/>
        </w:rPr>
        <w:t xml:space="preserve">907–914.</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954f72"/>
            <w:sz w:val="24"/>
            <w:szCs w:val="24"/>
            <w:u w:val="single"/>
            <w:rtl w:val="0"/>
          </w:rPr>
          <w:t xml:space="preserve">https://doi.org/10.1007/s00426-018-1118-0</w:t>
        </w:r>
      </w:hyperlink>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rPr>
          <w:rFonts w:ascii="Times New Roman" w:cs="Times New Roman" w:eastAsia="Times New Roman" w:hAnsi="Times New Roman"/>
          <w:color w:val="954f72"/>
          <w:sz w:val="24"/>
          <w:szCs w:val="24"/>
          <w:highlight w:val="yellow"/>
          <w:u w:val="single"/>
        </w:rPr>
      </w:pPr>
      <w:r w:rsidDel="00000000" w:rsidR="00000000" w:rsidRPr="00000000">
        <w:rPr>
          <w:rFonts w:ascii="Times New Roman" w:cs="Times New Roman" w:eastAsia="Times New Roman" w:hAnsi="Times New Roman"/>
          <w:sz w:val="24"/>
          <w:szCs w:val="24"/>
          <w:highlight w:val="yellow"/>
          <w:rtl w:val="0"/>
        </w:rPr>
        <w:t xml:space="preserve">Donno, B., Migliorati, D., Zappasodi, F., Perrucci, M.G., &amp; Costantini, M. (2020). The impact of body posture on intrinsic brain activity: the role of beta power at rest. </w:t>
      </w:r>
      <w:r w:rsidDel="00000000" w:rsidR="00000000" w:rsidRPr="00000000">
        <w:rPr>
          <w:rFonts w:ascii="Times New Roman" w:cs="Times New Roman" w:eastAsia="Times New Roman" w:hAnsi="Times New Roman"/>
          <w:i w:val="1"/>
          <w:sz w:val="24"/>
          <w:szCs w:val="24"/>
          <w:highlight w:val="yellow"/>
          <w:rtl w:val="0"/>
        </w:rPr>
        <w:t xml:space="preserve">PLOS ONE, 15</w:t>
      </w:r>
      <w:r w:rsidDel="00000000" w:rsidR="00000000" w:rsidRPr="00000000">
        <w:rPr>
          <w:rFonts w:ascii="Times New Roman" w:cs="Times New Roman" w:eastAsia="Times New Roman" w:hAnsi="Times New Roman"/>
          <w:sz w:val="24"/>
          <w:szCs w:val="24"/>
          <w:highlight w:val="yellow"/>
          <w:rtl w:val="0"/>
        </w:rPr>
        <w:t xml:space="preserve">, e0218977.</w:t>
      </w:r>
      <w:hyperlink r:id="rId32">
        <w:r w:rsidDel="00000000" w:rsidR="00000000" w:rsidRPr="00000000">
          <w:rPr>
            <w:rFonts w:ascii="Times New Roman" w:cs="Times New Roman" w:eastAsia="Times New Roman" w:hAnsi="Times New Roman"/>
            <w:sz w:val="24"/>
            <w:szCs w:val="24"/>
            <w:highlight w:val="yellow"/>
            <w:rtl w:val="0"/>
          </w:rPr>
          <w:t xml:space="preserve"> </w:t>
        </w:r>
      </w:hyperlink>
      <w:hyperlink r:id="rId33">
        <w:r w:rsidDel="00000000" w:rsidR="00000000" w:rsidRPr="00000000">
          <w:rPr>
            <w:rFonts w:ascii="Times New Roman" w:cs="Times New Roman" w:eastAsia="Times New Roman" w:hAnsi="Times New Roman"/>
            <w:color w:val="954f72"/>
            <w:sz w:val="24"/>
            <w:szCs w:val="24"/>
            <w:highlight w:val="yellow"/>
            <w:u w:val="single"/>
            <w:rtl w:val="0"/>
          </w:rPr>
          <w:t xml:space="preserve">https://doi.org/10.1371/journal.pone.0218977</w:t>
        </w:r>
      </w:hyperlink>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Quarona, D., Radduzzi, M., Costantini, M., &amp; </w:t>
      </w:r>
      <w:r w:rsidDel="00000000" w:rsidR="00000000" w:rsidRPr="00000000">
        <w:rPr>
          <w:rFonts w:ascii="Times New Roman" w:cs="Times New Roman" w:eastAsia="Times New Roman" w:hAnsi="Times New Roman"/>
          <w:b w:val="1"/>
          <w:sz w:val="24"/>
          <w:szCs w:val="24"/>
          <w:highlight w:val="yellow"/>
          <w:rtl w:val="0"/>
        </w:rPr>
        <w:t xml:space="preserve">Sinigaglia, C.</w:t>
      </w:r>
      <w:r w:rsidDel="00000000" w:rsidR="00000000" w:rsidRPr="00000000">
        <w:rPr>
          <w:rFonts w:ascii="Times New Roman" w:cs="Times New Roman" w:eastAsia="Times New Roman" w:hAnsi="Times New Roman"/>
          <w:sz w:val="24"/>
          <w:szCs w:val="24"/>
          <w:highlight w:val="yellow"/>
          <w:rtl w:val="0"/>
        </w:rPr>
        <w:t xml:space="preserve"> (2020). Preventing action slows down performance in perceptual judgement. </w:t>
      </w:r>
      <w:r w:rsidDel="00000000" w:rsidR="00000000" w:rsidRPr="00000000">
        <w:rPr>
          <w:rFonts w:ascii="Times New Roman" w:cs="Times New Roman" w:eastAsia="Times New Roman" w:hAnsi="Times New Roman"/>
          <w:i w:val="1"/>
          <w:sz w:val="24"/>
          <w:szCs w:val="24"/>
          <w:highlight w:val="yellow"/>
          <w:rtl w:val="0"/>
        </w:rPr>
        <w:t xml:space="preserve">Experimental and Brain Research, 238</w:t>
      </w:r>
      <w:r w:rsidDel="00000000" w:rsidR="00000000" w:rsidRPr="00000000">
        <w:rPr>
          <w:rFonts w:ascii="Times New Roman" w:cs="Times New Roman" w:eastAsia="Times New Roman" w:hAnsi="Times New Roman"/>
          <w:sz w:val="24"/>
          <w:szCs w:val="24"/>
          <w:highlight w:val="yellow"/>
          <w:rtl w:val="0"/>
        </w:rPr>
        <w:t xml:space="preserve">, 2857-2864.</w:t>
      </w:r>
      <w:r w:rsidDel="00000000" w:rsidR="00000000" w:rsidRPr="00000000">
        <w:rPr>
          <w:rFonts w:ascii="Times New Roman" w:cs="Times New Roman" w:eastAsia="Times New Roman" w:hAnsi="Times New Roman"/>
          <w:sz w:val="24"/>
          <w:szCs w:val="24"/>
          <w:rtl w:val="0"/>
        </w:rPr>
        <w:t xml:space="preserve"> [low priority]</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Costantini, Marcello, Luca Tommasi, and Corrado Sinigaglia. ‘How Action Performance Affects Object Perception’. Experimental Brain Research 237, no. 7 (1 July 2019): 1805–10. https://doi.org/10.1007/s00221-019-05547-6.</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of action performance on judgements about objects.</w:t>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Yeung, H. Henny, and Mark Scott. ‘Postural Control of the Vocal Tract Affects Auditory Speech Perception’. Journal of Experimental Psychology: General, 2020, No Pagination Specified-No Pagination Specified. https://doi.org/10.1037/xge0000990.</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(postural, contrasted with motor)</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STUDIES THAT EXAMINE AGENT-OBSERVER MOTOR SIMILARITY</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sz w:val="24"/>
          <w:szCs w:val="24"/>
          <w:rtl w:val="0"/>
        </w:rPr>
        <w:t xml:space="preserve">De Marco, D., Scalona, E., Bazzini, M.C., Avanzini, P., &amp; Fabbri-Destro, M. (2020). Observer-agent kinematic similarity facilitates action intention decoding. </w:t>
      </w:r>
      <w:r w:rsidDel="00000000" w:rsidR="00000000" w:rsidRPr="00000000">
        <w:rPr>
          <w:rFonts w:ascii="Times New Roman" w:cs="Times New Roman" w:eastAsia="Times New Roman" w:hAnsi="Times New Roman"/>
          <w:b w:val="1"/>
          <w:sz w:val="24"/>
          <w:szCs w:val="24"/>
          <w:rtl w:val="0"/>
        </w:rPr>
        <w:t xml:space="preserve">Scientific Reports, 10</w:t>
      </w:r>
      <w:r w:rsidDel="00000000" w:rsidR="00000000" w:rsidRPr="00000000">
        <w:rPr>
          <w:rFonts w:ascii="Times New Roman" w:cs="Times New Roman" w:eastAsia="Times New Roman" w:hAnsi="Times New Roman"/>
          <w:sz w:val="24"/>
          <w:szCs w:val="24"/>
          <w:rtl w:val="0"/>
        </w:rPr>
        <w:t xml:space="preserve">, 2605.</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954f72"/>
            <w:sz w:val="24"/>
            <w:szCs w:val="24"/>
            <w:u w:val="single"/>
            <w:rtl w:val="0"/>
          </w:rPr>
          <w:t xml:space="preserve">https://doi.org/10.1038/s41598-020-59176-z</w:t>
        </w:r>
      </w:hyperlink>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Pavlidou, A., Gallagher, M., Lopez, C., &amp; Ferrè, E.R. (2019). Let’s share our perspectives, but only of our body postures match. </w:t>
      </w:r>
      <w:r w:rsidDel="00000000" w:rsidR="00000000" w:rsidRPr="00000000">
        <w:rPr>
          <w:rFonts w:ascii="Times New Roman" w:cs="Times New Roman" w:eastAsia="Times New Roman" w:hAnsi="Times New Roman"/>
          <w:i w:val="1"/>
          <w:sz w:val="24"/>
          <w:szCs w:val="24"/>
          <w:highlight w:val="yellow"/>
          <w:rtl w:val="0"/>
        </w:rPr>
        <w:t xml:space="preserve">Cortex, 119</w:t>
      </w:r>
      <w:r w:rsidDel="00000000" w:rsidR="00000000" w:rsidRPr="00000000">
        <w:rPr>
          <w:rFonts w:ascii="Times New Roman" w:cs="Times New Roman" w:eastAsia="Times New Roman" w:hAnsi="Times New Roman"/>
          <w:sz w:val="24"/>
          <w:szCs w:val="24"/>
          <w:highlight w:val="yellow"/>
          <w:rtl w:val="0"/>
        </w:rPr>
        <w:t xml:space="preserve">, 575-579.</w:t>
      </w:r>
      <w:hyperlink r:id="rId36">
        <w:r w:rsidDel="00000000" w:rsidR="00000000" w:rsidRPr="00000000">
          <w:rPr>
            <w:rFonts w:ascii="Times New Roman" w:cs="Times New Roman" w:eastAsia="Times New Roman" w:hAnsi="Times New Roman"/>
            <w:sz w:val="24"/>
            <w:szCs w:val="24"/>
            <w:highlight w:val="yellow"/>
            <w:rtl w:val="0"/>
          </w:rPr>
          <w:t xml:space="preserve"> </w:t>
        </w:r>
      </w:hyperlink>
      <w:hyperlink r:id="rId37">
        <w:r w:rsidDel="00000000" w:rsidR="00000000" w:rsidRPr="00000000">
          <w:rPr>
            <w:rFonts w:ascii="Times New Roman" w:cs="Times New Roman" w:eastAsia="Times New Roman" w:hAnsi="Times New Roman"/>
            <w:color w:val="954f72"/>
            <w:sz w:val="24"/>
            <w:szCs w:val="24"/>
            <w:highlight w:val="yellow"/>
            <w:u w:val="single"/>
            <w:rtl w:val="0"/>
          </w:rPr>
          <w:t xml:space="preserve">https://doi.org/10.1016/j.cortex.2019.02.019</w:t>
        </w:r>
      </w:hyperlink>
      <w:r w:rsidDel="00000000" w:rsidR="00000000" w:rsidRPr="00000000">
        <w:rPr>
          <w:rFonts w:ascii="Times New Roman" w:cs="Times New Roman" w:eastAsia="Times New Roman" w:hAnsi="Times New Roman"/>
          <w:sz w:val="24"/>
          <w:szCs w:val="24"/>
          <w:rtl w:val="0"/>
        </w:rPr>
        <w:t xml:space="preserve"> [this might be the leading illustration of our view]</w:t>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Erle, Thorsten Michael. ‘Level-2 Visuo-Spatial Perspective-Taking and Interoception – More Evidence for the Embodiment of Perspective-Taking’. PLOS ONE 14, no. 6 (27 June 2019): e0219005. https://doi.org/10.1371/journal.pone.0219005. [also good but prioritise Pavlidou et al]</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Casartelli, L., Federici, A., Fumagalli, L., Cesareo, A., Nicoli, M., Ronconi, L., Vitale, A., Molteni, M., Rizzolatti, G., &amp; Sinigaglia, C. (2020). Neurotypical individuals fail to understand action vitality form in children with autism spectrum disorder. </w:t>
      </w:r>
      <w:r w:rsidDel="00000000" w:rsidR="00000000" w:rsidRPr="00000000">
        <w:rPr>
          <w:rFonts w:ascii="Times New Roman" w:cs="Times New Roman" w:eastAsia="Times New Roman" w:hAnsi="Times New Roman"/>
          <w:i w:val="1"/>
          <w:sz w:val="24"/>
          <w:szCs w:val="24"/>
          <w:highlight w:val="yellow"/>
          <w:rtl w:val="0"/>
        </w:rPr>
        <w:t xml:space="preserve">Proceedings of the National Academy of Sciences USA, 117(44)</w:t>
      </w:r>
      <w:r w:rsidDel="00000000" w:rsidR="00000000" w:rsidRPr="00000000">
        <w:rPr>
          <w:rFonts w:ascii="Times New Roman" w:cs="Times New Roman" w:eastAsia="Times New Roman" w:hAnsi="Times New Roman"/>
          <w:sz w:val="24"/>
          <w:szCs w:val="24"/>
          <w:highlight w:val="yellow"/>
          <w:rtl w:val="0"/>
        </w:rPr>
        <w:t xml:space="preserve">, 27712 – 27718.</w:t>
      </w:r>
      <w:hyperlink r:id="rId38">
        <w:r w:rsidDel="00000000" w:rsidR="00000000" w:rsidRPr="00000000">
          <w:rPr>
            <w:rFonts w:ascii="Times New Roman" w:cs="Times New Roman" w:eastAsia="Times New Roman" w:hAnsi="Times New Roman"/>
            <w:sz w:val="24"/>
            <w:szCs w:val="24"/>
            <w:highlight w:val="yellow"/>
            <w:rtl w:val="0"/>
          </w:rPr>
          <w:t xml:space="preserve"> </w:t>
        </w:r>
      </w:hyperlink>
      <w:hyperlink r:id="rId39">
        <w:r w:rsidDel="00000000" w:rsidR="00000000" w:rsidRPr="00000000">
          <w:rPr>
            <w:rFonts w:ascii="Times New Roman" w:cs="Times New Roman" w:eastAsia="Times New Roman" w:hAnsi="Times New Roman"/>
            <w:color w:val="954f72"/>
            <w:sz w:val="24"/>
            <w:szCs w:val="24"/>
            <w:highlight w:val="yellow"/>
            <w:u w:val="single"/>
            <w:rtl w:val="0"/>
          </w:rPr>
          <w:t xml:space="preserve">http://doi.org/10.1073/pnas.2011311117</w:t>
        </w:r>
      </w:hyperlink>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This has led to the hypothesis that observing someone else acting with a given vitality form would involve a transformation of the sensory information concerning the observed action into processes and representations which would occur if the observers were expressing that vitality form themselves. If the observed actions match the internal representation of corresponding vitality forms, this would allow the observers to recognize them as well as to track the related mood or affective states’]</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ARGUMENTS AGAINST IMPORT OF MOTOR REPRESENTATIONS</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spacing w:line="360" w:lineRule="auto"/>
        <w:rPr>
          <w:rFonts w:ascii="Times New Roman" w:cs="Times New Roman" w:eastAsia="Times New Roman" w:hAnsi="Times New Roman"/>
          <w:b w:val="1"/>
          <w:color w:val="954f72"/>
          <w:sz w:val="24"/>
          <w:szCs w:val="24"/>
          <w:highlight w:val="yellow"/>
          <w:u w:val="single"/>
        </w:rPr>
      </w:pPr>
      <w:r w:rsidDel="00000000" w:rsidR="00000000" w:rsidRPr="00000000">
        <w:rPr>
          <w:rFonts w:ascii="Times New Roman" w:cs="Times New Roman" w:eastAsia="Times New Roman" w:hAnsi="Times New Roman"/>
          <w:b w:val="1"/>
          <w:sz w:val="24"/>
          <w:szCs w:val="24"/>
          <w:highlight w:val="yellow"/>
          <w:rtl w:val="0"/>
        </w:rPr>
        <w:t xml:space="preserve">Vannuscorps, G., Andres, M., &amp; Caramazza, A. (2020). Efficient recognition of facial expressions does not require motor simulation. </w:t>
      </w:r>
      <w:r w:rsidDel="00000000" w:rsidR="00000000" w:rsidRPr="00000000">
        <w:rPr>
          <w:rFonts w:ascii="Times New Roman" w:cs="Times New Roman" w:eastAsia="Times New Roman" w:hAnsi="Times New Roman"/>
          <w:b w:val="1"/>
          <w:i w:val="1"/>
          <w:sz w:val="24"/>
          <w:szCs w:val="24"/>
          <w:highlight w:val="yellow"/>
          <w:rtl w:val="0"/>
        </w:rPr>
        <w:t xml:space="preserve">Elife, 9</w:t>
      </w:r>
      <w:r w:rsidDel="00000000" w:rsidR="00000000" w:rsidRPr="00000000">
        <w:rPr>
          <w:rFonts w:ascii="Times New Roman" w:cs="Times New Roman" w:eastAsia="Times New Roman" w:hAnsi="Times New Roman"/>
          <w:b w:val="1"/>
          <w:sz w:val="24"/>
          <w:szCs w:val="24"/>
          <w:highlight w:val="yellow"/>
          <w:rtl w:val="0"/>
        </w:rPr>
        <w:t xml:space="preserve">, e54687.</w:t>
      </w:r>
      <w:hyperlink r:id="rId40">
        <w:r w:rsidDel="00000000" w:rsidR="00000000" w:rsidRPr="00000000">
          <w:rPr>
            <w:rFonts w:ascii="Times New Roman" w:cs="Times New Roman" w:eastAsia="Times New Roman" w:hAnsi="Times New Roman"/>
            <w:b w:val="1"/>
            <w:sz w:val="24"/>
            <w:szCs w:val="24"/>
            <w:highlight w:val="yellow"/>
            <w:rtl w:val="0"/>
          </w:rPr>
          <w:t xml:space="preserve"> </w:t>
        </w:r>
      </w:hyperlink>
      <w:hyperlink r:id="rId41">
        <w:r w:rsidDel="00000000" w:rsidR="00000000" w:rsidRPr="00000000">
          <w:rPr>
            <w:rFonts w:ascii="Times New Roman" w:cs="Times New Roman" w:eastAsia="Times New Roman" w:hAnsi="Times New Roman"/>
            <w:b w:val="1"/>
            <w:color w:val="954f72"/>
            <w:sz w:val="24"/>
            <w:szCs w:val="24"/>
            <w:highlight w:val="yellow"/>
            <w:u w:val="single"/>
            <w:rtl w:val="0"/>
          </w:rPr>
          <w:t xml:space="preserve">http://doi.org/10.7554/eLife.54687</w:t>
        </w:r>
      </w:hyperlink>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 </w:t>
      </w:r>
    </w:p>
    <w:p w:rsidR="00000000" w:rsidDel="00000000" w:rsidP="00000000" w:rsidRDefault="00000000" w:rsidRPr="00000000" w14:paraId="0000004F">
      <w:pPr>
        <w:spacing w:line="360" w:lineRule="auto"/>
        <w:rPr>
          <w:rFonts w:ascii="Times New Roman" w:cs="Times New Roman" w:eastAsia="Times New Roman" w:hAnsi="Times New Roman"/>
          <w:b w:val="1"/>
          <w:color w:val="954f72"/>
          <w:sz w:val="24"/>
          <w:szCs w:val="24"/>
          <w:highlight w:val="yellow"/>
          <w:u w:val="single"/>
        </w:rPr>
      </w:pPr>
      <w:r w:rsidDel="00000000" w:rsidR="00000000" w:rsidRPr="00000000">
        <w:rPr>
          <w:rFonts w:ascii="Times New Roman" w:cs="Times New Roman" w:eastAsia="Times New Roman" w:hAnsi="Times New Roman"/>
          <w:b w:val="1"/>
          <w:sz w:val="24"/>
          <w:szCs w:val="24"/>
          <w:highlight w:val="yellow"/>
          <w:rtl w:val="0"/>
        </w:rPr>
        <w:t xml:space="preserve">Vannuscorps, G., &amp; Caramazza, A. (2017). Typical predictive eye movements during action observation without effector-specific motor simulation. </w:t>
      </w:r>
      <w:r w:rsidDel="00000000" w:rsidR="00000000" w:rsidRPr="00000000">
        <w:rPr>
          <w:rFonts w:ascii="Times New Roman" w:cs="Times New Roman" w:eastAsia="Times New Roman" w:hAnsi="Times New Roman"/>
          <w:b w:val="1"/>
          <w:i w:val="1"/>
          <w:sz w:val="24"/>
          <w:szCs w:val="24"/>
          <w:highlight w:val="yellow"/>
          <w:rtl w:val="0"/>
        </w:rPr>
        <w:t xml:space="preserve">Psychonomic Bulletin &amp; Review, 24</w:t>
      </w:r>
      <w:r w:rsidDel="00000000" w:rsidR="00000000" w:rsidRPr="00000000">
        <w:rPr>
          <w:rFonts w:ascii="Times New Roman" w:cs="Times New Roman" w:eastAsia="Times New Roman" w:hAnsi="Times New Roman"/>
          <w:b w:val="1"/>
          <w:sz w:val="24"/>
          <w:szCs w:val="24"/>
          <w:highlight w:val="yellow"/>
          <w:rtl w:val="0"/>
        </w:rPr>
        <w:t xml:space="preserve">, 1152–1157.</w:t>
      </w:r>
      <w:hyperlink r:id="rId42">
        <w:r w:rsidDel="00000000" w:rsidR="00000000" w:rsidRPr="00000000">
          <w:rPr>
            <w:rFonts w:ascii="Times New Roman" w:cs="Times New Roman" w:eastAsia="Times New Roman" w:hAnsi="Times New Roman"/>
            <w:b w:val="1"/>
            <w:sz w:val="24"/>
            <w:szCs w:val="24"/>
            <w:rtl w:val="0"/>
          </w:rPr>
          <w:t xml:space="preserve"> </w:t>
        </w:r>
      </w:hyperlink>
      <w:hyperlink r:id="rId43">
        <w:r w:rsidDel="00000000" w:rsidR="00000000" w:rsidRPr="00000000">
          <w:rPr>
            <w:rFonts w:ascii="Times New Roman" w:cs="Times New Roman" w:eastAsia="Times New Roman" w:hAnsi="Times New Roman"/>
            <w:b w:val="1"/>
            <w:color w:val="954f72"/>
            <w:sz w:val="24"/>
            <w:szCs w:val="24"/>
            <w:highlight w:val="yellow"/>
            <w:u w:val="single"/>
            <w:rtl w:val="0"/>
          </w:rPr>
          <w:t xml:space="preserve">https://doi.org/10.3758/s13423-016-1219-y</w:t>
        </w:r>
      </w:hyperlink>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STUDIES THAT EXAMINE AGENT-OBSERVER POSTURAL SIMILARITY</w:t>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RECENT THEORETICAL WORKS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360" w:lineRule="auto"/>
        <w:rPr>
          <w:rFonts w:ascii="Times New Roman" w:cs="Times New Roman" w:eastAsia="Times New Roman" w:hAnsi="Times New Roman"/>
          <w:color w:val="954f72"/>
          <w:sz w:val="24"/>
          <w:szCs w:val="24"/>
          <w:u w:val="single"/>
        </w:rPr>
      </w:pPr>
      <w:r w:rsidDel="00000000" w:rsidR="00000000" w:rsidRPr="00000000">
        <w:rPr>
          <w:rFonts w:ascii="Times New Roman" w:cs="Times New Roman" w:eastAsia="Times New Roman" w:hAnsi="Times New Roman"/>
          <w:sz w:val="24"/>
          <w:szCs w:val="24"/>
          <w:rtl w:val="0"/>
        </w:rPr>
        <w:t xml:space="preserve">Shapiro, L.A. (2019). Flesh matters: the body in cognition. </w:t>
      </w:r>
      <w:r w:rsidDel="00000000" w:rsidR="00000000" w:rsidRPr="00000000">
        <w:rPr>
          <w:rFonts w:ascii="Times New Roman" w:cs="Times New Roman" w:eastAsia="Times New Roman" w:hAnsi="Times New Roman"/>
          <w:b w:val="1"/>
          <w:sz w:val="24"/>
          <w:szCs w:val="24"/>
          <w:rtl w:val="0"/>
        </w:rPr>
        <w:t xml:space="preserve">Mind &amp; Language, 34</w:t>
      </w:r>
      <w:r w:rsidDel="00000000" w:rsidR="00000000" w:rsidRPr="00000000">
        <w:rPr>
          <w:rFonts w:ascii="Times New Roman" w:cs="Times New Roman" w:eastAsia="Times New Roman" w:hAnsi="Times New Roman"/>
          <w:sz w:val="24"/>
          <w:szCs w:val="24"/>
          <w:rtl w:val="0"/>
        </w:rPr>
        <w:t xml:space="preserve">, 3-20.</w:t>
      </w:r>
      <w:hyperlink r:id="rId44">
        <w:r w:rsidDel="00000000" w:rsidR="00000000" w:rsidRPr="00000000">
          <w:rPr>
            <w:rFonts w:ascii="Times New Roman" w:cs="Times New Roman" w:eastAsia="Times New Roman" w:hAnsi="Times New Roman"/>
            <w:sz w:val="24"/>
            <w:szCs w:val="24"/>
            <w:rtl w:val="0"/>
          </w:rPr>
          <w:t xml:space="preserve"> </w:t>
        </w:r>
      </w:hyperlink>
      <w:hyperlink r:id="rId45">
        <w:r w:rsidDel="00000000" w:rsidR="00000000" w:rsidRPr="00000000">
          <w:rPr>
            <w:rFonts w:ascii="Times New Roman" w:cs="Times New Roman" w:eastAsia="Times New Roman" w:hAnsi="Times New Roman"/>
            <w:color w:val="954f72"/>
            <w:sz w:val="24"/>
            <w:szCs w:val="24"/>
            <w:u w:val="single"/>
            <w:rtl w:val="0"/>
          </w:rPr>
          <w:t xml:space="preserve">https://doi.org/10.1111/mila.12203</w:t>
        </w:r>
      </w:hyperlink>
      <w:r w:rsidDel="00000000" w:rsidR="00000000" w:rsidRPr="00000000">
        <w:rPr>
          <w:rtl w:val="0"/>
        </w:rPr>
      </w:r>
    </w:p>
    <w:p w:rsidR="00000000" w:rsidDel="00000000" w:rsidP="00000000" w:rsidRDefault="00000000" w:rsidRPr="00000000" w14:paraId="00000058">
      <w:pPr>
        <w:spacing w:line="360" w:lineRule="auto"/>
        <w:ind w:left="720" w:firstLine="0"/>
        <w:rPr>
          <w:rFonts w:ascii="Times New Roman" w:cs="Times New Roman" w:eastAsia="Times New Roman" w:hAnsi="Times New Roman"/>
          <w:color w:val="954f72"/>
          <w:sz w:val="24"/>
          <w:szCs w:val="24"/>
          <w:u w:val="single"/>
        </w:rPr>
      </w:pPr>
      <w:r w:rsidDel="00000000" w:rsidR="00000000" w:rsidRPr="00000000">
        <w:rPr>
          <w:rFonts w:ascii="Lato" w:cs="Lato" w:eastAsia="Lato" w:hAnsi="Lato"/>
          <w:sz w:val="24"/>
          <w:szCs w:val="24"/>
          <w:rtl w:val="0"/>
        </w:rPr>
        <w:t xml:space="preserve">‘Whether the body's contribution to cognition is special depends not on whether it is a constituent in cognitive processes but whether these processes have evolved to exploit the body's features in the course of their normal operations.’</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160" w:lineRule="auto"/>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954f72"/>
          <w:sz w:val="18"/>
          <w:szCs w:val="18"/>
          <w:rtl w:val="0"/>
        </w:rPr>
        <w:t xml:space="preserve">[JL1]</w:t>
      </w:r>
      <w:r w:rsidDel="00000000" w:rsidR="00000000" w:rsidRPr="00000000">
        <w:rPr>
          <w:rFonts w:ascii="Calibri" w:cs="Calibri" w:eastAsia="Calibri" w:hAnsi="Calibri"/>
          <w:rtl w:val="0"/>
        </w:rPr>
        <w:t xml:space="preserve">Is this term too restrictive to reach wide audience? Also how many “mindreading” papers will there be?</w:t>
      </w:r>
    </w:p>
    <w:p w:rsidR="00000000" w:rsidDel="00000000" w:rsidP="00000000" w:rsidRDefault="00000000" w:rsidRPr="00000000" w14:paraId="0000005C">
      <w:pPr>
        <w:spacing w:after="160" w:lineRule="auto"/>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954f72"/>
          <w:sz w:val="18"/>
          <w:szCs w:val="18"/>
          <w:rtl w:val="0"/>
        </w:rPr>
        <w:t xml:space="preserve">[JL2]</w:t>
      </w:r>
      <w:r w:rsidDel="00000000" w:rsidR="00000000" w:rsidRPr="00000000">
        <w:rPr>
          <w:rFonts w:ascii="Calibri" w:cs="Calibri" w:eastAsia="Calibri" w:hAnsi="Calibri"/>
          <w:rtl w:val="0"/>
        </w:rPr>
        <w:t xml:space="preserve">Unpublished work is risky to consider.</w:t>
      </w:r>
    </w:p>
    <w:p w:rsidR="00000000" w:rsidDel="00000000" w:rsidP="00000000" w:rsidRDefault="00000000" w:rsidRPr="00000000" w14:paraId="0000005D">
      <w:pPr>
        <w:spacing w:after="160" w:lineRule="auto"/>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954f72"/>
          <w:sz w:val="18"/>
          <w:szCs w:val="18"/>
          <w:rtl w:val="0"/>
        </w:rPr>
        <w:t xml:space="preserve">[JL3]</w:t>
      </w:r>
      <w:r w:rsidDel="00000000" w:rsidR="00000000" w:rsidRPr="00000000">
        <w:rPr>
          <w:rFonts w:ascii="Calibri" w:cs="Calibri" w:eastAsia="Calibri" w:hAnsi="Calibri"/>
          <w:rtl w:val="0"/>
        </w:rPr>
        <w:t xml:space="preserve">Again, unpublished, but it seems useful to have a paper that will challenge us.</w:t>
      </w:r>
    </w:p>
    <w:p w:rsidR="00000000" w:rsidDel="00000000" w:rsidP="00000000" w:rsidRDefault="00000000" w:rsidRPr="00000000" w14:paraId="0000005E">
      <w:pPr>
        <w:spacing w:after="160" w:lineRule="auto"/>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954f72"/>
          <w:sz w:val="18"/>
          <w:szCs w:val="18"/>
          <w:rtl w:val="0"/>
        </w:rPr>
        <w:t xml:space="preserve">[JL4]</w:t>
      </w:r>
      <w:r w:rsidDel="00000000" w:rsidR="00000000" w:rsidRPr="00000000">
        <w:rPr>
          <w:rFonts w:ascii="Calibri" w:cs="Calibri" w:eastAsia="Calibri" w:hAnsi="Calibri"/>
          <w:rtl w:val="0"/>
        </w:rPr>
        <w:t xml:space="preserve">This is not technically about mindreading. Do we need to relax our title to be less specific to theory of mind considerations? Also, is 2015 too old?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ARGUMENTS AGAINST IMPORT OF MOTOR REPRESENTATIONS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rPr>
          <w:rFonts w:ascii="Times New Roman" w:cs="Times New Roman" w:eastAsia="Times New Roman" w:hAnsi="Times New Roman"/>
          <w:color w:val="954f72"/>
          <w:highlight w:val="yellow"/>
          <w:u w:val="single"/>
        </w:rPr>
      </w:pPr>
      <w:r w:rsidDel="00000000" w:rsidR="00000000" w:rsidRPr="00000000">
        <w:rPr>
          <w:rFonts w:ascii="Times New Roman" w:cs="Times New Roman" w:eastAsia="Times New Roman" w:hAnsi="Times New Roman"/>
          <w:highlight w:val="yellow"/>
          <w:rtl w:val="0"/>
        </w:rPr>
        <w:t xml:space="preserve">Vannuscorps, G., Andres, M., &amp; Caramazza, A. (2020). Efficient recognition of facial expressions does not require motor simulation. </w:t>
      </w:r>
      <w:r w:rsidDel="00000000" w:rsidR="00000000" w:rsidRPr="00000000">
        <w:rPr>
          <w:rFonts w:ascii="Times New Roman" w:cs="Times New Roman" w:eastAsia="Times New Roman" w:hAnsi="Times New Roman"/>
          <w:i w:val="1"/>
          <w:highlight w:val="yellow"/>
          <w:rtl w:val="0"/>
        </w:rPr>
        <w:t xml:space="preserve">Elife, 9</w:t>
      </w:r>
      <w:r w:rsidDel="00000000" w:rsidR="00000000" w:rsidRPr="00000000">
        <w:rPr>
          <w:rFonts w:ascii="Times New Roman" w:cs="Times New Roman" w:eastAsia="Times New Roman" w:hAnsi="Times New Roman"/>
          <w:highlight w:val="yellow"/>
          <w:rtl w:val="0"/>
        </w:rPr>
        <w:t xml:space="preserve">, e54687.</w:t>
      </w:r>
      <w:hyperlink r:id="rId46">
        <w:r w:rsidDel="00000000" w:rsidR="00000000" w:rsidRPr="00000000">
          <w:rPr>
            <w:rFonts w:ascii="Times New Roman" w:cs="Times New Roman" w:eastAsia="Times New Roman" w:hAnsi="Times New Roman"/>
            <w:highlight w:val="yellow"/>
            <w:rtl w:val="0"/>
          </w:rPr>
          <w:t xml:space="preserve"> </w:t>
        </w:r>
      </w:hyperlink>
      <w:hyperlink r:id="rId47">
        <w:r w:rsidDel="00000000" w:rsidR="00000000" w:rsidRPr="00000000">
          <w:rPr>
            <w:rFonts w:ascii="Times New Roman" w:cs="Times New Roman" w:eastAsia="Times New Roman" w:hAnsi="Times New Roman"/>
            <w:color w:val="954f72"/>
            <w:highlight w:val="yellow"/>
            <w:u w:val="single"/>
            <w:rtl w:val="0"/>
          </w:rPr>
          <w:t xml:space="preserve">http://doi.org/10.7554/eLife.54687</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64">
      <w:pPr>
        <w:rPr>
          <w:rFonts w:ascii="Times New Roman" w:cs="Times New Roman" w:eastAsia="Times New Roman" w:hAnsi="Times New Roman"/>
          <w:color w:val="954f72"/>
          <w:highlight w:val="yellow"/>
          <w:u w:val="single"/>
        </w:rPr>
      </w:pPr>
      <w:r w:rsidDel="00000000" w:rsidR="00000000" w:rsidRPr="00000000">
        <w:rPr>
          <w:rFonts w:ascii="Times New Roman" w:cs="Times New Roman" w:eastAsia="Times New Roman" w:hAnsi="Times New Roman"/>
          <w:highlight w:val="yellow"/>
          <w:rtl w:val="0"/>
        </w:rPr>
        <w:t xml:space="preserve">Vannuscorps, G., &amp; Caramazza, A. (2017). Typical predictive eye movements during action observation without effector-specific motor simulation. </w:t>
      </w:r>
      <w:r w:rsidDel="00000000" w:rsidR="00000000" w:rsidRPr="00000000">
        <w:rPr>
          <w:rFonts w:ascii="Times New Roman" w:cs="Times New Roman" w:eastAsia="Times New Roman" w:hAnsi="Times New Roman"/>
          <w:i w:val="1"/>
          <w:highlight w:val="yellow"/>
          <w:rtl w:val="0"/>
        </w:rPr>
        <w:t xml:space="preserve">Psychonomic Bulletin &amp; Review, 24</w:t>
      </w:r>
      <w:r w:rsidDel="00000000" w:rsidR="00000000" w:rsidRPr="00000000">
        <w:rPr>
          <w:rFonts w:ascii="Times New Roman" w:cs="Times New Roman" w:eastAsia="Times New Roman" w:hAnsi="Times New Roman"/>
          <w:highlight w:val="yellow"/>
          <w:rtl w:val="0"/>
        </w:rPr>
        <w:t xml:space="preserve">, 1152–1157.</w:t>
      </w:r>
      <w:hyperlink r:id="rId48">
        <w:r w:rsidDel="00000000" w:rsidR="00000000" w:rsidRPr="00000000">
          <w:rPr>
            <w:rFonts w:ascii="Times New Roman" w:cs="Times New Roman" w:eastAsia="Times New Roman" w:hAnsi="Times New Roman"/>
            <w:rtl w:val="0"/>
          </w:rPr>
          <w:t xml:space="preserve"> </w:t>
        </w:r>
      </w:hyperlink>
      <w:hyperlink r:id="rId49">
        <w:r w:rsidDel="00000000" w:rsidR="00000000" w:rsidRPr="00000000">
          <w:rPr>
            <w:rFonts w:ascii="Times New Roman" w:cs="Times New Roman" w:eastAsia="Times New Roman" w:hAnsi="Times New Roman"/>
            <w:color w:val="954f72"/>
            <w:highlight w:val="yellow"/>
            <w:u w:val="single"/>
            <w:rtl w:val="0"/>
          </w:rPr>
          <w:t xml:space="preserve">https://doi.org/10.3758/s13423-016-1219-y</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QUOTES / IDEAS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spacing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Why should the motor system be involved in these cases.  [Shapiro, 2019]: Cognitive ‘processes have evolved to exploit the body's features in the course of their normal operations’ and this to such an extent that bodily constraints predictably impair spatial and social cognition.  This explains why the motor system should be involved. It enables exploiting the body’s features.</w:t>
      </w:r>
    </w:p>
    <w:p w:rsidR="00000000" w:rsidDel="00000000" w:rsidP="00000000" w:rsidRDefault="00000000" w:rsidRPr="00000000" w14:paraId="0000006B">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C">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What is the role of your body in your spatial and social cognition?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POSSIBLE MODEL FOR ABSRTACT SUBJECT TO JASON’S APPROVAL</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15"/>
          <w:szCs w:val="15"/>
        </w:rPr>
      </w:pPr>
      <w:r w:rsidDel="00000000" w:rsidR="00000000" w:rsidRPr="00000000">
        <w:rPr>
          <w:sz w:val="24"/>
          <w:szCs w:val="24"/>
          <w:rtl w:val="0"/>
        </w:rPr>
        <w:t xml:space="preserve">‘Certain simple visual displays consisting of moving 2-D geometric shapes can give rise to percepts with high-level properties such as causality and animacy. This article reviews recent research on such phenomena, which began with the classic work of Michotte and of Heider and Simmel. The importance of such phenomena stems in part from the fact that these interpretations seem to be largely perceptual in nature – to be fairly fast, automatic, irresistible and highly stimulus driven – despite the fact that they involve impressions typically associated with higher-level cognitive processing. This research suggests that just as the visual system works to recover the physical structure of the world by inferring properties such as 3-D shape, so too does it work to recover the causal and social structure of the world by inferring properties such as causality and animacy.’ (</w:t>
      </w:r>
      <w:r w:rsidDel="00000000" w:rsidR="00000000" w:rsidRPr="00000000">
        <w:rPr>
          <w:sz w:val="15"/>
          <w:szCs w:val="15"/>
          <w:rtl w:val="0"/>
        </w:rPr>
        <w:t xml:space="preserve">Scholl, B. J. and Tremoulet, P. D. (2000). Perceptual causality and animacy. Trends in Cognitive Sciences, 4(8):299–309.)</w:t>
      </w:r>
    </w:p>
    <w:p w:rsidR="00000000" w:rsidDel="00000000" w:rsidP="00000000" w:rsidRDefault="00000000" w:rsidRPr="00000000" w14:paraId="00000072">
      <w:pPr>
        <w:rPr>
          <w:sz w:val="15"/>
          <w:szCs w:val="15"/>
        </w:rPr>
      </w:pPr>
      <w:r w:rsidDel="00000000" w:rsidR="00000000" w:rsidRPr="00000000">
        <w:rPr>
          <w:rtl w:val="0"/>
        </w:rPr>
      </w:r>
    </w:p>
    <w:p w:rsidR="00000000" w:rsidDel="00000000" w:rsidP="00000000" w:rsidRDefault="00000000" w:rsidRPr="00000000" w14:paraId="00000073">
      <w:pPr>
        <w:rPr>
          <w:sz w:val="25"/>
          <w:szCs w:val="25"/>
        </w:rPr>
      </w:pPr>
      <w:r w:rsidDel="00000000" w:rsidR="00000000" w:rsidRPr="00000000">
        <w:rPr>
          <w:sz w:val="25"/>
          <w:szCs w:val="25"/>
          <w:rtl w:val="0"/>
        </w:rPr>
        <w:t xml:space="preserve">The motor system works to recover the social and spatial structure of the world by inferring properties such as … </w:t>
      </w:r>
      <w:r w:rsidDel="00000000" w:rsidR="00000000" w:rsidRPr="00000000">
        <w:rPr>
          <w:rtl w:val="0"/>
        </w:rPr>
      </w:r>
    </w:p>
    <w:sectPr>
      <w:pgSz w:h="16838" w:w="11906" w:orient="portrait"/>
      <w:pgMar w:bottom="1440.0000000000002" w:top="1440.0000000000002" w:left="1887.8740157480318" w:right="1887.87401574803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doi.org/10.7554/eLife.54687" TargetMode="External"/><Relationship Id="rId42" Type="http://schemas.openxmlformats.org/officeDocument/2006/relationships/hyperlink" Target="https://doi.org/10.3758/s13423-016-1219-y" TargetMode="External"/><Relationship Id="rId41" Type="http://schemas.openxmlformats.org/officeDocument/2006/relationships/hyperlink" Target="http://doi.org/10.7554/eLife.54687" TargetMode="External"/><Relationship Id="rId44" Type="http://schemas.openxmlformats.org/officeDocument/2006/relationships/hyperlink" Target="https://doi.org/10.1111/mila.12203" TargetMode="External"/><Relationship Id="rId43" Type="http://schemas.openxmlformats.org/officeDocument/2006/relationships/hyperlink" Target="https://doi.org/10.3758/s13423-016-1219-y" TargetMode="External"/><Relationship Id="rId46" Type="http://schemas.openxmlformats.org/officeDocument/2006/relationships/hyperlink" Target="http://doi.org/10.7554/eLife.54687" TargetMode="External"/><Relationship Id="rId45" Type="http://schemas.openxmlformats.org/officeDocument/2006/relationships/hyperlink" Target="https://doi.org/10.1111/mila.122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S1364-6613(00)01506-0" TargetMode="External"/><Relationship Id="rId48" Type="http://schemas.openxmlformats.org/officeDocument/2006/relationships/hyperlink" Target="https://doi.org/10.3758/s13423-016-1219-y" TargetMode="External"/><Relationship Id="rId47" Type="http://schemas.openxmlformats.org/officeDocument/2006/relationships/hyperlink" Target="http://doi.org/10.7554/eLife.54687" TargetMode="External"/><Relationship Id="rId49" Type="http://schemas.openxmlformats.org/officeDocument/2006/relationships/hyperlink" Target="https://doi.org/10.3758/s13423-016-1219-y" TargetMode="External"/><Relationship Id="rId5" Type="http://schemas.openxmlformats.org/officeDocument/2006/relationships/styles" Target="styles.xml"/><Relationship Id="rId6" Type="http://schemas.openxmlformats.org/officeDocument/2006/relationships/hyperlink" Target="https://doi.org/10.1016/j.tics.2020.08.006" TargetMode="External"/><Relationship Id="rId7" Type="http://schemas.openxmlformats.org/officeDocument/2006/relationships/hyperlink" Target="https://doi.org/10.1016/j.tics.2020.08.006" TargetMode="External"/><Relationship Id="rId8" Type="http://schemas.openxmlformats.org/officeDocument/2006/relationships/hyperlink" Target="https://doi.org/10.1016/S1364-6613(00)01506-0" TargetMode="External"/><Relationship Id="rId31" Type="http://schemas.openxmlformats.org/officeDocument/2006/relationships/hyperlink" Target="https://doi.org/10.1007/s00426-018-1118-0" TargetMode="External"/><Relationship Id="rId30" Type="http://schemas.openxmlformats.org/officeDocument/2006/relationships/hyperlink" Target="https://doi.org/10.1007/s00426-018-1118-0" TargetMode="External"/><Relationship Id="rId33" Type="http://schemas.openxmlformats.org/officeDocument/2006/relationships/hyperlink" Target="https://doi.org/10.1371/journal.pone.0218977" TargetMode="External"/><Relationship Id="rId32" Type="http://schemas.openxmlformats.org/officeDocument/2006/relationships/hyperlink" Target="https://doi.org/10.1371/journal.pone.0218977" TargetMode="External"/><Relationship Id="rId35" Type="http://schemas.openxmlformats.org/officeDocument/2006/relationships/hyperlink" Target="https://doi.org/10.1038/s41598-020-59176-z" TargetMode="External"/><Relationship Id="rId34" Type="http://schemas.openxmlformats.org/officeDocument/2006/relationships/hyperlink" Target="https://doi.org/10.1038/s41598-020-59176-z" TargetMode="External"/><Relationship Id="rId37" Type="http://schemas.openxmlformats.org/officeDocument/2006/relationships/hyperlink" Target="https://doi.org/10.1016/j.cortex.2019.02.019" TargetMode="External"/><Relationship Id="rId36" Type="http://schemas.openxmlformats.org/officeDocument/2006/relationships/hyperlink" Target="https://doi.org/10.1016/j.cortex.2019.02.019" TargetMode="External"/><Relationship Id="rId39" Type="http://schemas.openxmlformats.org/officeDocument/2006/relationships/hyperlink" Target="http://doi.org/10.1073/pnas.2011311117" TargetMode="External"/><Relationship Id="rId38" Type="http://schemas.openxmlformats.org/officeDocument/2006/relationships/hyperlink" Target="http://doi.org/10.1073/pnas.2011311117" TargetMode="External"/><Relationship Id="rId20" Type="http://schemas.openxmlformats.org/officeDocument/2006/relationships/hyperlink" Target="https://doi.org/10.1038/s41598-020-68240-7" TargetMode="External"/><Relationship Id="rId22" Type="http://schemas.openxmlformats.org/officeDocument/2006/relationships/hyperlink" Target="https://doi.org/10.31234/osf.io/84q7g" TargetMode="External"/><Relationship Id="rId21" Type="http://schemas.openxmlformats.org/officeDocument/2006/relationships/hyperlink" Target="https://doi.org/10.1038/s41598-020-68240-7" TargetMode="External"/><Relationship Id="rId24" Type="http://schemas.openxmlformats.org/officeDocument/2006/relationships/hyperlink" Target="https://doi.org/10.1037/xhp0000403" TargetMode="External"/><Relationship Id="rId23" Type="http://schemas.openxmlformats.org/officeDocument/2006/relationships/hyperlink" Target="https://doi.org/10.31234/osf.io/84q7g" TargetMode="External"/><Relationship Id="rId26" Type="http://schemas.openxmlformats.org/officeDocument/2006/relationships/hyperlink" Target="https://doi.org/10.1016/j.cognition.2014.08.014" TargetMode="External"/><Relationship Id="rId25" Type="http://schemas.openxmlformats.org/officeDocument/2006/relationships/hyperlink" Target="https://doi.org/10.1037/xhp0000403" TargetMode="External"/><Relationship Id="rId28" Type="http://schemas.openxmlformats.org/officeDocument/2006/relationships/hyperlink" Target="https://doi.org/10.1016/j.jecp.2008.01.005" TargetMode="External"/><Relationship Id="rId27" Type="http://schemas.openxmlformats.org/officeDocument/2006/relationships/hyperlink" Target="https://doi.org/10.1016/j.cognition.2014.08.014" TargetMode="External"/><Relationship Id="rId29" Type="http://schemas.openxmlformats.org/officeDocument/2006/relationships/hyperlink" Target="https://doi.org/10.1016/j.jecp.2008.01.005" TargetMode="External"/><Relationship Id="rId11" Type="http://schemas.openxmlformats.org/officeDocument/2006/relationships/hyperlink" Target="https://doi.org/10.1037/xhp0000876" TargetMode="External"/><Relationship Id="rId10" Type="http://schemas.openxmlformats.org/officeDocument/2006/relationships/hyperlink" Target="https://doi.org/10.1037/xhp0000876" TargetMode="External"/><Relationship Id="rId13" Type="http://schemas.openxmlformats.org/officeDocument/2006/relationships/hyperlink" Target="https://doi.org/10.1098/rsos.191167" TargetMode="External"/><Relationship Id="rId12" Type="http://schemas.openxmlformats.org/officeDocument/2006/relationships/hyperlink" Target="https://doi.org/10.1098/rsos.191167" TargetMode="External"/><Relationship Id="rId15" Type="http://schemas.openxmlformats.org/officeDocument/2006/relationships/hyperlink" Target="https://doi.org/10.1016/j.cognition.2016.12.004" TargetMode="External"/><Relationship Id="rId14" Type="http://schemas.openxmlformats.org/officeDocument/2006/relationships/hyperlink" Target="https://doi.org/10.1016/j.cognition.2016.12.004" TargetMode="External"/><Relationship Id="rId17" Type="http://schemas.openxmlformats.org/officeDocument/2006/relationships/hyperlink" Target="https://doi.org/10.1037/xhp0000876" TargetMode="External"/><Relationship Id="rId16" Type="http://schemas.openxmlformats.org/officeDocument/2006/relationships/hyperlink" Target="https://doi.org/10.1037/xhp0000876" TargetMode="External"/><Relationship Id="rId19" Type="http://schemas.openxmlformats.org/officeDocument/2006/relationships/hyperlink" Target="https://www.researchgate.net/publication/343836806_Factives_at_hand_When_presupposition_mode_affects_motor_response" TargetMode="External"/><Relationship Id="rId18" Type="http://schemas.openxmlformats.org/officeDocument/2006/relationships/hyperlink" Target="https://www.researchgate.net/publication/343836806_Factives_at_hand_When_presupposition_mode_affects_motor_respon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