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6F9" w:rsidRDefault="001A3841" w:rsidP="001A3841">
      <w:pPr>
        <w:spacing w:line="480" w:lineRule="auto"/>
        <w:rPr>
          <w:rFonts w:ascii="Times New Roman" w:hAnsi="Times New Roman" w:cs="Times New Roman"/>
        </w:rPr>
      </w:pPr>
      <w:r>
        <w:rPr>
          <w:rFonts w:ascii="Times New Roman" w:hAnsi="Times New Roman" w:cs="Times New Roman"/>
        </w:rPr>
        <w:t>Hello Steve,</w:t>
      </w:r>
    </w:p>
    <w:p w:rsidR="001A3841" w:rsidRDefault="001A3841" w:rsidP="001A3841">
      <w:pPr>
        <w:spacing w:line="480" w:lineRule="auto"/>
        <w:rPr>
          <w:rFonts w:ascii="Times New Roman" w:hAnsi="Times New Roman" w:cs="Times New Roman"/>
        </w:rPr>
      </w:pPr>
      <w:proofErr w:type="gramStart"/>
      <w:r>
        <w:rPr>
          <w:rFonts w:ascii="Times New Roman" w:hAnsi="Times New Roman" w:cs="Times New Roman"/>
        </w:rPr>
        <w:t>A few quick thoughts on your paper.</w:t>
      </w:r>
      <w:proofErr w:type="gramEnd"/>
      <w:r>
        <w:rPr>
          <w:rFonts w:ascii="Times New Roman" w:hAnsi="Times New Roman" w:cs="Times New Roman"/>
        </w:rPr>
        <w:t xml:space="preserve"> I think the main thesis is exactly on the right track – the d</w:t>
      </w:r>
      <w:r w:rsidR="006F699C">
        <w:rPr>
          <w:rFonts w:ascii="Times New Roman" w:hAnsi="Times New Roman" w:cs="Times New Roman"/>
        </w:rPr>
        <w:t>ebate about joint actions has</w:t>
      </w:r>
      <w:r>
        <w:rPr>
          <w:rFonts w:ascii="Times New Roman" w:hAnsi="Times New Roman" w:cs="Times New Roman"/>
        </w:rPr>
        <w:t xml:space="preserve"> focused so much on collective intentions that it sometimes seems as if a satisfactory account of collective intentionality were all that’s needed for a good account of joint action. But that’s plainly not the case, just as an account of individual intention won’t tell you everything there is to know about individual action. So I agree with all of that, and I also think your move of comparing individual and joint action in this respect is on the right track. </w:t>
      </w:r>
    </w:p>
    <w:p w:rsidR="001A3841" w:rsidRDefault="001A3841" w:rsidP="001A3841">
      <w:pPr>
        <w:spacing w:line="480" w:lineRule="auto"/>
        <w:ind w:firstLine="720"/>
        <w:rPr>
          <w:rFonts w:ascii="Times New Roman" w:hAnsi="Times New Roman" w:cs="Times New Roman"/>
        </w:rPr>
      </w:pPr>
      <w:r>
        <w:rPr>
          <w:rFonts w:ascii="Times New Roman" w:hAnsi="Times New Roman" w:cs="Times New Roman"/>
        </w:rPr>
        <w:t xml:space="preserve">What I’m not sure I quite fully see yet is your (if you want, methodological) </w:t>
      </w:r>
      <w:r w:rsidR="00A2738E">
        <w:rPr>
          <w:rFonts w:ascii="Times New Roman" w:hAnsi="Times New Roman" w:cs="Times New Roman"/>
        </w:rPr>
        <w:t>move to set out a number of necessary conditions for shared intentions and then to show how events we would want to call ‘joint actions’ may fall short of meeting these conditions. Before saying why, let me point out that I am rather a</w:t>
      </w:r>
      <w:r w:rsidR="0057426F">
        <w:rPr>
          <w:rFonts w:ascii="Times New Roman" w:hAnsi="Times New Roman" w:cs="Times New Roman"/>
        </w:rPr>
        <w:t xml:space="preserve"> </w:t>
      </w:r>
      <w:proofErr w:type="spellStart"/>
      <w:r w:rsidR="0057426F">
        <w:rPr>
          <w:rFonts w:ascii="Times New Roman" w:hAnsi="Times New Roman" w:cs="Times New Roman"/>
        </w:rPr>
        <w:t>sceptic</w:t>
      </w:r>
      <w:proofErr w:type="spellEnd"/>
      <w:r w:rsidR="0057426F">
        <w:rPr>
          <w:rFonts w:ascii="Times New Roman" w:hAnsi="Times New Roman" w:cs="Times New Roman"/>
        </w:rPr>
        <w:t xml:space="preserve"> about the notion of</w:t>
      </w:r>
      <w:r w:rsidR="00A2738E">
        <w:rPr>
          <w:rFonts w:ascii="Times New Roman" w:hAnsi="Times New Roman" w:cs="Times New Roman"/>
        </w:rPr>
        <w:t xml:space="preserve"> intention quite generally, at least if it is supposed to correspond to something metaphysically real. I think</w:t>
      </w:r>
      <w:r w:rsidR="006F699C">
        <w:rPr>
          <w:rFonts w:ascii="Times New Roman" w:hAnsi="Times New Roman" w:cs="Times New Roman"/>
        </w:rPr>
        <w:t xml:space="preserve"> the notion of</w:t>
      </w:r>
      <w:r w:rsidR="00A2738E">
        <w:rPr>
          <w:rFonts w:ascii="Times New Roman" w:hAnsi="Times New Roman" w:cs="Times New Roman"/>
        </w:rPr>
        <w:t xml:space="preserve"> intention</w:t>
      </w:r>
      <w:r w:rsidR="006F699C">
        <w:rPr>
          <w:rFonts w:ascii="Times New Roman" w:hAnsi="Times New Roman" w:cs="Times New Roman"/>
        </w:rPr>
        <w:t xml:space="preserve"> is a helpful explanatory device</w:t>
      </w:r>
      <w:r w:rsidR="00A2738E">
        <w:rPr>
          <w:rFonts w:ascii="Times New Roman" w:hAnsi="Times New Roman" w:cs="Times New Roman"/>
        </w:rPr>
        <w:t xml:space="preserve">, but I’m not sure </w:t>
      </w:r>
      <w:r w:rsidR="006F699C">
        <w:rPr>
          <w:rFonts w:ascii="Times New Roman" w:hAnsi="Times New Roman" w:cs="Times New Roman"/>
        </w:rPr>
        <w:t xml:space="preserve">all that </w:t>
      </w:r>
      <w:r w:rsidR="00A2738E">
        <w:rPr>
          <w:rFonts w:ascii="Times New Roman" w:hAnsi="Times New Roman" w:cs="Times New Roman"/>
        </w:rPr>
        <w:t xml:space="preserve">much follows from that. So it’s a vaguely </w:t>
      </w:r>
      <w:proofErr w:type="spellStart"/>
      <w:r w:rsidR="00A2738E">
        <w:rPr>
          <w:rFonts w:ascii="Times New Roman" w:hAnsi="Times New Roman" w:cs="Times New Roman"/>
        </w:rPr>
        <w:t>Dennettian</w:t>
      </w:r>
      <w:proofErr w:type="spellEnd"/>
      <w:r w:rsidR="00A2738E">
        <w:rPr>
          <w:rFonts w:ascii="Times New Roman" w:hAnsi="Times New Roman" w:cs="Times New Roman"/>
        </w:rPr>
        <w:t xml:space="preserve"> stance I am taking here, which I think is plausible with regard to collective intentio</w:t>
      </w:r>
      <w:r w:rsidR="006F699C">
        <w:rPr>
          <w:rFonts w:ascii="Times New Roman" w:hAnsi="Times New Roman" w:cs="Times New Roman"/>
        </w:rPr>
        <w:t>ns, too (maybe even more so). Thus</w:t>
      </w:r>
      <w:r w:rsidR="00A2738E">
        <w:rPr>
          <w:rFonts w:ascii="Times New Roman" w:hAnsi="Times New Roman" w:cs="Times New Roman"/>
        </w:rPr>
        <w:t xml:space="preserve"> I am regarding the twenty-odd years of literature we have on collective intentions, and the enormous technical effort</w:t>
      </w:r>
      <w:r w:rsidR="006F699C">
        <w:rPr>
          <w:rFonts w:ascii="Times New Roman" w:hAnsi="Times New Roman" w:cs="Times New Roman"/>
        </w:rPr>
        <w:t xml:space="preserve"> that’s been made here</w:t>
      </w:r>
      <w:r w:rsidR="00A2738E">
        <w:rPr>
          <w:rFonts w:ascii="Times New Roman" w:hAnsi="Times New Roman" w:cs="Times New Roman"/>
        </w:rPr>
        <w:t xml:space="preserve">, by </w:t>
      </w:r>
      <w:proofErr w:type="spellStart"/>
      <w:r w:rsidR="00A2738E">
        <w:rPr>
          <w:rFonts w:ascii="Times New Roman" w:hAnsi="Times New Roman" w:cs="Times New Roman"/>
        </w:rPr>
        <w:t>Bratman</w:t>
      </w:r>
      <w:proofErr w:type="spellEnd"/>
      <w:r w:rsidR="00A2738E">
        <w:rPr>
          <w:rFonts w:ascii="Times New Roman" w:hAnsi="Times New Roman" w:cs="Times New Roman"/>
        </w:rPr>
        <w:t xml:space="preserve">, Searle, Gilbert, and others, with slight suspicion. </w:t>
      </w:r>
      <w:r w:rsidR="0057426F">
        <w:rPr>
          <w:rFonts w:ascii="Times New Roman" w:hAnsi="Times New Roman" w:cs="Times New Roman"/>
        </w:rPr>
        <w:t>I’m just saying this so that you</w:t>
      </w:r>
      <w:r w:rsidR="006F699C">
        <w:rPr>
          <w:rFonts w:ascii="Times New Roman" w:hAnsi="Times New Roman" w:cs="Times New Roman"/>
        </w:rPr>
        <w:t xml:space="preserve"> see</w:t>
      </w:r>
      <w:r w:rsidR="0057426F">
        <w:rPr>
          <w:rFonts w:ascii="Times New Roman" w:hAnsi="Times New Roman" w:cs="Times New Roman"/>
        </w:rPr>
        <w:t xml:space="preserve"> my remarks in</w:t>
      </w:r>
      <w:r w:rsidR="006F699C">
        <w:rPr>
          <w:rFonts w:ascii="Times New Roman" w:hAnsi="Times New Roman" w:cs="Times New Roman"/>
        </w:rPr>
        <w:t xml:space="preserve"> the right perspective</w:t>
      </w:r>
      <w:r w:rsidR="0057426F">
        <w:rPr>
          <w:rFonts w:ascii="Times New Roman" w:hAnsi="Times New Roman" w:cs="Times New Roman"/>
        </w:rPr>
        <w:t>.</w:t>
      </w:r>
    </w:p>
    <w:p w:rsidR="0057426F" w:rsidRDefault="0057426F" w:rsidP="001A3841">
      <w:pPr>
        <w:spacing w:line="480" w:lineRule="auto"/>
        <w:ind w:firstLine="720"/>
        <w:rPr>
          <w:rFonts w:ascii="Times New Roman" w:hAnsi="Times New Roman" w:cs="Times New Roman"/>
        </w:rPr>
      </w:pPr>
      <w:r>
        <w:rPr>
          <w:rFonts w:ascii="Times New Roman" w:hAnsi="Times New Roman" w:cs="Times New Roman"/>
        </w:rPr>
        <w:t>I think you are right that most writ</w:t>
      </w:r>
      <w:r w:rsidR="006F699C">
        <w:rPr>
          <w:rFonts w:ascii="Times New Roman" w:hAnsi="Times New Roman" w:cs="Times New Roman"/>
        </w:rPr>
        <w:t>ers on collective intention</w:t>
      </w:r>
      <w:r>
        <w:rPr>
          <w:rFonts w:ascii="Times New Roman" w:hAnsi="Times New Roman" w:cs="Times New Roman"/>
        </w:rPr>
        <w:t xml:space="preserve"> link the notion rather closely to ‘awareness’ of various kinds. But obviously this doesn’t establish they are correct in doing so. If you consider the case of individual intentions, it’s not </w:t>
      </w:r>
      <w:r w:rsidR="006F699C">
        <w:rPr>
          <w:rFonts w:ascii="Times New Roman" w:hAnsi="Times New Roman" w:cs="Times New Roman"/>
        </w:rPr>
        <w:t>clear</w:t>
      </w:r>
      <w:r>
        <w:rPr>
          <w:rFonts w:ascii="Times New Roman" w:hAnsi="Times New Roman" w:cs="Times New Roman"/>
        </w:rPr>
        <w:t xml:space="preserve"> that awareness of your inten</w:t>
      </w:r>
      <w:r w:rsidR="006F699C">
        <w:rPr>
          <w:rFonts w:ascii="Times New Roman" w:hAnsi="Times New Roman" w:cs="Times New Roman"/>
        </w:rPr>
        <w:t>tion is a necessary condition for</w:t>
      </w:r>
      <w:r>
        <w:rPr>
          <w:rFonts w:ascii="Times New Roman" w:hAnsi="Times New Roman" w:cs="Times New Roman"/>
        </w:rPr>
        <w:t xml:space="preserve"> entertaining it. You can discover that you </w:t>
      </w:r>
      <w:proofErr w:type="spellStart"/>
      <w:r>
        <w:rPr>
          <w:rFonts w:ascii="Times New Roman" w:hAnsi="Times New Roman" w:cs="Times New Roman"/>
        </w:rPr>
        <w:t>harboured</w:t>
      </w:r>
      <w:proofErr w:type="spellEnd"/>
      <w:r>
        <w:rPr>
          <w:rFonts w:ascii="Times New Roman" w:hAnsi="Times New Roman" w:cs="Times New Roman"/>
        </w:rPr>
        <w:t xml:space="preserve"> an intention long after you’ve carried out the corresponding action; the discovery finally explains your seemingly erratic </w:t>
      </w:r>
      <w:proofErr w:type="spellStart"/>
      <w:r>
        <w:rPr>
          <w:rFonts w:ascii="Times New Roman" w:hAnsi="Times New Roman" w:cs="Times New Roman"/>
        </w:rPr>
        <w:t>behaviour</w:t>
      </w:r>
      <w:proofErr w:type="spellEnd"/>
      <w:r>
        <w:rPr>
          <w:rFonts w:ascii="Times New Roman" w:hAnsi="Times New Roman" w:cs="Times New Roman"/>
        </w:rPr>
        <w:t xml:space="preserve"> (</w:t>
      </w:r>
      <w:proofErr w:type="spellStart"/>
      <w:r>
        <w:rPr>
          <w:rFonts w:ascii="Times New Roman" w:hAnsi="Times New Roman" w:cs="Times New Roman"/>
        </w:rPr>
        <w:t>Velleman</w:t>
      </w:r>
      <w:proofErr w:type="spellEnd"/>
      <w:r>
        <w:rPr>
          <w:rFonts w:ascii="Times New Roman" w:hAnsi="Times New Roman" w:cs="Times New Roman"/>
        </w:rPr>
        <w:t xml:space="preserve"> (2000) has a nice c</w:t>
      </w:r>
      <w:r w:rsidR="002D73CD">
        <w:rPr>
          <w:rFonts w:ascii="Times New Roman" w:hAnsi="Times New Roman" w:cs="Times New Roman"/>
        </w:rPr>
        <w:t>ase of that sort, Campbell (1995</w:t>
      </w:r>
      <w:r>
        <w:rPr>
          <w:rFonts w:ascii="Times New Roman" w:hAnsi="Times New Roman" w:cs="Times New Roman"/>
        </w:rPr>
        <w:t xml:space="preserve">) does, too). If that’s correct, and if you want to tie individual and collective intentions together as closely as you suggest early on, then the question arises </w:t>
      </w:r>
      <w:r>
        <w:rPr>
          <w:rFonts w:ascii="Times New Roman" w:hAnsi="Times New Roman" w:cs="Times New Roman"/>
        </w:rPr>
        <w:lastRenderedPageBreak/>
        <w:t xml:space="preserve">why sets of agents could not </w:t>
      </w:r>
      <w:proofErr w:type="spellStart"/>
      <w:r>
        <w:rPr>
          <w:rFonts w:ascii="Times New Roman" w:hAnsi="Times New Roman" w:cs="Times New Roman"/>
        </w:rPr>
        <w:t>harbour</w:t>
      </w:r>
      <w:proofErr w:type="spellEnd"/>
      <w:r>
        <w:rPr>
          <w:rFonts w:ascii="Times New Roman" w:hAnsi="Times New Roman" w:cs="Times New Roman"/>
        </w:rPr>
        <w:t xml:space="preserve"> collective intentions without being aware of doing so. So the connection between collective intention and the various kinds of awareness</w:t>
      </w:r>
      <w:r w:rsidR="007D4510">
        <w:rPr>
          <w:rFonts w:ascii="Times New Roman" w:hAnsi="Times New Roman" w:cs="Times New Roman"/>
        </w:rPr>
        <w:t xml:space="preserve"> you mention</w:t>
      </w:r>
      <w:r>
        <w:rPr>
          <w:rFonts w:ascii="Times New Roman" w:hAnsi="Times New Roman" w:cs="Times New Roman"/>
        </w:rPr>
        <w:t xml:space="preserve"> may not be as clear-cut a</w:t>
      </w:r>
      <w:r w:rsidR="007D4510">
        <w:rPr>
          <w:rFonts w:ascii="Times New Roman" w:hAnsi="Times New Roman" w:cs="Times New Roman"/>
        </w:rPr>
        <w:t xml:space="preserve">s Searle, </w:t>
      </w:r>
      <w:proofErr w:type="spellStart"/>
      <w:r w:rsidR="007D4510">
        <w:rPr>
          <w:rFonts w:ascii="Times New Roman" w:hAnsi="Times New Roman" w:cs="Times New Roman"/>
        </w:rPr>
        <w:t>Bratman</w:t>
      </w:r>
      <w:proofErr w:type="spellEnd"/>
      <w:r w:rsidR="007D4510">
        <w:rPr>
          <w:rFonts w:ascii="Times New Roman" w:hAnsi="Times New Roman" w:cs="Times New Roman"/>
        </w:rPr>
        <w:t xml:space="preserve"> etc. suggest</w:t>
      </w:r>
      <w:r>
        <w:rPr>
          <w:rFonts w:ascii="Times New Roman" w:hAnsi="Times New Roman" w:cs="Times New Roman"/>
        </w:rPr>
        <w:t>.</w:t>
      </w:r>
    </w:p>
    <w:p w:rsidR="0057426F" w:rsidRDefault="002D73CD" w:rsidP="001A3841">
      <w:pPr>
        <w:spacing w:line="480" w:lineRule="auto"/>
        <w:ind w:firstLine="720"/>
        <w:rPr>
          <w:rFonts w:ascii="Times New Roman" w:hAnsi="Times New Roman" w:cs="Times New Roman"/>
        </w:rPr>
      </w:pPr>
      <w:r>
        <w:rPr>
          <w:rFonts w:ascii="Times New Roman" w:hAnsi="Times New Roman" w:cs="Times New Roman"/>
        </w:rPr>
        <w:t xml:space="preserve">But even if you respond to this consideration by saying that after all you have to start somewhere and you just stipulate the various necessary conditions of collective intention in order to get the discussion going, I’d like to hear more about what is meant by ‘awareness’ here. In particular, I would want to know whether the kind of awareness at issue is, to use </w:t>
      </w:r>
      <w:proofErr w:type="spellStart"/>
      <w:r>
        <w:rPr>
          <w:rFonts w:ascii="Times New Roman" w:hAnsi="Times New Roman" w:cs="Times New Roman"/>
        </w:rPr>
        <w:t>Dretske’s</w:t>
      </w:r>
      <w:proofErr w:type="spellEnd"/>
      <w:r>
        <w:rPr>
          <w:rFonts w:ascii="Times New Roman" w:hAnsi="Times New Roman" w:cs="Times New Roman"/>
        </w:rPr>
        <w:t xml:space="preserve"> (1993) distinction, an awareness ‘of’ or an awareness ‘that’ – in other words, whether it’s propositional (and hence conceptual) awareness or not. This seems absolutely cr</w:t>
      </w:r>
      <w:r w:rsidR="007D4510">
        <w:rPr>
          <w:rFonts w:ascii="Times New Roman" w:hAnsi="Times New Roman" w:cs="Times New Roman"/>
        </w:rPr>
        <w:t>ucial to me, as one</w:t>
      </w:r>
      <w:r>
        <w:rPr>
          <w:rFonts w:ascii="Times New Roman" w:hAnsi="Times New Roman" w:cs="Times New Roman"/>
        </w:rPr>
        <w:t xml:space="preserve"> may think (as I </w:t>
      </w:r>
      <w:r w:rsidR="007D4510">
        <w:rPr>
          <w:rFonts w:ascii="Times New Roman" w:hAnsi="Times New Roman" w:cs="Times New Roman"/>
        </w:rPr>
        <w:t xml:space="preserve">sometimes </w:t>
      </w:r>
      <w:r>
        <w:rPr>
          <w:rFonts w:ascii="Times New Roman" w:hAnsi="Times New Roman" w:cs="Times New Roman"/>
        </w:rPr>
        <w:t xml:space="preserve">do) that joint motor activity, which does not require collective intention but perhaps nevertheless some kind of awareness, can be </w:t>
      </w:r>
      <w:proofErr w:type="spellStart"/>
      <w:r>
        <w:rPr>
          <w:rFonts w:ascii="Times New Roman" w:hAnsi="Times New Roman" w:cs="Times New Roman"/>
        </w:rPr>
        <w:t>characterised</w:t>
      </w:r>
      <w:proofErr w:type="spellEnd"/>
      <w:r>
        <w:rPr>
          <w:rFonts w:ascii="Times New Roman" w:hAnsi="Times New Roman" w:cs="Times New Roman"/>
        </w:rPr>
        <w:t xml:space="preserve"> as ‘</w:t>
      </w:r>
      <w:proofErr w:type="spellStart"/>
      <w:r>
        <w:rPr>
          <w:rFonts w:ascii="Times New Roman" w:hAnsi="Times New Roman" w:cs="Times New Roman"/>
        </w:rPr>
        <w:t>thing’awareness</w:t>
      </w:r>
      <w:proofErr w:type="spellEnd"/>
      <w:r>
        <w:rPr>
          <w:rFonts w:ascii="Times New Roman" w:hAnsi="Times New Roman" w:cs="Times New Roman"/>
        </w:rPr>
        <w:t>, while collective intentions require ‘</w:t>
      </w:r>
      <w:proofErr w:type="spellStart"/>
      <w:r>
        <w:rPr>
          <w:rFonts w:ascii="Times New Roman" w:hAnsi="Times New Roman" w:cs="Times New Roman"/>
        </w:rPr>
        <w:t>fact’awareness</w:t>
      </w:r>
      <w:proofErr w:type="spellEnd"/>
      <w:r>
        <w:rPr>
          <w:rFonts w:ascii="Times New Roman" w:hAnsi="Times New Roman" w:cs="Times New Roman"/>
        </w:rPr>
        <w:t>. If something like this is on the right track, saying that a certain kind of awareness is necessary for collective intention does not enable you to distinguish</w:t>
      </w:r>
      <w:r w:rsidR="007D4510">
        <w:rPr>
          <w:rFonts w:ascii="Times New Roman" w:hAnsi="Times New Roman" w:cs="Times New Roman"/>
        </w:rPr>
        <w:t xml:space="preserve"> between that kind of state and motor cognition, since</w:t>
      </w:r>
      <w:r>
        <w:rPr>
          <w:rFonts w:ascii="Times New Roman" w:hAnsi="Times New Roman" w:cs="Times New Roman"/>
        </w:rPr>
        <w:t xml:space="preserve"> you may hold that awareness of some kind is necessary for mo</w:t>
      </w:r>
      <w:r w:rsidR="00293EE4">
        <w:rPr>
          <w:rFonts w:ascii="Times New Roman" w:hAnsi="Times New Roman" w:cs="Times New Roman"/>
        </w:rPr>
        <w:t xml:space="preserve">tor cognition also. Perhaps something like this distinction is already implicit in your first kind of awareness (‘of </w:t>
      </w:r>
      <w:proofErr w:type="spellStart"/>
      <w:r w:rsidR="00293EE4">
        <w:rPr>
          <w:rFonts w:ascii="Times New Roman" w:hAnsi="Times New Roman" w:cs="Times New Roman"/>
        </w:rPr>
        <w:t>jointness</w:t>
      </w:r>
      <w:proofErr w:type="spellEnd"/>
      <w:r w:rsidR="00293EE4">
        <w:rPr>
          <w:rFonts w:ascii="Times New Roman" w:hAnsi="Times New Roman" w:cs="Times New Roman"/>
        </w:rPr>
        <w:t xml:space="preserve">’), which one might argue is available to agents who are merely jointly engaged on the motor level, as opposed to your third kind of awareness (‘of others’ states and commitments’), which perhaps really is strong conceptual awareness of some kind. So it would be helpful to have a more detailed discussion of what kind of awareness is at issue here, and to have that compared and contrasted with awareness (if any) on the motor level.  </w:t>
      </w:r>
    </w:p>
    <w:p w:rsidR="00293EE4" w:rsidRDefault="00293EE4" w:rsidP="001A3841">
      <w:pPr>
        <w:spacing w:line="480" w:lineRule="auto"/>
        <w:ind w:firstLine="720"/>
        <w:rPr>
          <w:rFonts w:ascii="Times New Roman" w:hAnsi="Times New Roman" w:cs="Times New Roman"/>
        </w:rPr>
      </w:pPr>
      <w:r>
        <w:rPr>
          <w:rFonts w:ascii="Times New Roman" w:hAnsi="Times New Roman" w:cs="Times New Roman"/>
        </w:rPr>
        <w:t>I like your approach of introducing various case studies</w:t>
      </w:r>
      <w:r w:rsidR="00AD2FAD">
        <w:rPr>
          <w:rFonts w:ascii="Times New Roman" w:hAnsi="Times New Roman" w:cs="Times New Roman"/>
        </w:rPr>
        <w:t xml:space="preserve"> that are meant to demonstrate the wide range of interactions between agents which are possible in the absence o</w:t>
      </w:r>
      <w:r w:rsidR="007D4510">
        <w:rPr>
          <w:rFonts w:ascii="Times New Roman" w:hAnsi="Times New Roman" w:cs="Times New Roman"/>
        </w:rPr>
        <w:t>f anything like joint intention</w:t>
      </w:r>
      <w:r w:rsidR="00AD2FAD">
        <w:rPr>
          <w:rFonts w:ascii="Times New Roman" w:hAnsi="Times New Roman" w:cs="Times New Roman"/>
        </w:rPr>
        <w:t>. But I’m still not quite sure I see why one should understand the first case as joint in any sense. If, like me, you are inclined to tie joint motor action to a par</w:t>
      </w:r>
      <w:r w:rsidR="007D4510">
        <w:rPr>
          <w:rFonts w:ascii="Times New Roman" w:hAnsi="Times New Roman" w:cs="Times New Roman"/>
        </w:rPr>
        <w:t>ticular kind of (low-level, non-</w:t>
      </w:r>
      <w:r w:rsidR="00AD2FAD">
        <w:rPr>
          <w:rFonts w:ascii="Times New Roman" w:hAnsi="Times New Roman" w:cs="Times New Roman"/>
        </w:rPr>
        <w:t xml:space="preserve">conceptually grounded) experience, then that case doesn’t </w:t>
      </w:r>
      <w:r w:rsidR="007D4510">
        <w:rPr>
          <w:rFonts w:ascii="Times New Roman" w:hAnsi="Times New Roman" w:cs="Times New Roman"/>
        </w:rPr>
        <w:t>qualify, as there</w:t>
      </w:r>
      <w:r w:rsidR="00AD2FAD">
        <w:rPr>
          <w:rFonts w:ascii="Times New Roman" w:hAnsi="Times New Roman" w:cs="Times New Roman"/>
        </w:rPr>
        <w:t xml:space="preserve"> just</w:t>
      </w:r>
      <w:r w:rsidR="007D4510">
        <w:rPr>
          <w:rFonts w:ascii="Times New Roman" w:hAnsi="Times New Roman" w:cs="Times New Roman"/>
        </w:rPr>
        <w:t xml:space="preserve"> is</w:t>
      </w:r>
      <w:r w:rsidR="00AD2FAD">
        <w:rPr>
          <w:rFonts w:ascii="Times New Roman" w:hAnsi="Times New Roman" w:cs="Times New Roman"/>
        </w:rPr>
        <w:t xml:space="preserve"> no joint experience or awareness here. The case is interesting be</w:t>
      </w:r>
      <w:r w:rsidR="00CF1F21">
        <w:rPr>
          <w:rFonts w:ascii="Times New Roman" w:hAnsi="Times New Roman" w:cs="Times New Roman"/>
        </w:rPr>
        <w:t>cause it provides an unusual</w:t>
      </w:r>
      <w:r w:rsidR="00AD2FAD">
        <w:rPr>
          <w:rFonts w:ascii="Times New Roman" w:hAnsi="Times New Roman" w:cs="Times New Roman"/>
        </w:rPr>
        <w:t xml:space="preserve"> angle on the perception of affordances; in the present case, </w:t>
      </w:r>
      <w:r w:rsidR="00AD2FAD">
        <w:rPr>
          <w:rFonts w:ascii="Times New Roman" w:hAnsi="Times New Roman" w:cs="Times New Roman"/>
        </w:rPr>
        <w:lastRenderedPageBreak/>
        <w:t>the environment is perceived such that acting on it, for each agent, requires that some other event in the action-relevant surroundings</w:t>
      </w:r>
      <w:r w:rsidR="007D4510">
        <w:rPr>
          <w:rFonts w:ascii="Times New Roman" w:hAnsi="Times New Roman" w:cs="Times New Roman"/>
        </w:rPr>
        <w:t xml:space="preserve"> must</w:t>
      </w:r>
      <w:r w:rsidR="00CF1F21">
        <w:rPr>
          <w:rFonts w:ascii="Times New Roman" w:hAnsi="Times New Roman" w:cs="Times New Roman"/>
        </w:rPr>
        <w:t xml:space="preserve"> take place in order for the action to come off; if the other person doesn’</w:t>
      </w:r>
      <w:r w:rsidR="007D4510">
        <w:rPr>
          <w:rFonts w:ascii="Times New Roman" w:hAnsi="Times New Roman" w:cs="Times New Roman"/>
        </w:rPr>
        <w:t>t do her</w:t>
      </w:r>
      <w:r w:rsidR="00CF1F21">
        <w:rPr>
          <w:rFonts w:ascii="Times New Roman" w:hAnsi="Times New Roman" w:cs="Times New Roman"/>
        </w:rPr>
        <w:t xml:space="preserve"> bit the block won’t be lifted. But what’s </w:t>
      </w:r>
      <w:proofErr w:type="gramStart"/>
      <w:r w:rsidR="00CF1F21">
        <w:rPr>
          <w:rFonts w:ascii="Times New Roman" w:hAnsi="Times New Roman" w:cs="Times New Roman"/>
        </w:rPr>
        <w:t>joint</w:t>
      </w:r>
      <w:proofErr w:type="gramEnd"/>
      <w:r w:rsidR="00CF1F21">
        <w:rPr>
          <w:rFonts w:ascii="Times New Roman" w:hAnsi="Times New Roman" w:cs="Times New Roman"/>
        </w:rPr>
        <w:t xml:space="preserve"> about this? It doesn’t matter at all whether what’s happened on the other end is carried out by a person or a bit of machinery. What this case does deliver, I think, is some kind of argument in </w:t>
      </w:r>
      <w:proofErr w:type="spellStart"/>
      <w:r w:rsidR="00CF1F21">
        <w:rPr>
          <w:rFonts w:ascii="Times New Roman" w:hAnsi="Times New Roman" w:cs="Times New Roman"/>
        </w:rPr>
        <w:t>favour</w:t>
      </w:r>
      <w:proofErr w:type="spellEnd"/>
      <w:r w:rsidR="00CF1F21">
        <w:rPr>
          <w:rFonts w:ascii="Times New Roman" w:hAnsi="Times New Roman" w:cs="Times New Roman"/>
        </w:rPr>
        <w:t xml:space="preserve"> of the Extended Mind idea, but not in </w:t>
      </w:r>
      <w:proofErr w:type="spellStart"/>
      <w:r w:rsidR="00CF1F21">
        <w:rPr>
          <w:rFonts w:ascii="Times New Roman" w:hAnsi="Times New Roman" w:cs="Times New Roman"/>
        </w:rPr>
        <w:t>favour</w:t>
      </w:r>
      <w:proofErr w:type="spellEnd"/>
      <w:r w:rsidR="00CF1F21">
        <w:rPr>
          <w:rFonts w:ascii="Times New Roman" w:hAnsi="Times New Roman" w:cs="Times New Roman"/>
        </w:rPr>
        <w:t xml:space="preserve"> of the idea that the domain of this extension itself be minded.</w:t>
      </w:r>
    </w:p>
    <w:p w:rsidR="00CF1F21" w:rsidRDefault="00CF1F21" w:rsidP="001A3841">
      <w:pPr>
        <w:spacing w:line="480" w:lineRule="auto"/>
        <w:ind w:firstLine="720"/>
        <w:rPr>
          <w:rFonts w:ascii="Times New Roman" w:hAnsi="Times New Roman" w:cs="Times New Roman"/>
        </w:rPr>
      </w:pPr>
      <w:r>
        <w:rPr>
          <w:rFonts w:ascii="Times New Roman" w:hAnsi="Times New Roman" w:cs="Times New Roman"/>
        </w:rPr>
        <w:t>The subscription to ‘motor simulation’ is too quick for me. Yet another disclaimer is necessary</w:t>
      </w:r>
      <w:r w:rsidR="007D4510">
        <w:rPr>
          <w:rFonts w:ascii="Times New Roman" w:hAnsi="Times New Roman" w:cs="Times New Roman"/>
        </w:rPr>
        <w:t xml:space="preserve"> here</w:t>
      </w:r>
      <w:r w:rsidR="00FA7F94">
        <w:rPr>
          <w:rFonts w:ascii="Times New Roman" w:hAnsi="Times New Roman" w:cs="Times New Roman"/>
        </w:rPr>
        <w:t xml:space="preserve"> on my end</w:t>
      </w:r>
      <w:r>
        <w:rPr>
          <w:rFonts w:ascii="Times New Roman" w:hAnsi="Times New Roman" w:cs="Times New Roman"/>
        </w:rPr>
        <w:t>, I’</w:t>
      </w:r>
      <w:r w:rsidR="007D4510">
        <w:rPr>
          <w:rFonts w:ascii="Times New Roman" w:hAnsi="Times New Roman" w:cs="Times New Roman"/>
        </w:rPr>
        <w:t xml:space="preserve">m a bit of a </w:t>
      </w:r>
      <w:proofErr w:type="spellStart"/>
      <w:r w:rsidR="007D4510">
        <w:rPr>
          <w:rFonts w:ascii="Times New Roman" w:hAnsi="Times New Roman" w:cs="Times New Roman"/>
        </w:rPr>
        <w:t>sceptic</w:t>
      </w:r>
      <w:proofErr w:type="spellEnd"/>
      <w:r w:rsidR="007D4510">
        <w:rPr>
          <w:rFonts w:ascii="Times New Roman" w:hAnsi="Times New Roman" w:cs="Times New Roman"/>
        </w:rPr>
        <w:t xml:space="preserve"> about </w:t>
      </w:r>
      <w:r>
        <w:rPr>
          <w:rFonts w:ascii="Times New Roman" w:hAnsi="Times New Roman" w:cs="Times New Roman"/>
        </w:rPr>
        <w:t>simulation</w:t>
      </w:r>
      <w:r w:rsidR="007D4510">
        <w:rPr>
          <w:rFonts w:ascii="Times New Roman" w:hAnsi="Times New Roman" w:cs="Times New Roman"/>
        </w:rPr>
        <w:t xml:space="preserve"> theory</w:t>
      </w:r>
      <w:r>
        <w:rPr>
          <w:rFonts w:ascii="Times New Roman" w:hAnsi="Times New Roman" w:cs="Times New Roman"/>
        </w:rPr>
        <w:t xml:space="preserve">, so again take this with a grain of salt, but it’s not obvious to me why the case of Sam and Ahmed requires us to </w:t>
      </w:r>
      <w:r w:rsidR="007D4510">
        <w:rPr>
          <w:rFonts w:ascii="Times New Roman" w:hAnsi="Times New Roman" w:cs="Times New Roman"/>
        </w:rPr>
        <w:t>take on board ST</w:t>
      </w:r>
      <w:r>
        <w:rPr>
          <w:rFonts w:ascii="Times New Roman" w:hAnsi="Times New Roman" w:cs="Times New Roman"/>
        </w:rPr>
        <w:t xml:space="preserve">. At least one paper you mention, </w:t>
      </w:r>
      <w:proofErr w:type="spellStart"/>
      <w:r>
        <w:rPr>
          <w:rFonts w:ascii="Times New Roman" w:hAnsi="Times New Roman" w:cs="Times New Roman"/>
        </w:rPr>
        <w:t>Iacoboni</w:t>
      </w:r>
      <w:proofErr w:type="spellEnd"/>
      <w:r>
        <w:rPr>
          <w:rFonts w:ascii="Times New Roman" w:hAnsi="Times New Roman" w:cs="Times New Roman"/>
        </w:rPr>
        <w:t xml:space="preserve"> 2005, is subject to (in my mind) convincing criticism (Borg 20</w:t>
      </w:r>
      <w:r w:rsidR="006F699C">
        <w:rPr>
          <w:rFonts w:ascii="Times New Roman" w:hAnsi="Times New Roman" w:cs="Times New Roman"/>
        </w:rPr>
        <w:t>07), and quite generally I think</w:t>
      </w:r>
      <w:r>
        <w:rPr>
          <w:rFonts w:ascii="Times New Roman" w:hAnsi="Times New Roman" w:cs="Times New Roman"/>
        </w:rPr>
        <w:t xml:space="preserve"> that critics of ST such as Gallagher have rather a lot going for them. But again, I agree with the ultimate conclusion – joint motor activity can be made sense of without stipulating collective intention.</w:t>
      </w:r>
      <w:r w:rsidR="006F699C">
        <w:rPr>
          <w:rFonts w:ascii="Times New Roman" w:hAnsi="Times New Roman" w:cs="Times New Roman"/>
        </w:rPr>
        <w:t xml:space="preserve"> Perhaps a simple </w:t>
      </w:r>
      <w:proofErr w:type="gramStart"/>
      <w:r w:rsidR="006F699C">
        <w:rPr>
          <w:rFonts w:ascii="Times New Roman" w:hAnsi="Times New Roman" w:cs="Times New Roman"/>
        </w:rPr>
        <w:t>disclaimer, that</w:t>
      </w:r>
      <w:proofErr w:type="gramEnd"/>
      <w:r w:rsidR="006F699C">
        <w:rPr>
          <w:rFonts w:ascii="Times New Roman" w:hAnsi="Times New Roman" w:cs="Times New Roman"/>
        </w:rPr>
        <w:t xml:space="preserve"> for the purposes of the paper you take on ST, would help.</w:t>
      </w:r>
    </w:p>
    <w:p w:rsidR="00CF1F21" w:rsidRDefault="00CF1F21" w:rsidP="007D4510">
      <w:pPr>
        <w:spacing w:line="480" w:lineRule="auto"/>
        <w:ind w:firstLine="720"/>
        <w:rPr>
          <w:rFonts w:ascii="Times New Roman" w:hAnsi="Times New Roman" w:cs="Times New Roman"/>
        </w:rPr>
      </w:pPr>
      <w:r>
        <w:rPr>
          <w:rFonts w:ascii="Times New Roman" w:hAnsi="Times New Roman" w:cs="Times New Roman"/>
        </w:rPr>
        <w:t>One thing I really like about the paper</w:t>
      </w:r>
      <w:r w:rsidR="00FA7F94">
        <w:rPr>
          <w:rFonts w:ascii="Times New Roman" w:hAnsi="Times New Roman" w:cs="Times New Roman"/>
        </w:rPr>
        <w:t xml:space="preserve"> (particularly in contrast to how I write…)</w:t>
      </w:r>
      <w:r>
        <w:rPr>
          <w:rFonts w:ascii="Times New Roman" w:hAnsi="Times New Roman" w:cs="Times New Roman"/>
        </w:rPr>
        <w:t xml:space="preserve"> is that it’s very clear and tries to keep things simple, and if you spend too much time discussing what you mean by experience and whether ST is on the right track you obviously run the risk of losing that. </w:t>
      </w:r>
      <w:r w:rsidR="006F699C">
        <w:rPr>
          <w:rFonts w:ascii="Times New Roman" w:hAnsi="Times New Roman" w:cs="Times New Roman"/>
        </w:rPr>
        <w:t xml:space="preserve">But one discussion that’s definitely needed here, I think, is the one about awareness – whether you want to say that motor cognition does not rely on awareness, or whether it’s a different kind of awareness from collective intentionality, or whether there’s some overlap (awareness of </w:t>
      </w:r>
      <w:proofErr w:type="spellStart"/>
      <w:r w:rsidR="006F699C">
        <w:rPr>
          <w:rFonts w:ascii="Times New Roman" w:hAnsi="Times New Roman" w:cs="Times New Roman"/>
        </w:rPr>
        <w:t>jointness</w:t>
      </w:r>
      <w:proofErr w:type="spellEnd"/>
      <w:r w:rsidR="006F699C">
        <w:rPr>
          <w:rFonts w:ascii="Times New Roman" w:hAnsi="Times New Roman" w:cs="Times New Roman"/>
        </w:rPr>
        <w:t xml:space="preserve"> perhaps) but also a big difference (CI requires you to be aware not only of but also that the other person is jointly acting with you, or some such). My hunch is that this discussion requires you to consider not only awareness of the other person, in its various forms, but also awareness of the environment you are manipulating with this person. You mention this briefly, when bringing in the idea of ‘collective affordances’ (though, as I said, I’m not sure they obtain in the case you mention). I attach </w:t>
      </w:r>
      <w:proofErr w:type="spellStart"/>
      <w:r w:rsidR="006F699C">
        <w:rPr>
          <w:rFonts w:ascii="Times New Roman" w:hAnsi="Times New Roman" w:cs="Times New Roman"/>
        </w:rPr>
        <w:t>Sinigaglia’s</w:t>
      </w:r>
      <w:proofErr w:type="spellEnd"/>
      <w:r w:rsidR="006F699C">
        <w:rPr>
          <w:rFonts w:ascii="Times New Roman" w:hAnsi="Times New Roman" w:cs="Times New Roman"/>
        </w:rPr>
        <w:t xml:space="preserve"> paper for the Joint Attention </w:t>
      </w:r>
      <w:r w:rsidR="006F699C">
        <w:rPr>
          <w:rFonts w:ascii="Times New Roman" w:hAnsi="Times New Roman" w:cs="Times New Roman"/>
        </w:rPr>
        <w:lastRenderedPageBreak/>
        <w:t xml:space="preserve">collection, which perhaps you will find interesting in this respect. </w:t>
      </w:r>
      <w:r w:rsidR="00B41C21">
        <w:rPr>
          <w:rFonts w:ascii="Times New Roman" w:hAnsi="Times New Roman" w:cs="Times New Roman"/>
        </w:rPr>
        <w:t>It’s a draft (though the ultimate one), so please don’t quote without asking him.</w:t>
      </w:r>
    </w:p>
    <w:p w:rsidR="00FA7F94" w:rsidRDefault="00FA7F94" w:rsidP="007D4510">
      <w:pPr>
        <w:spacing w:line="480" w:lineRule="auto"/>
        <w:ind w:firstLine="720"/>
        <w:rPr>
          <w:rFonts w:ascii="Times New Roman" w:hAnsi="Times New Roman" w:cs="Times New Roman"/>
        </w:rPr>
      </w:pPr>
    </w:p>
    <w:p w:rsidR="00FA7F94" w:rsidRDefault="00FA7F94" w:rsidP="00FA7F94">
      <w:pPr>
        <w:spacing w:line="480" w:lineRule="auto"/>
        <w:rPr>
          <w:rFonts w:ascii="Times New Roman" w:hAnsi="Times New Roman" w:cs="Times New Roman"/>
        </w:rPr>
      </w:pPr>
      <w:r>
        <w:rPr>
          <w:rFonts w:ascii="Times New Roman" w:hAnsi="Times New Roman" w:cs="Times New Roman"/>
        </w:rPr>
        <w:t>Cheers</w:t>
      </w:r>
    </w:p>
    <w:p w:rsidR="00FA7F94" w:rsidRPr="001A3841" w:rsidRDefault="00FA7F94" w:rsidP="00FA7F94">
      <w:pPr>
        <w:spacing w:line="480" w:lineRule="auto"/>
        <w:rPr>
          <w:rFonts w:ascii="Times New Roman" w:hAnsi="Times New Roman" w:cs="Times New Roman"/>
        </w:rPr>
      </w:pPr>
      <w:r>
        <w:rPr>
          <w:rFonts w:ascii="Times New Roman" w:hAnsi="Times New Roman" w:cs="Times New Roman"/>
        </w:rPr>
        <w:t>Axel.</w:t>
      </w:r>
    </w:p>
    <w:sectPr w:rsidR="00FA7F94" w:rsidRPr="001A3841" w:rsidSect="004B56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841"/>
    <w:rsid w:val="001A3841"/>
    <w:rsid w:val="001F73E8"/>
    <w:rsid w:val="00293EE4"/>
    <w:rsid w:val="002D73CD"/>
    <w:rsid w:val="004B56F9"/>
    <w:rsid w:val="0057426F"/>
    <w:rsid w:val="006F699C"/>
    <w:rsid w:val="007D4510"/>
    <w:rsid w:val="00A2738E"/>
    <w:rsid w:val="00AD2FAD"/>
    <w:rsid w:val="00B41C21"/>
    <w:rsid w:val="00CF1F21"/>
    <w:rsid w:val="00F85800"/>
    <w:rsid w:val="00FA7F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7442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Bentley</dc:creator>
  <cp:lastModifiedBy>Bentley</cp:lastModifiedBy>
  <cp:revision>3</cp:revision>
  <dcterms:created xsi:type="dcterms:W3CDTF">2011-05-03T17:31:00Z</dcterms:created>
  <dcterms:modified xsi:type="dcterms:W3CDTF">2011-05-03T19:03:00Z</dcterms:modified>
</cp:coreProperties>
</file>