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dgm="http://schemas.openxmlformats.org/drawingml/2006/diagram" xmlns:pic="http://schemas.openxmlformats.org/drawingml/2006/picture" xmlns:c="http://schemas.openxmlformats.org/drawingml/2006/chart" mc:Ignorable="w14 w15 w16se w16cid w16 w16cex w16sdtdh wp14">
  <w:body>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284" w:type="dxa"/>
        </w:tblCellMar>
        <w:tblLook w:val="04A0" w:firstRow="1" w:lastRow="0" w:firstColumn="1" w:lastColumn="0" w:noHBand="0" w:noVBand="1"/>
      </w:tblPr>
      <w:tblGrid>
        <w:gridCol w:w="5935"/>
      </w:tblGrid>
      <w:tr w:rsidR="00AF3454" w:rsidTr="00633D7D" w14:paraId="7135F70E" w14:textId="77777777">
        <w:trPr>
          <w:trHeight w:val="3404"/>
        </w:trPr>
        <w:tc>
          <w:tcPr>
            <w:tcW w:w="5935" w:type="dxa"/>
            <w:vAlign w:val="bottom"/>
          </w:tcPr>
          <w:p w:rsidR="00AF3454" w:rsidP="00AF3454" w:rsidRDefault="00FF1CBF" w14:paraId="6BF6AC1E" w14:textId="7EDD97DD">
            <w:pPr>
              <w:pStyle w:val="Cover-Title"/>
            </w:pPr>
            <w:r>
              <w:t>N</w:t>
            </w:r>
            <w:bookmarkStart w:name="_Ref121240785" w:id="0"/>
            <w:bookmarkEnd w:id="0"/>
            <w:r>
              <w:t>on-Co-optimised Essential System Services Trigger Submission</w:t>
            </w:r>
          </w:p>
        </w:tc>
      </w:tr>
      <w:tr w:rsidR="00AF3454" w:rsidTr="00633D7D" w14:paraId="2CE21C39" w14:textId="77777777">
        <w:trPr>
          <w:trHeight w:val="1417"/>
        </w:trPr>
        <w:tc>
          <w:tcPr>
            <w:tcW w:w="5935" w:type="dxa"/>
          </w:tcPr>
          <w:p w:rsidR="00AF3454" w:rsidP="00633D7D" w:rsidRDefault="00D40816" w14:paraId="3E53B8B7" w14:textId="427ECB8D">
            <w:pPr>
              <w:pStyle w:val="Cover-Month"/>
            </w:pPr>
            <w:r>
              <w:t>December</w:t>
            </w:r>
            <w:r w:rsidR="00983EA7">
              <w:t xml:space="preserve"> </w:t>
            </w:r>
            <w:r w:rsidR="00FF1CBF">
              <w:t>2022</w:t>
            </w:r>
          </w:p>
        </w:tc>
      </w:tr>
      <w:tr w:rsidR="00AF3454" w:rsidTr="00633D7D" w14:paraId="57851D99" w14:textId="77777777">
        <w:trPr>
          <w:trHeight w:val="3226"/>
        </w:trPr>
        <w:tc>
          <w:tcPr>
            <w:tcW w:w="5935" w:type="dxa"/>
          </w:tcPr>
          <w:p w:rsidR="00AF3454" w:rsidP="00633D7D" w:rsidRDefault="002E0555" w14:paraId="79618514" w14:textId="6D9B11C9">
            <w:pPr>
              <w:pStyle w:val="Subtitle"/>
            </w:pPr>
            <w:r>
              <w:t>Reliability Service</w:t>
            </w:r>
          </w:p>
          <w:p w:rsidR="00633D7D" w:rsidP="00633D7D" w:rsidRDefault="00FF1CBF" w14:paraId="2D3B5052" w14:textId="5072F837">
            <w:pPr>
              <w:pStyle w:val="Cover-Scope"/>
            </w:pPr>
            <w:r>
              <w:t>A submission to the Coordinator of Energy</w:t>
            </w:r>
          </w:p>
        </w:tc>
      </w:tr>
    </w:tbl>
    <w:p w:rsidR="00AF3454" w:rsidP="00845F17" w:rsidRDefault="00AF3454" w14:paraId="28CD5F2F" w14:textId="77777777">
      <w:pPr>
        <w:pStyle w:val="BodyText"/>
      </w:pPr>
    </w:p>
    <w:p w:rsidR="00AF3454" w:rsidP="00845F17" w:rsidRDefault="00AF3454" w14:paraId="69C9576D" w14:textId="77777777">
      <w:pPr>
        <w:pStyle w:val="BodyText"/>
        <w:sectPr w:rsidR="00AF3454" w:rsidSect="00AE5141">
          <w:headerReference w:type="default" r:id="rId12"/>
          <w:pgSz w:w="11907" w:h="16840" w:code="9"/>
          <w:pgMar w:top="1985" w:right="907" w:bottom="1418" w:left="907" w:header="788" w:footer="471" w:gutter="0"/>
          <w:cols w:space="708"/>
          <w:docGrid w:linePitch="360"/>
        </w:sectPr>
      </w:pPr>
    </w:p>
    <w:p w:rsidR="00BF4A58" w:rsidP="00BF4A58" w:rsidRDefault="00BF4A58" w14:paraId="6C2BEA21" w14:textId="77777777">
      <w:pPr>
        <w:pStyle w:val="Heading-P2"/>
      </w:pPr>
      <w:r w:rsidRPr="003E241C">
        <w:t xml:space="preserve">Important </w:t>
      </w:r>
      <w:r w:rsidRPr="003E241C" w:rsidR="00977CF8">
        <w:t>notice</w:t>
      </w:r>
    </w:p>
    <w:p w:rsidR="00BF4A58" w:rsidP="00BF4A58" w:rsidRDefault="00BF4A58" w14:paraId="384C909B" w14:textId="3108E82E">
      <w:pPr>
        <w:pStyle w:val="ImportantNotice-Subheading"/>
      </w:pPr>
      <w:r>
        <w:t>Purpose</w:t>
      </w:r>
    </w:p>
    <w:p w:rsidR="00BF4A58" w:rsidP="2F8CBF30" w:rsidRDefault="00BF4A58" w14:paraId="6B603F87" w14:textId="3EE74403">
      <w:pPr>
        <w:pStyle w:val="ImportantNoticeBody"/>
      </w:pPr>
      <w:r>
        <w:t>AEMO has prepared this document under clause 3.11A.2A of the Wholesale Electricity Market Rules.</w:t>
      </w:r>
    </w:p>
    <w:p w:rsidR="00BF4A58" w:rsidP="00BF4A58" w:rsidRDefault="00BF4A58" w14:paraId="7694CAFB" w14:textId="2E34A0C5">
      <w:pPr>
        <w:pStyle w:val="ImportantNotice-Subheading"/>
      </w:pPr>
      <w:r>
        <w:t>Disclaimer</w:t>
      </w:r>
    </w:p>
    <w:p w:rsidR="00BF4A58" w:rsidP="00BF4A58" w:rsidRDefault="00BF4A58" w14:paraId="4C94B64B" w14:textId="12278159">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rsidR="00BF4A58" w:rsidP="00BF4A58" w:rsidRDefault="00BF4A58" w14:paraId="002247BF" w14:textId="77777777">
      <w:pPr>
        <w:pStyle w:val="ImportantNoticeBody"/>
      </w:pPr>
      <w:r>
        <w:t>Accordingly, to the maximum extent permitted by law, AEMO and its officers, employees and consultants involved in the preparation of this document:</w:t>
      </w:r>
    </w:p>
    <w:p w:rsidR="00BF4A58" w:rsidP="006F41AA" w:rsidRDefault="00BF4A58" w14:paraId="3E271E76" w14:textId="77777777">
      <w:pPr>
        <w:pStyle w:val="ImportantNotice-Bullet"/>
      </w:pPr>
      <w:r>
        <w:t>make no representation or warranty, express or implied, as to the currency, accuracy, reliability or completeness of the information in this document; and</w:t>
      </w:r>
    </w:p>
    <w:p w:rsidR="00BF4A58" w:rsidP="00132AE8" w:rsidRDefault="00BF4A58" w14:paraId="7DC877EC" w14:textId="473ABB3D">
      <w:pPr>
        <w:pStyle w:val="ImportantNotice-Bullet"/>
      </w:pPr>
      <w:r>
        <w:t>are not liable (whether by reason of negligence or otherwise) for any statements or representations in this document, or any omissions from it, or for any use or reliance on the information in it.</w:t>
      </w:r>
    </w:p>
    <w:p w:rsidR="00BF4A58" w:rsidP="00BF4A58" w:rsidRDefault="00BF4A58" w14:paraId="0EAD85E9" w14:textId="77777777">
      <w:pPr>
        <w:pStyle w:val="ImportantNotice-VersionControl"/>
      </w:pPr>
      <w:r w:rsidRPr="002437B1">
        <w:t xml:space="preserve">Version </w:t>
      </w:r>
      <w:r w:rsidRPr="002437B1" w:rsidR="00977CF8">
        <w:t>control</w:t>
      </w:r>
    </w:p>
    <w:tbl>
      <w:tblPr>
        <w:tblStyle w:val="AEMO-Table1"/>
        <w:tblW w:w="0" w:type="auto"/>
        <w:tblLook w:val="0420" w:firstRow="1" w:lastRow="0" w:firstColumn="0" w:lastColumn="0" w:noHBand="0" w:noVBand="1"/>
      </w:tblPr>
      <w:tblGrid>
        <w:gridCol w:w="1276"/>
        <w:gridCol w:w="1701"/>
        <w:gridCol w:w="6889"/>
      </w:tblGrid>
      <w:tr w:rsidRPr="007C64CE" w:rsidR="00BF4A58" w:rsidTr="00977CF8" w14:paraId="7A4D5B1C" w14:textId="77777777">
        <w:trPr>
          <w:cnfStyle w:val="100000000000" w:firstRow="1" w:lastRow="0" w:firstColumn="0" w:lastColumn="0" w:oddVBand="0" w:evenVBand="0" w:oddHBand="0" w:evenHBand="0" w:firstRowFirstColumn="0" w:firstRowLastColumn="0" w:lastRowFirstColumn="0" w:lastRowLastColumn="0"/>
        </w:trPr>
        <w:tc>
          <w:tcPr>
            <w:tcW w:w="1276" w:type="dxa"/>
          </w:tcPr>
          <w:p w:rsidRPr="007C64CE" w:rsidR="00BF4A58" w:rsidP="00C303E0" w:rsidRDefault="00BF4A58" w14:paraId="31F6E1C9" w14:textId="77777777">
            <w:pPr>
              <w:pStyle w:val="TableText"/>
            </w:pPr>
            <w:r w:rsidRPr="007C64CE">
              <w:t>Version</w:t>
            </w:r>
          </w:p>
        </w:tc>
        <w:tc>
          <w:tcPr>
            <w:tcW w:w="1701" w:type="dxa"/>
          </w:tcPr>
          <w:p w:rsidRPr="007C64CE" w:rsidR="00BF4A58" w:rsidP="00C303E0" w:rsidRDefault="00BF4A58" w14:paraId="6740A0F4" w14:textId="77777777">
            <w:pPr>
              <w:pStyle w:val="TableText"/>
            </w:pPr>
            <w:r w:rsidRPr="007C64CE">
              <w:t>Release date</w:t>
            </w:r>
          </w:p>
        </w:tc>
        <w:tc>
          <w:tcPr>
            <w:tcW w:w="6889" w:type="dxa"/>
          </w:tcPr>
          <w:p w:rsidRPr="007C64CE" w:rsidR="00BF4A58" w:rsidP="00C303E0" w:rsidRDefault="00BF4A58" w14:paraId="356B8EAD" w14:textId="77777777">
            <w:pPr>
              <w:pStyle w:val="TableText"/>
            </w:pPr>
            <w:r w:rsidRPr="007C64CE">
              <w:t>Changes</w:t>
            </w:r>
          </w:p>
        </w:tc>
      </w:tr>
      <w:tr w:rsidRPr="007C64CE" w:rsidR="00BF4A58" w:rsidTr="00977CF8" w14:paraId="6ADC8986" w14:textId="77777777">
        <w:tc>
          <w:tcPr>
            <w:tcW w:w="1276" w:type="dxa"/>
          </w:tcPr>
          <w:p w:rsidRPr="008C5C37" w:rsidR="00BF4A58" w:rsidP="00C303E0" w:rsidRDefault="00231674" w14:paraId="04AD4054" w14:textId="771AB369">
            <w:pPr>
              <w:pStyle w:val="TableText"/>
              <w:tabs>
                <w:tab w:val="clear" w:pos="1980"/>
              </w:tabs>
            </w:pPr>
            <w:r w:rsidRPr="008C5C37">
              <w:t>1</w:t>
            </w:r>
          </w:p>
        </w:tc>
        <w:tc>
          <w:tcPr>
            <w:tcW w:w="1701" w:type="dxa"/>
          </w:tcPr>
          <w:p w:rsidRPr="008C5C37" w:rsidR="00BF4A58" w:rsidP="00C303E0" w:rsidRDefault="00015044" w14:paraId="05899370" w14:textId="2664D89F">
            <w:pPr>
              <w:pStyle w:val="TableText"/>
              <w:tabs>
                <w:tab w:val="clear" w:pos="1980"/>
              </w:tabs>
            </w:pPr>
            <w:r w:rsidRPr="008C5C37">
              <w:t>9</w:t>
            </w:r>
            <w:r w:rsidRPr="008C5C37" w:rsidR="00AB5224">
              <w:t>/</w:t>
            </w:r>
            <w:r w:rsidRPr="008C5C37" w:rsidR="00210343">
              <w:t>1</w:t>
            </w:r>
            <w:r w:rsidRPr="008C5C37" w:rsidR="00266FED">
              <w:t>2</w:t>
            </w:r>
            <w:r w:rsidRPr="008C5C37" w:rsidR="00AB5224">
              <w:t>/2022</w:t>
            </w:r>
          </w:p>
        </w:tc>
        <w:tc>
          <w:tcPr>
            <w:tcW w:w="6889" w:type="dxa"/>
          </w:tcPr>
          <w:p w:rsidRPr="007C64CE" w:rsidR="00BF4A58" w:rsidP="00C303E0" w:rsidRDefault="00AB5224" w14:paraId="09E9D6A7" w14:textId="06D895D7">
            <w:pPr>
              <w:pStyle w:val="TableText"/>
              <w:tabs>
                <w:tab w:val="clear" w:pos="1980"/>
              </w:tabs>
            </w:pPr>
            <w:r>
              <w:t>First issue</w:t>
            </w:r>
          </w:p>
        </w:tc>
      </w:tr>
    </w:tbl>
    <w:p w:rsidR="00871CB8" w:rsidP="00845F17" w:rsidRDefault="00871CB8" w14:paraId="755CC727" w14:textId="7777777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rsidRPr="007C5294" w:rsidR="009C3524" w:rsidP="00F47F08" w:rsidRDefault="007C5294" w14:paraId="03510D0C" w14:textId="77777777">
      <w:pPr>
        <w:pStyle w:val="TOCHeading"/>
        <w:spacing w:before="0"/>
      </w:pPr>
      <w:r w:rsidRPr="007C5294">
        <w:t>Contents</w:t>
      </w:r>
    </w:p>
    <w:p w:rsidR="00666A1E" w:rsidRDefault="00BC2FA7" w14:paraId="00A4647D" w14:textId="6DE961BE">
      <w:pPr>
        <w:pStyle w:val="TOC1"/>
        <w:rPr>
          <w:rFonts w:asciiTheme="minorHAnsi" w:hAnsiTheme="minorHAnsi" w:eastAsiaTheme="minorEastAsia"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hyperlink w:history="1" w:anchor="_Toc121978573">
        <w:r w:rsidRPr="00455206" w:rsidR="00666A1E">
          <w:rPr>
            <w:rStyle w:val="Hyperlink"/>
          </w:rPr>
          <w:t>1</w:t>
        </w:r>
        <w:r w:rsidR="00666A1E">
          <w:rPr>
            <w:rFonts w:asciiTheme="minorHAnsi" w:hAnsiTheme="minorHAnsi" w:eastAsiaTheme="minorEastAsia" w:cstheme="minorBidi"/>
            <w:bCs w:val="0"/>
            <w:color w:val="auto"/>
            <w:sz w:val="22"/>
            <w:szCs w:val="22"/>
            <w:lang w:val="en-AU" w:eastAsia="en-AU"/>
          </w:rPr>
          <w:tab/>
        </w:r>
        <w:r w:rsidRPr="00455206" w:rsidR="00666A1E">
          <w:rPr>
            <w:rStyle w:val="Hyperlink"/>
          </w:rPr>
          <w:t>Reliability service</w:t>
        </w:r>
        <w:r w:rsidR="00666A1E">
          <w:rPr>
            <w:webHidden/>
          </w:rPr>
          <w:tab/>
        </w:r>
        <w:r w:rsidR="00666A1E">
          <w:rPr>
            <w:webHidden/>
          </w:rPr>
          <w:fldChar w:fldCharType="begin"/>
        </w:r>
        <w:r w:rsidR="00666A1E">
          <w:rPr>
            <w:webHidden/>
          </w:rPr>
          <w:instrText xml:space="preserve"> PAGEREF _Toc121978573 \h </w:instrText>
        </w:r>
        <w:r w:rsidR="00666A1E">
          <w:rPr>
            <w:webHidden/>
          </w:rPr>
        </w:r>
        <w:r w:rsidR="00666A1E">
          <w:rPr>
            <w:webHidden/>
          </w:rPr>
          <w:fldChar w:fldCharType="separate"/>
        </w:r>
        <w:r w:rsidR="00666A1E">
          <w:rPr>
            <w:webHidden/>
          </w:rPr>
          <w:t>4</w:t>
        </w:r>
        <w:r w:rsidR="00666A1E">
          <w:rPr>
            <w:webHidden/>
          </w:rPr>
          <w:fldChar w:fldCharType="end"/>
        </w:r>
      </w:hyperlink>
    </w:p>
    <w:p w:rsidR="00666A1E" w:rsidRDefault="00666A1E" w14:paraId="3DAFD026" w14:textId="3D515E15">
      <w:pPr>
        <w:pStyle w:val="TOC2"/>
        <w:rPr>
          <w:rFonts w:asciiTheme="minorHAnsi" w:hAnsiTheme="minorHAnsi" w:cstheme="minorBidi"/>
          <w:color w:val="auto"/>
          <w:sz w:val="22"/>
          <w:lang w:val="en-AU" w:eastAsia="en-AU"/>
        </w:rPr>
      </w:pPr>
      <w:hyperlink w:history="1" w:anchor="_Toc121978574">
        <w:r w:rsidRPr="00455206">
          <w:rPr>
            <w:rStyle w:val="Hyperlink"/>
          </w:rPr>
          <w:t>1.1</w:t>
        </w:r>
        <w:r>
          <w:rPr>
            <w:rFonts w:asciiTheme="minorHAnsi" w:hAnsiTheme="minorHAnsi" w:cstheme="minorBidi"/>
            <w:color w:val="auto"/>
            <w:sz w:val="22"/>
            <w:lang w:val="en-AU" w:eastAsia="en-AU"/>
          </w:rPr>
          <w:tab/>
        </w:r>
        <w:r w:rsidRPr="00455206">
          <w:rPr>
            <w:rStyle w:val="Hyperlink"/>
          </w:rPr>
          <w:t>Proposal</w:t>
        </w:r>
        <w:r>
          <w:rPr>
            <w:webHidden/>
          </w:rPr>
          <w:tab/>
        </w:r>
        <w:r>
          <w:rPr>
            <w:webHidden/>
          </w:rPr>
          <w:fldChar w:fldCharType="begin"/>
        </w:r>
        <w:r>
          <w:rPr>
            <w:webHidden/>
          </w:rPr>
          <w:instrText xml:space="preserve"> PAGEREF _Toc121978574 \h </w:instrText>
        </w:r>
        <w:r>
          <w:rPr>
            <w:webHidden/>
          </w:rPr>
        </w:r>
        <w:r>
          <w:rPr>
            <w:webHidden/>
          </w:rPr>
          <w:fldChar w:fldCharType="separate"/>
        </w:r>
        <w:r>
          <w:rPr>
            <w:webHidden/>
          </w:rPr>
          <w:t>4</w:t>
        </w:r>
        <w:r>
          <w:rPr>
            <w:webHidden/>
          </w:rPr>
          <w:fldChar w:fldCharType="end"/>
        </w:r>
      </w:hyperlink>
    </w:p>
    <w:p w:rsidR="00666A1E" w:rsidRDefault="00666A1E" w14:paraId="1CD11940" w14:textId="28A019E1">
      <w:pPr>
        <w:pStyle w:val="TOC2"/>
        <w:rPr>
          <w:rFonts w:asciiTheme="minorHAnsi" w:hAnsiTheme="minorHAnsi" w:cstheme="minorBidi"/>
          <w:color w:val="auto"/>
          <w:sz w:val="22"/>
          <w:lang w:val="en-AU" w:eastAsia="en-AU"/>
        </w:rPr>
      </w:pPr>
      <w:hyperlink w:history="1" w:anchor="_Toc121978575">
        <w:r w:rsidRPr="00455206">
          <w:rPr>
            <w:rStyle w:val="Hyperlink"/>
          </w:rPr>
          <w:t>1.2</w:t>
        </w:r>
        <w:r>
          <w:rPr>
            <w:rFonts w:asciiTheme="minorHAnsi" w:hAnsiTheme="minorHAnsi" w:cstheme="minorBidi"/>
            <w:color w:val="auto"/>
            <w:sz w:val="22"/>
            <w:lang w:val="en-AU" w:eastAsia="en-AU"/>
          </w:rPr>
          <w:tab/>
        </w:r>
        <w:r w:rsidRPr="00455206">
          <w:rPr>
            <w:rStyle w:val="Hyperlink"/>
          </w:rPr>
          <w:t>Trigger</w:t>
        </w:r>
        <w:r>
          <w:rPr>
            <w:webHidden/>
          </w:rPr>
          <w:tab/>
        </w:r>
        <w:r>
          <w:rPr>
            <w:webHidden/>
          </w:rPr>
          <w:fldChar w:fldCharType="begin"/>
        </w:r>
        <w:r>
          <w:rPr>
            <w:webHidden/>
          </w:rPr>
          <w:instrText xml:space="preserve"> PAGEREF _Toc121978575 \h </w:instrText>
        </w:r>
        <w:r>
          <w:rPr>
            <w:webHidden/>
          </w:rPr>
        </w:r>
        <w:r>
          <w:rPr>
            <w:webHidden/>
          </w:rPr>
          <w:fldChar w:fldCharType="separate"/>
        </w:r>
        <w:r>
          <w:rPr>
            <w:webHidden/>
          </w:rPr>
          <w:t>4</w:t>
        </w:r>
        <w:r>
          <w:rPr>
            <w:webHidden/>
          </w:rPr>
          <w:fldChar w:fldCharType="end"/>
        </w:r>
      </w:hyperlink>
    </w:p>
    <w:p w:rsidR="00666A1E" w:rsidRDefault="00666A1E" w14:paraId="1CC26A38" w14:textId="27CBCFE6">
      <w:pPr>
        <w:pStyle w:val="TOC2"/>
        <w:rPr>
          <w:rFonts w:asciiTheme="minorHAnsi" w:hAnsiTheme="minorHAnsi" w:cstheme="minorBidi"/>
          <w:color w:val="auto"/>
          <w:sz w:val="22"/>
          <w:lang w:val="en-AU" w:eastAsia="en-AU"/>
        </w:rPr>
      </w:pPr>
      <w:hyperlink w:history="1" w:anchor="_Toc121978576">
        <w:r w:rsidRPr="00455206">
          <w:rPr>
            <w:rStyle w:val="Hyperlink"/>
          </w:rPr>
          <w:t>1.3</w:t>
        </w:r>
        <w:r>
          <w:rPr>
            <w:rFonts w:asciiTheme="minorHAnsi" w:hAnsiTheme="minorHAnsi" w:cstheme="minorBidi"/>
            <w:color w:val="auto"/>
            <w:sz w:val="22"/>
            <w:lang w:val="en-AU" w:eastAsia="en-AU"/>
          </w:rPr>
          <w:tab/>
        </w:r>
        <w:r w:rsidRPr="00455206">
          <w:rPr>
            <w:rStyle w:val="Hyperlink"/>
          </w:rPr>
          <w:t>Background</w:t>
        </w:r>
        <w:r>
          <w:rPr>
            <w:webHidden/>
          </w:rPr>
          <w:tab/>
        </w:r>
        <w:r>
          <w:rPr>
            <w:webHidden/>
          </w:rPr>
          <w:fldChar w:fldCharType="begin"/>
        </w:r>
        <w:r>
          <w:rPr>
            <w:webHidden/>
          </w:rPr>
          <w:instrText xml:space="preserve"> PAGEREF _Toc121978576 \h </w:instrText>
        </w:r>
        <w:r>
          <w:rPr>
            <w:webHidden/>
          </w:rPr>
        </w:r>
        <w:r>
          <w:rPr>
            <w:webHidden/>
          </w:rPr>
          <w:fldChar w:fldCharType="separate"/>
        </w:r>
        <w:r>
          <w:rPr>
            <w:webHidden/>
          </w:rPr>
          <w:t>5</w:t>
        </w:r>
        <w:r>
          <w:rPr>
            <w:webHidden/>
          </w:rPr>
          <w:fldChar w:fldCharType="end"/>
        </w:r>
      </w:hyperlink>
    </w:p>
    <w:p w:rsidR="00666A1E" w:rsidRDefault="00666A1E" w14:paraId="6971A222" w14:textId="4D6FEA42">
      <w:pPr>
        <w:pStyle w:val="TOC2"/>
        <w:rPr>
          <w:rFonts w:asciiTheme="minorHAnsi" w:hAnsiTheme="minorHAnsi" w:cstheme="minorBidi"/>
          <w:color w:val="auto"/>
          <w:sz w:val="22"/>
          <w:lang w:val="en-AU" w:eastAsia="en-AU"/>
        </w:rPr>
      </w:pPr>
      <w:hyperlink w:history="1" w:anchor="_Toc121978577">
        <w:r w:rsidRPr="00455206">
          <w:rPr>
            <w:rStyle w:val="Hyperlink"/>
          </w:rPr>
          <w:t>1.4</w:t>
        </w:r>
        <w:r>
          <w:rPr>
            <w:rFonts w:asciiTheme="minorHAnsi" w:hAnsiTheme="minorHAnsi" w:cstheme="minorBidi"/>
            <w:color w:val="auto"/>
            <w:sz w:val="22"/>
            <w:lang w:val="en-AU" w:eastAsia="en-AU"/>
          </w:rPr>
          <w:tab/>
        </w:r>
        <w:r w:rsidRPr="00455206">
          <w:rPr>
            <w:rStyle w:val="Hyperlink"/>
          </w:rPr>
          <w:t>Services required</w:t>
        </w:r>
        <w:r>
          <w:rPr>
            <w:webHidden/>
          </w:rPr>
          <w:tab/>
        </w:r>
        <w:r>
          <w:rPr>
            <w:webHidden/>
          </w:rPr>
          <w:fldChar w:fldCharType="begin"/>
        </w:r>
        <w:r>
          <w:rPr>
            <w:webHidden/>
          </w:rPr>
          <w:instrText xml:space="preserve"> PAGEREF _Toc121978577 \h </w:instrText>
        </w:r>
        <w:r>
          <w:rPr>
            <w:webHidden/>
          </w:rPr>
        </w:r>
        <w:r>
          <w:rPr>
            <w:webHidden/>
          </w:rPr>
          <w:fldChar w:fldCharType="separate"/>
        </w:r>
        <w:r>
          <w:rPr>
            <w:webHidden/>
          </w:rPr>
          <w:t>5</w:t>
        </w:r>
        <w:r>
          <w:rPr>
            <w:webHidden/>
          </w:rPr>
          <w:fldChar w:fldCharType="end"/>
        </w:r>
      </w:hyperlink>
    </w:p>
    <w:p w:rsidR="00666A1E" w:rsidRDefault="00666A1E" w14:paraId="4765F09B" w14:textId="4D2F9D9D">
      <w:pPr>
        <w:pStyle w:val="TOC2"/>
        <w:rPr>
          <w:rFonts w:asciiTheme="minorHAnsi" w:hAnsiTheme="minorHAnsi" w:cstheme="minorBidi"/>
          <w:color w:val="auto"/>
          <w:sz w:val="22"/>
          <w:lang w:val="en-AU" w:eastAsia="en-AU"/>
        </w:rPr>
      </w:pPr>
      <w:hyperlink w:history="1" w:anchor="_Toc121978578">
        <w:r w:rsidRPr="00455206">
          <w:rPr>
            <w:rStyle w:val="Hyperlink"/>
          </w:rPr>
          <w:t>1.5</w:t>
        </w:r>
        <w:r>
          <w:rPr>
            <w:rFonts w:asciiTheme="minorHAnsi" w:hAnsiTheme="minorHAnsi" w:cstheme="minorBidi"/>
            <w:color w:val="auto"/>
            <w:sz w:val="22"/>
            <w:lang w:val="en-AU" w:eastAsia="en-AU"/>
          </w:rPr>
          <w:tab/>
        </w:r>
        <w:r w:rsidRPr="00455206">
          <w:rPr>
            <w:rStyle w:val="Hyperlink"/>
          </w:rPr>
          <w:t>Analysis</w:t>
        </w:r>
        <w:r>
          <w:rPr>
            <w:webHidden/>
          </w:rPr>
          <w:tab/>
        </w:r>
        <w:r>
          <w:rPr>
            <w:webHidden/>
          </w:rPr>
          <w:fldChar w:fldCharType="begin"/>
        </w:r>
        <w:r>
          <w:rPr>
            <w:webHidden/>
          </w:rPr>
          <w:instrText xml:space="preserve"> PAGEREF _Toc121978578 \h </w:instrText>
        </w:r>
        <w:r>
          <w:rPr>
            <w:webHidden/>
          </w:rPr>
        </w:r>
        <w:r>
          <w:rPr>
            <w:webHidden/>
          </w:rPr>
          <w:fldChar w:fldCharType="separate"/>
        </w:r>
        <w:r>
          <w:rPr>
            <w:webHidden/>
          </w:rPr>
          <w:t>7</w:t>
        </w:r>
        <w:r>
          <w:rPr>
            <w:webHidden/>
          </w:rPr>
          <w:fldChar w:fldCharType="end"/>
        </w:r>
      </w:hyperlink>
    </w:p>
    <w:p w:rsidR="00666A1E" w:rsidRDefault="00666A1E" w14:paraId="2CCC469F" w14:textId="2B76BEE9">
      <w:pPr>
        <w:pStyle w:val="TOC2"/>
        <w:rPr>
          <w:rFonts w:asciiTheme="minorHAnsi" w:hAnsiTheme="minorHAnsi" w:cstheme="minorBidi"/>
          <w:color w:val="auto"/>
          <w:sz w:val="22"/>
          <w:lang w:val="en-AU" w:eastAsia="en-AU"/>
        </w:rPr>
      </w:pPr>
      <w:hyperlink w:history="1" w:anchor="_Toc121978579">
        <w:r w:rsidRPr="00455206">
          <w:rPr>
            <w:rStyle w:val="Hyperlink"/>
          </w:rPr>
          <w:t>1.6</w:t>
        </w:r>
        <w:r>
          <w:rPr>
            <w:rFonts w:asciiTheme="minorHAnsi" w:hAnsiTheme="minorHAnsi" w:cstheme="minorBidi"/>
            <w:color w:val="auto"/>
            <w:sz w:val="22"/>
            <w:lang w:val="en-AU" w:eastAsia="en-AU"/>
          </w:rPr>
          <w:tab/>
        </w:r>
        <w:r w:rsidRPr="00455206">
          <w:rPr>
            <w:rStyle w:val="Hyperlink"/>
          </w:rPr>
          <w:t>Other factors for consideration</w:t>
        </w:r>
        <w:r>
          <w:rPr>
            <w:webHidden/>
          </w:rPr>
          <w:tab/>
        </w:r>
        <w:r>
          <w:rPr>
            <w:webHidden/>
          </w:rPr>
          <w:fldChar w:fldCharType="begin"/>
        </w:r>
        <w:r>
          <w:rPr>
            <w:webHidden/>
          </w:rPr>
          <w:instrText xml:space="preserve"> PAGEREF _Toc121978579 \h </w:instrText>
        </w:r>
        <w:r>
          <w:rPr>
            <w:webHidden/>
          </w:rPr>
        </w:r>
        <w:r>
          <w:rPr>
            <w:webHidden/>
          </w:rPr>
          <w:fldChar w:fldCharType="separate"/>
        </w:r>
        <w:r>
          <w:rPr>
            <w:webHidden/>
          </w:rPr>
          <w:t>11</w:t>
        </w:r>
        <w:r>
          <w:rPr>
            <w:webHidden/>
          </w:rPr>
          <w:fldChar w:fldCharType="end"/>
        </w:r>
      </w:hyperlink>
    </w:p>
    <w:p w:rsidR="00666A1E" w:rsidRDefault="00666A1E" w14:paraId="33BE1336" w14:textId="6A2DC169">
      <w:pPr>
        <w:pStyle w:val="TOC1"/>
        <w:rPr>
          <w:rFonts w:asciiTheme="minorHAnsi" w:hAnsiTheme="minorHAnsi" w:eastAsiaTheme="minorEastAsia" w:cstheme="minorBidi"/>
          <w:bCs w:val="0"/>
          <w:color w:val="auto"/>
          <w:sz w:val="22"/>
          <w:szCs w:val="22"/>
          <w:lang w:val="en-AU" w:eastAsia="en-AU"/>
        </w:rPr>
      </w:pPr>
      <w:hyperlink w:history="1" w:anchor="_Toc121978580">
        <w:r w:rsidRPr="00455206">
          <w:rPr>
            <w:rStyle w:val="Hyperlink"/>
          </w:rPr>
          <w:t>A1.</w:t>
        </w:r>
        <w:r>
          <w:rPr>
            <w:rFonts w:asciiTheme="minorHAnsi" w:hAnsiTheme="minorHAnsi" w:eastAsiaTheme="minorEastAsia" w:cstheme="minorBidi"/>
            <w:bCs w:val="0"/>
            <w:color w:val="auto"/>
            <w:sz w:val="22"/>
            <w:szCs w:val="22"/>
            <w:lang w:val="en-AU" w:eastAsia="en-AU"/>
          </w:rPr>
          <w:tab/>
        </w:r>
        <w:r w:rsidRPr="00455206">
          <w:rPr>
            <w:rStyle w:val="Hyperlink"/>
          </w:rPr>
          <w:t>Operational demand vs system load</w:t>
        </w:r>
        <w:r>
          <w:rPr>
            <w:webHidden/>
          </w:rPr>
          <w:tab/>
        </w:r>
        <w:r>
          <w:rPr>
            <w:webHidden/>
          </w:rPr>
          <w:fldChar w:fldCharType="begin"/>
        </w:r>
        <w:r>
          <w:rPr>
            <w:webHidden/>
          </w:rPr>
          <w:instrText xml:space="preserve"> PAGEREF _Toc121978580 \h </w:instrText>
        </w:r>
        <w:r>
          <w:rPr>
            <w:webHidden/>
          </w:rPr>
        </w:r>
        <w:r>
          <w:rPr>
            <w:webHidden/>
          </w:rPr>
          <w:fldChar w:fldCharType="separate"/>
        </w:r>
        <w:r>
          <w:rPr>
            <w:webHidden/>
          </w:rPr>
          <w:t>12</w:t>
        </w:r>
        <w:r>
          <w:rPr>
            <w:webHidden/>
          </w:rPr>
          <w:fldChar w:fldCharType="end"/>
        </w:r>
      </w:hyperlink>
    </w:p>
    <w:p w:rsidR="00666A1E" w:rsidRDefault="00666A1E" w14:paraId="1DF3C31B" w14:textId="595E4E80">
      <w:pPr>
        <w:pStyle w:val="TOC1"/>
        <w:rPr>
          <w:rFonts w:asciiTheme="minorHAnsi" w:hAnsiTheme="minorHAnsi" w:eastAsiaTheme="minorEastAsia" w:cstheme="minorBidi"/>
          <w:bCs w:val="0"/>
          <w:color w:val="auto"/>
          <w:sz w:val="22"/>
          <w:szCs w:val="22"/>
          <w:lang w:val="en-AU" w:eastAsia="en-AU"/>
        </w:rPr>
      </w:pPr>
      <w:hyperlink w:history="1" w:anchor="_Toc121978581">
        <w:r w:rsidRPr="00455206">
          <w:rPr>
            <w:rStyle w:val="Hyperlink"/>
          </w:rPr>
          <w:t>A2.</w:t>
        </w:r>
        <w:r>
          <w:rPr>
            <w:rFonts w:asciiTheme="minorHAnsi" w:hAnsiTheme="minorHAnsi" w:eastAsiaTheme="minorEastAsia" w:cstheme="minorBidi"/>
            <w:bCs w:val="0"/>
            <w:color w:val="auto"/>
            <w:sz w:val="22"/>
            <w:szCs w:val="22"/>
            <w:lang w:val="en-AU" w:eastAsia="en-AU"/>
          </w:rPr>
          <w:tab/>
        </w:r>
        <w:r w:rsidRPr="00455206">
          <w:rPr>
            <w:rStyle w:val="Hyperlink"/>
          </w:rPr>
          <w:t>Revised planning criteria</w:t>
        </w:r>
        <w:r>
          <w:rPr>
            <w:webHidden/>
          </w:rPr>
          <w:tab/>
        </w:r>
        <w:r>
          <w:rPr>
            <w:webHidden/>
          </w:rPr>
          <w:fldChar w:fldCharType="begin"/>
        </w:r>
        <w:r>
          <w:rPr>
            <w:webHidden/>
          </w:rPr>
          <w:instrText xml:space="preserve"> PAGEREF _Toc121978581 \h </w:instrText>
        </w:r>
        <w:r>
          <w:rPr>
            <w:webHidden/>
          </w:rPr>
        </w:r>
        <w:r>
          <w:rPr>
            <w:webHidden/>
          </w:rPr>
          <w:fldChar w:fldCharType="separate"/>
        </w:r>
        <w:r>
          <w:rPr>
            <w:webHidden/>
          </w:rPr>
          <w:t>13</w:t>
        </w:r>
        <w:r>
          <w:rPr>
            <w:webHidden/>
          </w:rPr>
          <w:fldChar w:fldCharType="end"/>
        </w:r>
      </w:hyperlink>
    </w:p>
    <w:p w:rsidR="00666A1E" w:rsidRDefault="00666A1E" w14:paraId="2B909709" w14:textId="138D3426">
      <w:pPr>
        <w:pStyle w:val="TOC1"/>
        <w:rPr>
          <w:rFonts w:asciiTheme="minorHAnsi" w:hAnsiTheme="minorHAnsi" w:eastAsiaTheme="minorEastAsia" w:cstheme="minorBidi"/>
          <w:bCs w:val="0"/>
          <w:color w:val="auto"/>
          <w:sz w:val="22"/>
          <w:szCs w:val="22"/>
          <w:lang w:val="en-AU" w:eastAsia="en-AU"/>
        </w:rPr>
      </w:pPr>
      <w:hyperlink w:history="1" w:anchor="_Toc121978582">
        <w:r w:rsidRPr="00455206">
          <w:rPr>
            <w:rStyle w:val="Hyperlink"/>
          </w:rPr>
          <w:t>A3.</w:t>
        </w:r>
        <w:r>
          <w:rPr>
            <w:rFonts w:asciiTheme="minorHAnsi" w:hAnsiTheme="minorHAnsi" w:eastAsiaTheme="minorEastAsia" w:cstheme="minorBidi"/>
            <w:bCs w:val="0"/>
            <w:color w:val="auto"/>
            <w:sz w:val="22"/>
            <w:szCs w:val="22"/>
            <w:lang w:val="en-AU" w:eastAsia="en-AU"/>
          </w:rPr>
          <w:tab/>
        </w:r>
        <w:r w:rsidRPr="00455206">
          <w:rPr>
            <w:rStyle w:val="Hyperlink"/>
          </w:rPr>
          <w:t>Supplementary capacity maximum contract price</w:t>
        </w:r>
        <w:r>
          <w:rPr>
            <w:webHidden/>
          </w:rPr>
          <w:tab/>
        </w:r>
        <w:r>
          <w:rPr>
            <w:webHidden/>
          </w:rPr>
          <w:fldChar w:fldCharType="begin"/>
        </w:r>
        <w:r>
          <w:rPr>
            <w:webHidden/>
          </w:rPr>
          <w:instrText xml:space="preserve"> PAGEREF _Toc121978582 \h </w:instrText>
        </w:r>
        <w:r>
          <w:rPr>
            <w:webHidden/>
          </w:rPr>
        </w:r>
        <w:r>
          <w:rPr>
            <w:webHidden/>
          </w:rPr>
          <w:fldChar w:fldCharType="separate"/>
        </w:r>
        <w:r>
          <w:rPr>
            <w:webHidden/>
          </w:rPr>
          <w:t>14</w:t>
        </w:r>
        <w:r>
          <w:rPr>
            <w:webHidden/>
          </w:rPr>
          <w:fldChar w:fldCharType="end"/>
        </w:r>
      </w:hyperlink>
    </w:p>
    <w:p w:rsidR="007C5294" w:rsidP="007C5294" w:rsidRDefault="00BC2FA7" w14:paraId="0C008A72" w14:textId="1FD223E2">
      <w:r>
        <w:rPr>
          <w:rFonts w:ascii="Arial" w:hAnsi="Arial" w:cs="Times New Roman" w:eastAsiaTheme="majorEastAsia"/>
          <w:bCs/>
          <w:noProof/>
          <w:color w:val="auto"/>
          <w:szCs w:val="24"/>
          <w:lang w:val="en-US"/>
        </w:rPr>
        <w:fldChar w:fldCharType="end"/>
      </w:r>
    </w:p>
    <w:p w:rsidR="00DE7D80" w:rsidP="00DE7D80" w:rsidRDefault="00DE7D80" w14:paraId="0BCBE4E6" w14:textId="77777777">
      <w:pPr>
        <w:pStyle w:val="TOC-Heading2"/>
      </w:pPr>
      <w:r>
        <w:t>Tables</w:t>
      </w:r>
    </w:p>
    <w:p w:rsidR="003F26FA" w:rsidRDefault="00DE7D80" w14:paraId="6C3323F4" w14:textId="7955614B">
      <w:pPr>
        <w:pStyle w:val="TOC4"/>
        <w:rPr>
          <w:rFonts w:asciiTheme="minorHAnsi" w:hAnsiTheme="minorHAnsi" w:cstheme="minorBidi"/>
          <w:bCs w:val="0"/>
          <w:noProof/>
          <w:color w:val="auto"/>
          <w:sz w:val="22"/>
          <w:szCs w:val="22"/>
          <w:lang w:eastAsia="en-AU"/>
        </w:rPr>
      </w:pPr>
      <w:r>
        <w:rPr>
          <w:rFonts w:asciiTheme="minorHAnsi" w:hAnsiTheme="minorHAnsi" w:eastAsiaTheme="minorHAnsi" w:cstheme="minorBidi"/>
          <w:szCs w:val="22"/>
          <w:lang w:eastAsia="en-US"/>
        </w:rPr>
        <w:fldChar w:fldCharType="begin"/>
      </w:r>
      <w:r w:rsidRPr="00074216">
        <w:instrText xml:space="preserve"> TOC \h \z \t "Caption Table,4" </w:instrText>
      </w:r>
      <w:r>
        <w:rPr>
          <w:rFonts w:asciiTheme="minorHAnsi" w:hAnsiTheme="minorHAnsi" w:eastAsiaTheme="minorHAnsi" w:cstheme="minorBidi"/>
          <w:szCs w:val="22"/>
          <w:lang w:eastAsia="en-US"/>
        </w:rPr>
        <w:fldChar w:fldCharType="separate"/>
      </w:r>
      <w:hyperlink w:history="1" w:anchor="_Toc121333360">
        <w:r w:rsidRPr="00EE2EB1" w:rsidR="003F26FA">
          <w:rPr>
            <w:rStyle w:val="Hyperlink"/>
            <w:noProof/>
          </w:rPr>
          <w:t>Table 1</w:t>
        </w:r>
        <w:r w:rsidR="003F26FA">
          <w:rPr>
            <w:rFonts w:asciiTheme="minorHAnsi" w:hAnsiTheme="minorHAnsi" w:cstheme="minorBidi"/>
            <w:bCs w:val="0"/>
            <w:noProof/>
            <w:color w:val="auto"/>
            <w:sz w:val="22"/>
            <w:szCs w:val="22"/>
            <w:lang w:eastAsia="en-AU"/>
          </w:rPr>
          <w:tab/>
        </w:r>
        <w:r w:rsidRPr="00EE2EB1" w:rsidR="003F26FA">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rsidR="003F26FA" w:rsidRDefault="00297EC2" w14:paraId="00F74A78" w14:textId="1A1B16BF">
      <w:pPr>
        <w:pStyle w:val="TOC4"/>
        <w:rPr>
          <w:rFonts w:asciiTheme="minorHAnsi" w:hAnsiTheme="minorHAnsi" w:cstheme="minorBidi"/>
          <w:bCs w:val="0"/>
          <w:noProof/>
          <w:color w:val="auto"/>
          <w:sz w:val="22"/>
          <w:szCs w:val="22"/>
          <w:lang w:eastAsia="en-AU"/>
        </w:rPr>
      </w:pPr>
      <w:hyperlink w:history="1" w:anchor="_Toc121333361">
        <w:r w:rsidRPr="00EE2EB1" w:rsidR="003F26FA">
          <w:rPr>
            <w:rStyle w:val="Hyperlink"/>
            <w:noProof/>
          </w:rPr>
          <w:t>Table 2</w:t>
        </w:r>
        <w:r w:rsidR="003F26FA">
          <w:rPr>
            <w:rFonts w:asciiTheme="minorHAnsi" w:hAnsiTheme="minorHAnsi" w:cstheme="minorBidi"/>
            <w:bCs w:val="0"/>
            <w:noProof/>
            <w:color w:val="auto"/>
            <w:sz w:val="22"/>
            <w:szCs w:val="22"/>
            <w:lang w:eastAsia="en-AU"/>
          </w:rPr>
          <w:tab/>
        </w:r>
        <w:r w:rsidRPr="00EE2EB1" w:rsidR="003F26FA">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r w:rsidR="003F26FA">
          <w:rPr>
            <w:noProof/>
            <w:webHidden/>
          </w:rPr>
          <w:fldChar w:fldCharType="end"/>
        </w:r>
      </w:hyperlink>
    </w:p>
    <w:p w:rsidR="00DE7D80" w:rsidP="00DE7D80" w:rsidRDefault="00DE7D80" w14:paraId="438E2C28" w14:textId="29F096C4">
      <w:pPr>
        <w:pStyle w:val="BodyText"/>
      </w:pPr>
      <w:r>
        <w:rPr>
          <w:rFonts w:ascii="Arial" w:hAnsi="Arial" w:cs="Arial Unicode MS" w:eastAsiaTheme="minorEastAsia"/>
          <w:b/>
          <w:szCs w:val="20"/>
          <w:lang w:val="en-US" w:eastAsia="ko-KR"/>
        </w:rPr>
        <w:fldChar w:fldCharType="end"/>
      </w:r>
    </w:p>
    <w:p w:rsidR="00DE7D80" w:rsidP="00DE7D80" w:rsidRDefault="00DE7D80" w14:paraId="4040C456" w14:textId="05DA0DDD">
      <w:pPr>
        <w:pStyle w:val="TOC-Heading2"/>
      </w:pPr>
      <w:r>
        <w:t>Figures</w:t>
      </w:r>
    </w:p>
    <w:p w:rsidR="003F26FA" w:rsidRDefault="00DE7D80" w14:paraId="718976BE" w14:textId="620B6BA8">
      <w:pPr>
        <w:pStyle w:val="TOC4"/>
        <w:rPr>
          <w:rFonts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history="1" w:anchor="_Toc121333362">
        <w:r w:rsidRPr="00E071B7" w:rsidR="003F26FA">
          <w:rPr>
            <w:rStyle w:val="Hyperlink"/>
            <w:noProof/>
          </w:rPr>
          <w:t>Figure 1</w:t>
        </w:r>
        <w:r w:rsidR="003F26FA">
          <w:rPr>
            <w:rFonts w:asciiTheme="minorHAnsi" w:hAnsiTheme="minorHAnsi" w:cstheme="minorBidi"/>
            <w:bCs w:val="0"/>
            <w:noProof/>
            <w:color w:val="auto"/>
            <w:sz w:val="22"/>
            <w:szCs w:val="22"/>
            <w:lang w:eastAsia="en-AU"/>
          </w:rPr>
          <w:tab/>
        </w:r>
        <w:r w:rsidRPr="00E071B7" w:rsidR="003F26FA">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335CE1">
          <w:rPr>
            <w:noProof/>
            <w:webHidden/>
          </w:rPr>
          <w:t>7</w:t>
        </w:r>
        <w:r w:rsidR="003F26FA">
          <w:rPr>
            <w:noProof/>
            <w:webHidden/>
          </w:rPr>
          <w:fldChar w:fldCharType="end"/>
        </w:r>
      </w:hyperlink>
    </w:p>
    <w:p w:rsidR="003F26FA" w:rsidRDefault="003E5149" w14:paraId="419D5953" w14:textId="5F0E5D2F">
      <w:pPr>
        <w:pStyle w:val="TOC4"/>
        <w:rPr>
          <w:rFonts w:asciiTheme="minorHAnsi" w:hAnsiTheme="minorHAnsi" w:cstheme="minorBidi"/>
          <w:bCs w:val="0"/>
          <w:noProof/>
          <w:color w:val="auto"/>
          <w:sz w:val="22"/>
          <w:szCs w:val="22"/>
          <w:lang w:eastAsia="en-AU"/>
        </w:rPr>
      </w:pPr>
      <w:hyperlink w:history="1" w:anchor="_Toc121333363">
        <w:r w:rsidRPr="00E071B7" w:rsidR="003F26FA">
          <w:rPr>
            <w:rStyle w:val="Hyperlink"/>
            <w:noProof/>
          </w:rPr>
          <w:t>Figure 2</w:t>
        </w:r>
        <w:r w:rsidR="003F26FA">
          <w:rPr>
            <w:rFonts w:asciiTheme="minorHAnsi" w:hAnsiTheme="minorHAnsi" w:cstheme="minorBidi"/>
            <w:bCs w:val="0"/>
            <w:noProof/>
            <w:color w:val="auto"/>
            <w:sz w:val="22"/>
            <w:szCs w:val="22"/>
            <w:lang w:eastAsia="en-AU"/>
          </w:rPr>
          <w:tab/>
        </w:r>
        <w:r w:rsidRPr="00E071B7" w:rsidR="003F26FA">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335CE1">
          <w:rPr>
            <w:noProof/>
            <w:webHidden/>
          </w:rPr>
          <w:t>8</w:t>
        </w:r>
        <w:r w:rsidR="003F26FA">
          <w:rPr>
            <w:noProof/>
            <w:webHidden/>
          </w:rPr>
          <w:fldChar w:fldCharType="end"/>
        </w:r>
      </w:hyperlink>
    </w:p>
    <w:p w:rsidR="003F26FA" w:rsidRDefault="003E5149" w14:paraId="4C789A32" w14:textId="09424CDE">
      <w:pPr>
        <w:pStyle w:val="TOC4"/>
        <w:rPr>
          <w:rFonts w:asciiTheme="minorHAnsi" w:hAnsiTheme="minorHAnsi" w:cstheme="minorBidi"/>
          <w:bCs w:val="0"/>
          <w:noProof/>
          <w:color w:val="auto"/>
          <w:sz w:val="22"/>
          <w:szCs w:val="22"/>
          <w:lang w:eastAsia="en-AU"/>
        </w:rPr>
      </w:pPr>
      <w:hyperlink w:history="1" w:anchor="_Toc121333364">
        <w:r w:rsidRPr="00E071B7" w:rsidR="003F26FA">
          <w:rPr>
            <w:rStyle w:val="Hyperlink"/>
            <w:noProof/>
          </w:rPr>
          <w:t>Figure 3</w:t>
        </w:r>
        <w:r w:rsidR="003F26FA">
          <w:rPr>
            <w:rFonts w:asciiTheme="minorHAnsi" w:hAnsiTheme="minorHAnsi" w:cstheme="minorBidi"/>
            <w:bCs w:val="0"/>
            <w:noProof/>
            <w:color w:val="auto"/>
            <w:sz w:val="22"/>
            <w:szCs w:val="22"/>
            <w:lang w:eastAsia="en-AU"/>
          </w:rPr>
          <w:tab/>
        </w:r>
        <w:r w:rsidRPr="00E071B7" w:rsidR="003F26FA">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rsidRPr="00DE7D80" w:rsidR="00DE7D80" w:rsidP="00DE7D80" w:rsidRDefault="00DE7D80" w14:paraId="4489E9DD" w14:textId="49C05039">
      <w:pPr>
        <w:pStyle w:val="BodyText"/>
      </w:pPr>
      <w:r>
        <w:fldChar w:fldCharType="end"/>
      </w:r>
    </w:p>
    <w:p w:rsidR="00871CB8" w:rsidP="00AE5141" w:rsidRDefault="00871CB8" w14:paraId="79DD8E0F" w14:textId="77777777">
      <w:pPr>
        <w:pStyle w:val="BodyText"/>
        <w:sectPr w:rsidR="00871CB8" w:rsidSect="00AE5141">
          <w:headerReference w:type="default" r:id="rId15"/>
          <w:pgSz w:w="11907" w:h="16840" w:code="9"/>
          <w:pgMar w:top="1985" w:right="907" w:bottom="1418" w:left="907" w:header="788" w:footer="471" w:gutter="0"/>
          <w:cols w:space="708"/>
          <w:docGrid w:linePitch="360"/>
        </w:sectPr>
      </w:pPr>
    </w:p>
    <w:p w:rsidRPr="00B03D80" w:rsidR="00B03D80" w:rsidP="00B03D80" w:rsidRDefault="00814900" w14:paraId="69D16DC8" w14:textId="1A1B472C">
      <w:pPr>
        <w:pStyle w:val="Heading1"/>
      </w:pPr>
      <w:bookmarkStart w:name="_Toc121978573" w:id="1"/>
      <w:r>
        <w:t>Reliability</w:t>
      </w:r>
      <w:r w:rsidRPr="00B03D80" w:rsidR="00B03D80">
        <w:t xml:space="preserve"> service</w:t>
      </w:r>
      <w:bookmarkEnd w:id="1"/>
    </w:p>
    <w:p w:rsidR="5C308CCD" w:rsidP="5C308CCD" w:rsidRDefault="2651508D" w14:paraId="10219266" w14:textId="45BA2D9D">
      <w:pPr>
        <w:pStyle w:val="Heading2"/>
      </w:pPr>
      <w:bookmarkStart w:name="_Toc121978574" w:id="2"/>
      <w:r>
        <w:t>Proposal</w:t>
      </w:r>
      <w:bookmarkEnd w:id="2"/>
    </w:p>
    <w:p w:rsidR="008B0759" w:rsidP="3AA1832D" w:rsidRDefault="00C37524" w14:paraId="3DE9FCD9" w14:textId="5F5E9354">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rsidR="009F5157" w:rsidP="00D55C31" w:rsidRDefault="009F5157" w14:paraId="43618321" w14:textId="45EDB486">
      <w:pPr>
        <w:pStyle w:val="ListBullet"/>
      </w:pPr>
      <w:r>
        <w:t xml:space="preserve">Peak </w:t>
      </w:r>
      <w:r w:rsidR="000A2B83">
        <w:t>demand risks</w:t>
      </w:r>
      <w:r>
        <w:t>:</w:t>
      </w:r>
    </w:p>
    <w:p w:rsidR="009F5157" w:rsidP="00D55C31" w:rsidRDefault="008C7CF0" w14:paraId="1B877185" w14:textId="78A589EE">
      <w:pPr>
        <w:pStyle w:val="ListBullet2"/>
      </w:pPr>
      <w:r>
        <w:t xml:space="preserve">the impact of </w:t>
      </w:r>
      <w:r w:rsidR="00302787">
        <w:t>fuel supply uncertainty</w:t>
      </w:r>
      <w:r w:rsidR="00FD1659">
        <w:t xml:space="preserve"> and other factors on facility availability</w:t>
      </w:r>
      <w:r w:rsidR="00F10346">
        <w:t>;</w:t>
      </w:r>
    </w:p>
    <w:p w:rsidR="003847EB" w:rsidP="00D55C31" w:rsidRDefault="00A76B00" w14:paraId="31AA8D69" w14:textId="341AF34C">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rsidR="009509C1" w:rsidP="00D55C31" w:rsidRDefault="00F10346" w14:paraId="4733F70E" w14:textId="79557267">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rsidR="009F5157" w:rsidP="00D55C31" w:rsidRDefault="009F5157" w14:paraId="69AF39B6" w14:textId="03E0C88E">
      <w:pPr>
        <w:pStyle w:val="ListBullet"/>
      </w:pPr>
      <w:r>
        <w:t xml:space="preserve">Minimum </w:t>
      </w:r>
      <w:r w:rsidR="000A2B83">
        <w:t>demand risks</w:t>
      </w:r>
      <w:r w:rsidR="00F10346">
        <w:t>:</w:t>
      </w:r>
    </w:p>
    <w:p w:rsidR="00EC7C06" w:rsidP="00D55C31" w:rsidRDefault="00EC7C06" w14:paraId="44792FEE" w14:textId="713A354B">
      <w:pPr>
        <w:pStyle w:val="ListBullet2"/>
      </w:pPr>
      <w:r>
        <w:t>i</w:t>
      </w:r>
      <w:r w:rsidR="008B0759">
        <w:t>ncreased penetration of Distr</w:t>
      </w:r>
      <w:r w:rsidR="00CF3B48">
        <w:t>ibuted Photovoltaics (DPV</w:t>
      </w:r>
      <w:r w:rsidR="004441D2">
        <w:t>)</w:t>
      </w:r>
      <w:r w:rsidR="00A30F1C">
        <w:t>,</w:t>
      </w:r>
      <w:r w:rsidRPr="004B1F18" w:rsid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rsidR="003D3C7F" w:rsidP="00D55C31" w:rsidRDefault="003D3C7F" w14:paraId="343F88BE" w14:textId="05B0B6A5">
      <w:pPr>
        <w:pStyle w:val="ListBullet2"/>
      </w:pPr>
      <w:r>
        <w:t>lack of load participation during system minimum demand events</w:t>
      </w:r>
      <w:r w:rsidR="008E73F8">
        <w:t>;</w:t>
      </w:r>
      <w:r w:rsidR="0097722C">
        <w:t xml:space="preserve"> and</w:t>
      </w:r>
    </w:p>
    <w:p w:rsidR="008E73F8" w:rsidP="00D55C31" w:rsidRDefault="00972591" w14:paraId="46388FC3" w14:textId="6B6ED0A6">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rsidR="00B03D80" w:rsidP="00B03D80" w:rsidRDefault="00B03D80" w14:paraId="46445991" w14:textId="013979E5">
      <w:pPr>
        <w:pStyle w:val="Heading2"/>
      </w:pPr>
      <w:bookmarkStart w:name="_Toc121978575" w:id="3"/>
      <w:r>
        <w:t>Trigger</w:t>
      </w:r>
      <w:bookmarkEnd w:id="3"/>
    </w:p>
    <w:p w:rsidR="008E77B2" w:rsidP="00A05382" w:rsidRDefault="00CC6F17" w14:paraId="4CB3A750" w14:textId="15F90CE8">
      <w:pPr>
        <w:pStyle w:val="ListBullet"/>
        <w:tabs>
          <w:tab w:val="clear" w:pos="360"/>
        </w:tabs>
        <w:ind w:left="0" w:firstLine="0"/>
      </w:pPr>
      <w:r>
        <w:t xml:space="preserve">As a consequence of </w:t>
      </w:r>
      <w:r w:rsidR="00CF6133">
        <w:t xml:space="preserve">the </w:t>
      </w:r>
      <w:r w:rsidRPr="00C6639D" w:rsidR="00E07F43">
        <w:t xml:space="preserve">risks </w:t>
      </w:r>
      <w:r w:rsidR="00253D0F">
        <w:t>identified</w:t>
      </w:r>
      <w:r w:rsidR="00E07F43">
        <w:t>, c</w:t>
      </w:r>
      <w:r w:rsidR="005C1B4C">
        <w:t xml:space="preserve">lause </w:t>
      </w:r>
      <w:r w:rsidRPr="00C6639D" w:rsidR="00C6639D">
        <w:t xml:space="preserve">3.11A.2A </w:t>
      </w:r>
      <w:r w:rsidR="005C1B4C">
        <w:t xml:space="preserve">of the </w:t>
      </w:r>
      <w:r w:rsidR="00E76EF2">
        <w:t>Wholesale Electricity Market</w:t>
      </w:r>
      <w:r w:rsidRPr="00C6639D" w:rsidR="005C1B4C">
        <w:t xml:space="preserve"> Rule</w:t>
      </w:r>
      <w:r w:rsidR="005C1B4C">
        <w:t>s</w:t>
      </w:r>
      <w:r w:rsidRPr="00C6639D" w:rsidR="005C1B4C">
        <w:t xml:space="preserve"> </w:t>
      </w:r>
      <w:r w:rsidR="0005397E">
        <w:t xml:space="preserve">(WEM Rules) </w:t>
      </w:r>
      <w:r w:rsidRPr="00C6639D" w:rsidR="00C6639D">
        <w:t xml:space="preserve">requires AEMO </w:t>
      </w:r>
      <w:r w:rsidR="00E4619A">
        <w:t xml:space="preserve">to </w:t>
      </w:r>
      <w:r w:rsidR="004F3B19">
        <w:t xml:space="preserve">develop this submission to </w:t>
      </w:r>
      <w:r w:rsidRPr="00C6639D" w:rsidR="00C6639D">
        <w:t xml:space="preserve">request the Coordinator of Energy (Coordinator) </w:t>
      </w:r>
      <w:r w:rsidR="00424896">
        <w:t xml:space="preserve">to determine whether or not to </w:t>
      </w:r>
      <w:r w:rsidRPr="00C6639D" w:rsidR="00C6639D">
        <w:t>trigger a</w:t>
      </w:r>
      <w:r w:rsidR="004A4EFE">
        <w:t xml:space="preserve"> </w:t>
      </w:r>
      <w:r w:rsidRPr="007D2DC5" w:rsidR="007D2DC5">
        <w:t xml:space="preserve">Non-Co-optimised Essential System Service </w:t>
      </w:r>
      <w:r w:rsidR="00C04C35">
        <w:t>(</w:t>
      </w:r>
      <w:r w:rsidRPr="00C6639D" w:rsidR="00C6639D">
        <w:t>NCESS</w:t>
      </w:r>
      <w:r w:rsidR="00C04C35">
        <w:t>)</w:t>
      </w:r>
      <w:r w:rsidRPr="00C6639D" w:rsidR="00C6639D">
        <w:t xml:space="preserve"> procurement process. This </w:t>
      </w:r>
      <w:r w:rsidR="00466B03">
        <w:t>trigger</w:t>
      </w:r>
      <w:r w:rsidRPr="00C6639D" w:rsidR="00C6639D">
        <w:t xml:space="preserve"> submission must include sufficient information and analysis to allow the Coordinator to consider the </w:t>
      </w:r>
      <w:r w:rsidR="000873BC">
        <w:t xml:space="preserve">following </w:t>
      </w:r>
      <w:r w:rsidRPr="00C6639D" w:rsidR="00C6639D">
        <w:t>factors outlined in clause 3.11A.7:</w:t>
      </w:r>
    </w:p>
    <w:p w:rsidRPr="009F5157" w:rsidR="00EE1513" w:rsidP="00417EC4" w:rsidRDefault="00EE1513" w14:paraId="2438F3C9" w14:textId="5CBFB1BA">
      <w:pPr>
        <w:pStyle w:val="ListBullet"/>
        <w:numPr>
          <w:ilvl w:val="0"/>
          <w:numId w:val="24"/>
        </w:numPr>
      </w:pPr>
      <w:r w:rsidRPr="009F5157">
        <w:t xml:space="preserve">the extent to which an NCESS will address the issue; </w:t>
      </w:r>
    </w:p>
    <w:p w:rsidRPr="009F5157" w:rsidR="00EE1513" w:rsidP="00E5257C" w:rsidRDefault="00EE1513" w14:paraId="7B640B73" w14:textId="32480D95">
      <w:pPr>
        <w:pStyle w:val="ListBullet"/>
        <w:numPr>
          <w:ilvl w:val="0"/>
          <w:numId w:val="24"/>
        </w:numPr>
      </w:pPr>
      <w:r w:rsidRPr="009F5157">
        <w:t>the extent to which an NCESS will minimise costs in the Wholesale Electricity Market</w:t>
      </w:r>
      <w:r w:rsidR="002C1D64">
        <w:t xml:space="preserve"> (WEM)</w:t>
      </w:r>
      <w:r w:rsidRPr="009F5157">
        <w:t>;</w:t>
      </w:r>
    </w:p>
    <w:p w:rsidRPr="009F5157" w:rsidR="00EE1513" w:rsidP="00E5257C" w:rsidRDefault="00EE1513" w14:paraId="3A0BB1B2" w14:textId="0D8722EB">
      <w:pPr>
        <w:pStyle w:val="ListBullet"/>
        <w:numPr>
          <w:ilvl w:val="0"/>
          <w:numId w:val="24"/>
        </w:numPr>
      </w:pPr>
      <w:r w:rsidRPr="009F5157">
        <w:t>the relative merits between procuring an NCESS or augmenting the network;</w:t>
      </w:r>
    </w:p>
    <w:p w:rsidRPr="009F5157" w:rsidR="00EE1513" w:rsidP="00E5257C" w:rsidRDefault="00EE1513" w14:paraId="0C99EB65" w14:textId="14534214">
      <w:pPr>
        <w:pStyle w:val="ListBullet"/>
        <w:numPr>
          <w:ilvl w:val="0"/>
          <w:numId w:val="24"/>
        </w:numPr>
      </w:pPr>
      <w:r w:rsidRPr="009F5157">
        <w:t xml:space="preserve">the outcome of any investigation of behaviour that reduces the effectiveness of the market, including behaviour related to market power; </w:t>
      </w:r>
    </w:p>
    <w:p w:rsidRPr="009F5157" w:rsidR="00EE1513" w:rsidP="00E5257C" w:rsidRDefault="00EE1513" w14:paraId="530C066E" w14:textId="591AAF4A">
      <w:pPr>
        <w:pStyle w:val="ListBullet"/>
        <w:numPr>
          <w:ilvl w:val="0"/>
          <w:numId w:val="24"/>
        </w:numPr>
      </w:pPr>
      <w:r w:rsidRPr="009F5157">
        <w:t>whether the procurement of an NCESS is consistent with the Wholesale Market Objectives; and</w:t>
      </w:r>
    </w:p>
    <w:p w:rsidRPr="009F5157" w:rsidR="00EE1513" w:rsidP="00E5257C" w:rsidRDefault="00EE1513" w14:paraId="53CFC42C" w14:textId="6FC3824C">
      <w:pPr>
        <w:pStyle w:val="ListBullet"/>
        <w:numPr>
          <w:ilvl w:val="0"/>
          <w:numId w:val="24"/>
        </w:numPr>
      </w:pPr>
      <w:r w:rsidRPr="009F5157">
        <w:t>whether procurement of an NCESS will be in the long-term interests of consumers.</w:t>
      </w:r>
    </w:p>
    <w:p w:rsidRPr="009F5157" w:rsidR="002E0F9F" w:rsidP="001D0BDD" w:rsidRDefault="001C5C6A" w14:paraId="6BA67F07" w14:textId="7A7B2252">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Pr="009F5157" w:rsidR="00A5190E">
        <w:t>existing mechanisms under the WEM Rules</w:t>
      </w:r>
      <w:r w:rsidR="008B047F">
        <w:t xml:space="preserve"> may not be sufficient to address </w:t>
      </w:r>
      <w:r w:rsidR="00466B03">
        <w:t>this risk</w:t>
      </w:r>
      <w:r w:rsidRPr="009F5157">
        <w:t xml:space="preserve">. This </w:t>
      </w:r>
      <w:r w:rsidRPr="009F5157" w:rsidR="00E44CB4">
        <w:t xml:space="preserve">trigger submission </w:t>
      </w:r>
      <w:r w:rsidRPr="009F5157" w:rsidR="00A5190E">
        <w:t>summarises AEMO’s technical and economic assessment of this risk and proposes</w:t>
      </w:r>
      <w:r w:rsidRPr="009F5157">
        <w:t xml:space="preserve"> procurement of service</w:t>
      </w:r>
      <w:r w:rsidR="008B308A">
        <w:t>s</w:t>
      </w:r>
      <w:r w:rsidRPr="009F5157" w:rsidR="00A5190E">
        <w:t xml:space="preserve"> under the NCESS framework</w:t>
      </w:r>
      <w:r w:rsidRPr="009F5157">
        <w:t xml:space="preserve">. </w:t>
      </w:r>
    </w:p>
    <w:p w:rsidR="00B03D80" w:rsidP="00B03D80" w:rsidRDefault="001D0BDD" w14:paraId="5ED529DD" w14:textId="7DF26B90">
      <w:pPr>
        <w:pStyle w:val="Heading2"/>
      </w:pPr>
      <w:bookmarkStart w:name="_Toc121978576" w:id="4"/>
      <w:r w:rsidRPr="00501EBD">
        <w:t>Background</w:t>
      </w:r>
      <w:bookmarkEnd w:id="4"/>
    </w:p>
    <w:p w:rsidR="00C57E99" w:rsidP="00417EC4" w:rsidRDefault="00C57E99" w14:paraId="581579CF" w14:textId="3953DA93">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335CE1">
        <w:t>A1</w:t>
      </w:r>
      <w:r w:rsidR="00417EC4">
        <w:fldChar w:fldCharType="end"/>
      </w:r>
      <w:r w:rsidR="00417EC4">
        <w:t xml:space="preserve"> describes the differences between system load and operational demand</w:t>
      </w:r>
      <w:r>
        <w:t>.</w:t>
      </w:r>
      <w:r w:rsidR="00946BFA">
        <w:t xml:space="preserve"> </w:t>
      </w:r>
    </w:p>
    <w:p w:rsidRPr="00824F84" w:rsidR="000F1847" w:rsidP="000F1847" w:rsidRDefault="000F1847" w14:paraId="4BC19052" w14:textId="7787B046">
      <w:pPr>
        <w:pStyle w:val="Heading3"/>
      </w:pPr>
      <w:r w:rsidRPr="00824F84">
        <w:t xml:space="preserve">Peak </w:t>
      </w:r>
      <w:r w:rsidR="007C1AE1">
        <w:t>d</w:t>
      </w:r>
      <w:r w:rsidRPr="00824F84">
        <w:t>emand</w:t>
      </w:r>
    </w:p>
    <w:p w:rsidR="000F1847" w:rsidP="000F1847" w:rsidRDefault="000F1847" w14:paraId="5BCA88D5" w14:textId="3802806C">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rsidR="000F1847" w:rsidP="000F1847" w:rsidRDefault="00F273CE" w14:paraId="311D4258" w14:textId="7737510B">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rsidR="000F1847" w:rsidP="000F1847" w:rsidRDefault="000F1847" w14:paraId="4A86EF21" w14:textId="7A15ED7E">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rsidRPr="00824F84" w:rsidR="00F97350" w:rsidP="00824F84" w:rsidRDefault="002868DB" w14:paraId="5CFC79CC" w14:textId="2B825C40">
      <w:pPr>
        <w:pStyle w:val="Heading3"/>
      </w:pPr>
      <w:r w:rsidRPr="00824F84">
        <w:t>M</w:t>
      </w:r>
      <w:r w:rsidRPr="00824F84" w:rsidR="00F97350">
        <w:t xml:space="preserve">inimum </w:t>
      </w:r>
      <w:r w:rsidR="007C1AE1">
        <w:t>d</w:t>
      </w:r>
      <w:r w:rsidRPr="00824F84" w:rsidR="00F97350">
        <w:t>emand</w:t>
      </w:r>
    </w:p>
    <w:p w:rsidR="00F97350" w:rsidP="00775754" w:rsidRDefault="002868DB" w14:paraId="6AEC9CE9" w14:textId="3B0CB193">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rsidR="002868DB" w:rsidP="00775754" w:rsidRDefault="002868DB" w14:paraId="31640351" w14:textId="1BB96AB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Pr="0058376F" w:rsid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Del="002B13F1" w:rsidR="00920AF8">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Del="00340393" w:rsidR="00920AF8">
        <w:t xml:space="preserve"> </w:t>
      </w:r>
      <w:r w:rsidR="008D7109">
        <w:t>scheme</w:t>
      </w:r>
      <w:r w:rsidDel="00340393" w:rsidR="00920AF8">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rsidR="004871F8" w:rsidP="00775754" w:rsidRDefault="00F03189" w14:paraId="2E03FB0A" w14:textId="4319CF9A">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Pr="009F5157" w:rsidR="00460AFA">
        <w:t>11A.2A(a) of the WEM Rules</w:t>
      </w:r>
      <w:r w:rsidR="00460AFA">
        <w:t>.</w:t>
      </w:r>
    </w:p>
    <w:p w:rsidR="00B66440" w:rsidP="00775754" w:rsidRDefault="004871F8" w14:paraId="33EB39BD" w14:textId="4B0065ED">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rsidR="00F82F93" w:rsidP="00B05618" w:rsidRDefault="00456E01" w14:paraId="7C6A7237" w14:textId="3A5339B7">
      <w:pPr>
        <w:pStyle w:val="Heading2"/>
      </w:pPr>
      <w:bookmarkStart w:name="_Toc121978577" w:id="5"/>
      <w:r>
        <w:t>Services required</w:t>
      </w:r>
      <w:bookmarkEnd w:id="5"/>
    </w:p>
    <w:p w:rsidR="00CC3B1E" w:rsidP="00B76738" w:rsidRDefault="00CC3B1E" w14:paraId="4DA37572" w14:textId="5BA90BC0">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rsidRPr="00B76738" w:rsidR="00B76738" w:rsidP="00032B5B" w:rsidRDefault="00107405" w14:paraId="6B894A4E" w14:textId="4939C319">
      <w:pPr>
        <w:pStyle w:val="ListBullet"/>
      </w:pPr>
      <w:r>
        <w:t>a Peak Demand Service</w:t>
      </w:r>
      <w:r w:rsidRPr="00B76738">
        <w:t xml:space="preserve"> </w:t>
      </w:r>
      <w:r w:rsidRPr="00B76738" w:rsidR="00B76738">
        <w:t>(</w:t>
      </w:r>
      <w:r w:rsidR="00CC3B1E">
        <w:t xml:space="preserve">capability </w:t>
      </w:r>
      <w:r w:rsidR="00A90EF7">
        <w:t xml:space="preserve">to </w:t>
      </w:r>
      <w:r w:rsidRPr="00B76738" w:rsidR="00B76738">
        <w:t xml:space="preserve">increase </w:t>
      </w:r>
      <w:r w:rsidR="008A4A5E">
        <w:t>i</w:t>
      </w:r>
      <w:r w:rsidRPr="00B76738" w:rsidR="00AE3573">
        <w:t xml:space="preserve">njection </w:t>
      </w:r>
      <w:r w:rsidRPr="00B76738" w:rsidR="00B76738">
        <w:t xml:space="preserve">or decrease </w:t>
      </w:r>
      <w:r w:rsidR="008A4A5E">
        <w:t>w</w:t>
      </w:r>
      <w:r w:rsidR="00AE3573">
        <w:t>ithdrawal</w:t>
      </w:r>
      <w:r w:rsidRPr="00B76738" w:rsidR="00B76738">
        <w:t>)</w:t>
      </w:r>
      <w:r w:rsidR="00CA3068">
        <w:rPr>
          <w:rStyle w:val="FootnoteReference"/>
        </w:rPr>
        <w:footnoteReference w:id="3"/>
      </w:r>
      <w:r w:rsidR="00CC3B1E">
        <w:t>; and</w:t>
      </w:r>
    </w:p>
    <w:p w:rsidRPr="00B76738" w:rsidR="00B76738" w:rsidP="00032B5B" w:rsidRDefault="00107405" w14:paraId="0CF491F1" w14:textId="0726E1C3">
      <w:pPr>
        <w:pStyle w:val="ListBullet"/>
      </w:pPr>
      <w:r>
        <w:t>a Minimum Demand Service</w:t>
      </w:r>
      <w:r w:rsidRPr="00B76738">
        <w:t xml:space="preserve"> </w:t>
      </w:r>
      <w:r w:rsidRPr="00B76738" w:rsidR="00B76738">
        <w:t>(</w:t>
      </w:r>
      <w:r w:rsidR="00AE3573">
        <w:t xml:space="preserve">capability to increase </w:t>
      </w:r>
      <w:r w:rsidR="008A4A5E">
        <w:t>w</w:t>
      </w:r>
      <w:r w:rsidR="00AE3573">
        <w:t xml:space="preserve">ithdrawal or decrease </w:t>
      </w:r>
      <w:r w:rsidR="00461039">
        <w:t>i</w:t>
      </w:r>
      <w:r w:rsidR="00AE3573">
        <w:t>njection</w:t>
      </w:r>
      <w:r w:rsidRPr="00B76738" w:rsidR="00B76738">
        <w:t>)</w:t>
      </w:r>
      <w:r w:rsidR="00CC3B1E">
        <w:t>.</w:t>
      </w:r>
    </w:p>
    <w:p w:rsidRPr="00B76738" w:rsidR="001C3823" w:rsidP="00EF6F97" w:rsidRDefault="00D07B53" w14:paraId="55E55A96" w14:textId="79AFBA9F">
      <w:r>
        <w:t>E</w:t>
      </w:r>
      <w:r w:rsidR="001C3823">
        <w:t xml:space="preserve">ach service would carry availability obligations for the appropriate </w:t>
      </w:r>
      <w:r>
        <w:t>Dispatch Intervals</w:t>
      </w:r>
      <w:r w:rsidR="001B0FDF">
        <w:t>, which AEMO considers include:</w:t>
      </w:r>
    </w:p>
    <w:p w:rsidR="001B0FDF" w:rsidP="00032B5B" w:rsidRDefault="001B0FDF" w14:paraId="77820CEB" w14:textId="65975C39">
      <w:pPr>
        <w:pStyle w:val="ListBullet"/>
      </w:pPr>
      <w:r>
        <w:t xml:space="preserve">peak Dispatch Intervals specified </w:t>
      </w:r>
      <w:r w:rsidR="00107405">
        <w:t>in accordance with</w:t>
      </w:r>
      <w:r w:rsidR="00F44F7B">
        <w:t xml:space="preserve"> the WEM Rules </w:t>
      </w:r>
      <w:r>
        <w:t>as Electric Storage Resource Obligation Intervals; and</w:t>
      </w:r>
    </w:p>
    <w:p w:rsidRPr="00B76738" w:rsidR="001B0FDF" w:rsidP="00032B5B" w:rsidRDefault="001B0FDF" w14:paraId="759EB9D4" w14:textId="27B1C659">
      <w:pPr>
        <w:pStyle w:val="ListBullet"/>
      </w:pPr>
      <w:r>
        <w:t>minimum demand intervals between 9</w:t>
      </w:r>
      <w:r w:rsidR="00CD5587">
        <w:t xml:space="preserve"> am</w:t>
      </w:r>
      <w:r>
        <w:t xml:space="preserve"> and </w:t>
      </w:r>
      <w:r w:rsidR="00CD5587">
        <w:t>3 pm</w:t>
      </w:r>
      <w:r>
        <w:t xml:space="preserve">. </w:t>
      </w:r>
    </w:p>
    <w:p w:rsidRPr="00B76738" w:rsidR="00351D06" w:rsidP="00027DA3" w:rsidRDefault="00351D06" w14:paraId="3A0A03B4" w14:textId="04E12DC5">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335CE1">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335CE1">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rsidR="00CC3B1E" w:rsidP="00B76738" w:rsidRDefault="00CC3B1E" w14:paraId="6E75333F" w14:textId="126DD7B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rsidR="005601CA" w:rsidP="0000546B" w:rsidRDefault="005601CA" w14:paraId="2B5CB2B5" w14:textId="673AD6A4">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Pr="002E3CCF" w:rsidR="002E3CCF">
        <w:t xml:space="preserve"> </w:t>
      </w:r>
      <w:r w:rsidRPr="00840951" w:rsid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Pr="00840951" w:rsidR="00840951">
        <w:t xml:space="preserve"> accounting for any</w:t>
      </w:r>
      <w:r w:rsidR="0099423E">
        <w:t xml:space="preserve"> relevant</w:t>
      </w:r>
      <w:r w:rsidRPr="00840951" w:rsidR="00840951">
        <w:t xml:space="preserve"> market revenues received outside of the NCESS Contract</w:t>
      </w:r>
      <w:r w:rsidR="003028AA">
        <w:rPr>
          <w:rStyle w:val="FootnoteReference"/>
        </w:rPr>
        <w:footnoteReference w:id="5"/>
      </w:r>
      <w:r w:rsidRPr="00840951" w:rsid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Pr="0030758B" w:rsidR="0030758B">
        <w:t>operationally dispatchable</w:t>
      </w:r>
      <w:r w:rsidR="00550F54">
        <w:t>,</w:t>
      </w:r>
      <w:r w:rsidR="00B43509">
        <w:t xml:space="preserve"> </w:t>
      </w:r>
      <w:r w:rsidR="0030758B">
        <w:t xml:space="preserve">and will therefore set a minimum service size of 10 MW. </w:t>
      </w:r>
      <w:r w:rsidR="002E3CCF">
        <w:t>S</w:t>
      </w:r>
      <w:r w:rsidRPr="00D07B53" w:rsidR="002E3CCF">
        <w:t xml:space="preserve">hould AEMO not receive </w:t>
      </w:r>
      <w:r w:rsidR="002E3CCF">
        <w:t xml:space="preserve">a </w:t>
      </w:r>
      <w:r w:rsidRPr="00D07B53" w:rsidR="002E3CCF">
        <w:t xml:space="preserve">sufficient quantity </w:t>
      </w:r>
      <w:r w:rsidR="002E3CCF">
        <w:t>of each</w:t>
      </w:r>
      <w:r w:rsidRPr="00D07B53" w:rsidR="002E3CCF">
        <w:t xml:space="preserve"> service, AEMO may </w:t>
      </w:r>
      <w:r w:rsidR="002E3CCF">
        <w:t xml:space="preserve">determine that not proceeding </w:t>
      </w:r>
      <w:r w:rsidRPr="00D07B53" w:rsidR="002E3CCF">
        <w:t>with the NCESS</w:t>
      </w:r>
      <w:r w:rsidR="002E3CCF">
        <w:t xml:space="preserve"> is the best option.</w:t>
      </w:r>
    </w:p>
    <w:p w:rsidR="00C1010E" w:rsidP="0000546B" w:rsidRDefault="00D20C18" w14:paraId="56A42E9C" w14:textId="567B5960">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rsidR="0046018E" w:rsidP="0046018E" w:rsidRDefault="004A6C85" w14:paraId="2E060930" w14:textId="01C045D7">
      <w:pPr>
        <w:pStyle w:val="Heading3"/>
      </w:pPr>
      <w:r>
        <w:t xml:space="preserve">Provision of </w:t>
      </w:r>
      <w:r w:rsidR="00DF4414">
        <w:t>f</w:t>
      </w:r>
      <w:r w:rsidR="0046018E">
        <w:t xml:space="preserve">lexible </w:t>
      </w:r>
      <w:r w:rsidR="00DF4414">
        <w:t>c</w:t>
      </w:r>
      <w:r w:rsidR="0046018E">
        <w:t>apacity</w:t>
      </w:r>
    </w:p>
    <w:p w:rsidR="00DD0B2B" w:rsidP="002E0EEE" w:rsidRDefault="00B64387" w14:paraId="4FA17051" w14:textId="5F999319">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Pr="009A0CCD" w:rsidR="009A0CCD">
        <w:t xml:space="preserve"> </w:t>
      </w:r>
      <w:r w:rsidR="00C47ECE">
        <w:t>proponents wi</w:t>
      </w:r>
      <w:r w:rsidR="000F4605">
        <w:t xml:space="preserve">th </w:t>
      </w:r>
      <w:r w:rsidRPr="009A0CCD" w:rsidR="009A0CCD">
        <w:t xml:space="preserve">flexible capacity </w:t>
      </w:r>
      <w:r w:rsidR="00D9799C">
        <w:t>above</w:t>
      </w:r>
      <w:r w:rsidRPr="009A0CCD" w:rsidR="009A0CCD">
        <w:t xml:space="preserve"> </w:t>
      </w:r>
      <w:r w:rsidR="00F53CF4">
        <w:t>non-flexible</w:t>
      </w:r>
      <w:r w:rsidRPr="009A0CCD" w:rsidR="009A0CCD">
        <w:t xml:space="preserve"> capacity</w:t>
      </w:r>
      <w:r w:rsidR="00980E66">
        <w:t>.</w:t>
      </w:r>
    </w:p>
    <w:p w:rsidR="007E77E9" w:rsidP="00456E01" w:rsidRDefault="00B05618" w14:paraId="4FDCD8EA" w14:textId="5E6A120A">
      <w:pPr>
        <w:pStyle w:val="Heading2"/>
      </w:pPr>
      <w:bookmarkStart w:name="_Toc121978578" w:id="6"/>
      <w:r>
        <w:t>Analysis</w:t>
      </w:r>
      <w:bookmarkEnd w:id="6"/>
    </w:p>
    <w:p w:rsidR="00352288" w:rsidP="009257D8" w:rsidRDefault="00131C58" w14:paraId="4BB1D5DD" w14:textId="04ACA395">
      <w:r>
        <w:t>An</w:t>
      </w:r>
      <w:r w:rsidRPr="00352288" w:rsid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Pr="00352288" w:rsidR="00352288">
        <w:t xml:space="preserve"> AE</w:t>
      </w:r>
      <w:r w:rsidR="00E870E1">
        <w:t>M</w:t>
      </w:r>
      <w:r w:rsidRPr="00352288" w:rsidR="00352288">
        <w:t xml:space="preserve">O has included details of these forecast operational assumptions in this section. AEMO continues to assess the inputs to this analysis to ensure risk factors are reflective of forecast operational conditions and expected operational </w:t>
      </w:r>
      <w:r w:rsidRPr="00352288" w:rsidR="00E30D85">
        <w:t>practi</w:t>
      </w:r>
      <w:r w:rsidR="00E30D85">
        <w:t>c</w:t>
      </w:r>
      <w:r w:rsidRPr="00352288" w:rsidR="00E30D85">
        <w:t>es</w:t>
      </w:r>
      <w:r w:rsidR="00994EF6">
        <w:t>.</w:t>
      </w:r>
      <w:r w:rsidRPr="00352288" w:rsidR="00352288">
        <w:t xml:space="preserve"> AEMO may refine this analysis during any NCESS </w:t>
      </w:r>
      <w:r w:rsidR="00D211A2">
        <w:t>p</w:t>
      </w:r>
      <w:r w:rsidRPr="00352288" w:rsidR="00352288">
        <w:t>rocurement.</w:t>
      </w:r>
    </w:p>
    <w:p w:rsidR="00AD5384" w:rsidP="009257D8" w:rsidRDefault="006666E7" w14:paraId="0158DE5E" w14:textId="1768C247">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rsidR="00593DAD" w:rsidP="00593DAD" w:rsidRDefault="00593DAD" w14:paraId="0EAF2EC6" w14:textId="56B5208D">
      <w:pPr>
        <w:pStyle w:val="Heading3"/>
      </w:pPr>
      <w:bookmarkStart w:name="_Ref121248866" w:id="7"/>
      <w:r>
        <w:t xml:space="preserve">Peak </w:t>
      </w:r>
      <w:r w:rsidR="007C1AE1">
        <w:t>d</w:t>
      </w:r>
      <w:r>
        <w:t>emand</w:t>
      </w:r>
      <w:bookmarkEnd w:id="7"/>
    </w:p>
    <w:p w:rsidR="00593DAD" w:rsidP="00593DAD" w:rsidRDefault="00593DAD" w14:paraId="682B1F32" w14:textId="62485408">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335CE1">
        <w:t>Figure 1</w:t>
      </w:r>
      <w:r w:rsidR="004406FC">
        <w:fldChar w:fldCharType="end"/>
      </w:r>
      <w:r w:rsidR="00F5342B">
        <w:t xml:space="preserve"> </w:t>
      </w:r>
      <w:r w:rsidR="004406FC">
        <w:t>and include</w:t>
      </w:r>
      <w:r w:rsidR="00F5342B">
        <w:t xml:space="preserve"> new entrants, retirements and constrained access </w:t>
      </w:r>
      <w:r w:rsidR="004406FC">
        <w:t>quantities</w:t>
      </w:r>
      <w:r w:rsidR="002B5426">
        <w:t>.</w:t>
      </w:r>
    </w:p>
    <w:p w:rsidR="00EA3B53" w:rsidP="00EA3B53" w:rsidRDefault="00EA3B53" w14:paraId="11E8F0B0" w14:textId="77777777">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593DAD" w:rsidP="00AE3A5E" w:rsidRDefault="00EA3B53" w14:paraId="306CB0A7" w14:textId="72EBC04B">
      <w:pPr>
        <w:pStyle w:val="CaptionFigure"/>
      </w:pPr>
      <w:bookmarkStart w:name="_Ref120109408" w:id="8"/>
      <w:bookmarkStart w:name="_Toc121333362" w:id="9"/>
      <w:r>
        <w:t xml:space="preserve">Model inputs for </w:t>
      </w:r>
      <w:r w:rsidR="007C1AE1">
        <w:t>peak d</w:t>
      </w:r>
      <w:r>
        <w:t>emand</w:t>
      </w:r>
      <w:bookmarkEnd w:id="8"/>
      <w:bookmarkEnd w:id="9"/>
    </w:p>
    <w:p w:rsidR="003A63F4" w:rsidP="008C5C37" w:rsidRDefault="00991E2C" w14:paraId="085EA594" w14:textId="20DBD67D">
      <w:pPr>
        <w:rPr>
          <w:noProof/>
        </w:rPr>
      </w:pPr>
      <w:r>
        <w:fldChar w:fldCharType="begin"/>
      </w:r>
      <w:r>
        <w:instrText xml:space="preserve"> REF _Ref120109386 \r \h </w:instrText>
      </w:r>
      <w:r>
        <w:fldChar w:fldCharType="separate"/>
      </w:r>
      <w:r w:rsidR="00335CE1">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w:t>
      </w:r>
      <w:r w:rsidR="00F11CE1">
        <w:t>of up to 730</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8F5B53">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w:t>
      </w:r>
      <w:r w:rsidR="000F6833">
        <w:rPr>
          <w:rStyle w:val="normaltextrun"/>
          <w:shd w:val="clear" w:color="auto" w:fill="FFFFFF"/>
        </w:rPr>
        <w:t xml:space="preserve">considers it likely that risks of these kinds </w:t>
      </w:r>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r w:rsidR="000F6833">
        <w:rPr>
          <w:rStyle w:val="normaltextrun"/>
          <w:shd w:val="clear" w:color="auto" w:fill="FFFFFF"/>
        </w:rPr>
        <w:t>.</w:t>
      </w:r>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Pr="117CE0A7" w:rsidR="005849C9">
        <w:rPr>
          <w:rStyle w:val="normaltextrun"/>
        </w:rPr>
        <w:t>.</w:t>
      </w:r>
    </w:p>
    <w:p w:rsidR="0010755F" w:rsidP="00A97FC1" w:rsidRDefault="00B5769E" w14:paraId="42A6C57C" w14:textId="66E1EAD5">
      <w:pPr>
        <w:keepNext/>
      </w:pPr>
      <w:r>
        <w:rPr>
          <w:noProof/>
        </w:rPr>
        <mc:AlternateContent>
          <mc:Choice Requires="cx1">
            <w:drawing>
              <wp:inline distT="0" distB="0" distL="0" distR="0" wp14:anchorId="03FAE5B8" wp14:editId="04D8949F">
                <wp:extent cx="6409055" cy="5499100"/>
                <wp:effectExtent l="0" t="0" r="10795" b="6350"/>
                <wp:docPr id="1" name="Chart 1">
                  <a:extLst xmlns:a="http://schemas.openxmlformats.org/drawingml/2006/main">
                    <a:ext uri="{FF2B5EF4-FFF2-40B4-BE49-F238E27FC236}">
                      <a16:creationId xmlns:a16="http://schemas.microsoft.com/office/drawing/2014/main" id="{BEF1F00E-1E59-413B-A144-16773CF8B2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xmlns:arto="http://schemas.microsoft.com/office/word/2006/arto">
            <w:drawing xmlns:w="http://schemas.openxmlformats.org/wordprocessingml/2006/main">
              <wp:inline xmlns:wp="http://schemas.openxmlformats.org/drawingml/2006/wordprocessingDrawing" xmlns:wp14="http://schemas.microsoft.com/office/word/2010/wordprocessingDrawing" distT="0" distB="0" distL="0" distR="0" wp14:anchorId="1D68F125" wp14:editId="04D8949F">
                <wp:extent cx="6409055" cy="5499100"/>
                <wp:effectExtent l="0" t="0" r="10795" b="6350"/>
                <wp:docPr id="1492474426" name="Chart 1">
                  <a:extLst xmlns:a="http://schemas.openxmlformats.org/drawingml/2006/main">
                    <a:ext uri="{FF2B5EF4-FFF2-40B4-BE49-F238E27FC236}">
                      <a16:creationId xmlns:a16="http://schemas.microsoft.com/office/drawing/2014/main" id="{BEF1F00E-1E59-413B-A144-16773CF8B2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1" name="Chart 1">
                          <a:extLst>
                            <a:ext uri="{FF2B5EF4-FFF2-40B4-BE49-F238E27FC236}">
                              <a16:creationId xmlns:a16="http://schemas.microsoft.com/office/drawing/2014/main" id="{BEF1F00E-1E59-413B-A144-16773CF8B28B}"/>
                            </a:ext>
                          </a:extLst>
                        </pic:cNvPr>
                        <pic:cNvPicPr>
                          <a:picLocks noGrp="1" noRot="1" noChangeAspect="1" noMove="1" noResize="1" noEditPoints="1" noAdjustHandles="1" noChangeArrowheads="1" noChangeShapeType="1"/>
                        </pic:cNvPicPr>
                      </pic:nvPicPr>
                      <pic:blipFill>
                        <a:blip xmlns:r="http://schemas.openxmlformats.org/officeDocument/2006/relationships" r:embed="rId22"/>
                        <a:stretch>
                          <a:fillRect/>
                        </a:stretch>
                      </pic:blipFill>
                      <pic:spPr>
                        <a:xfrm>
                          <a:off x="0" y="0"/>
                          <a:ext cx="6409055" cy="5499100"/>
                        </a:xfrm>
                        <a:prstGeom prst="rect">
                          <a:avLst/>
                        </a:prstGeom>
                      </pic:spPr>
                    </pic:pic>
                  </a:graphicData>
                </a:graphic>
              </wp:inline>
            </w:drawing>
          </mc:Fallback>
        </mc:AlternateContent>
      </w:r>
    </w:p>
    <w:p w:rsidR="00250ACC" w:rsidP="008C5C37" w:rsidRDefault="006B4DEB" w14:paraId="6156BDC5" w14:textId="1399E94C">
      <w:pPr>
        <w:pStyle w:val="CaptionFigure"/>
        <w:keepNext w:val="0"/>
      </w:pPr>
      <w:bookmarkStart w:name="_Ref120109386" w:id="10"/>
      <w:bookmarkStart w:name="_Toc121333363" w:id="11"/>
      <w:r w:rsidRPr="00AE3A5E">
        <w:t xml:space="preserve">Waterfall chart </w:t>
      </w:r>
      <w:r w:rsidR="00BE045B">
        <w:t>of</w:t>
      </w:r>
      <w:r w:rsidRPr="00AE3A5E">
        <w:t xml:space="preserve"> </w:t>
      </w:r>
      <w:r w:rsidR="00BE045B">
        <w:t xml:space="preserve">forecast </w:t>
      </w:r>
      <w:r w:rsidRPr="00AE3A5E">
        <w:t>c</w:t>
      </w:r>
      <w:r w:rsidRPr="00AE3A5E" w:rsidR="00A97FC1">
        <w:t>apacity for the 2024</w:t>
      </w:r>
      <w:r w:rsidRPr="00AE3A5E" w:rsidR="002E4B76">
        <w:t>-25</w:t>
      </w:r>
      <w:r w:rsidRPr="00AE3A5E" w:rsidR="00A97FC1">
        <w:t xml:space="preserve"> Capacity Year</w:t>
      </w:r>
      <w:bookmarkEnd w:id="10"/>
      <w:bookmarkEnd w:id="11"/>
    </w:p>
    <w:p w:rsidRPr="00A43FB0" w:rsidR="00C42025" w:rsidP="001D0BDD" w:rsidRDefault="00EC303F" w14:paraId="73733D6D" w14:textId="7664A239">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Pr="00A43FB0" w:rsidR="009C1B82">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335CE1">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Pr="00A43FB0" w:rsidR="002C6765">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Pr="00A43FB0" w:rsidR="002C6765">
        <w:rPr>
          <w:rStyle w:val="normaltextrun"/>
          <w:shd w:val="clear" w:color="auto" w:fill="FFFFFF"/>
        </w:rPr>
        <w:t>:</w:t>
      </w:r>
    </w:p>
    <w:p w:rsidR="002C6765" w:rsidP="00032B5B" w:rsidRDefault="00FD075D" w14:paraId="1CAF0BA1" w14:textId="736DA11F">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Pr="00891264" w:rsidR="002C6765">
        <w:rPr>
          <w:rStyle w:val="normaltextrun"/>
          <w:shd w:val="clear" w:color="auto" w:fill="FFFFFF"/>
        </w:rPr>
        <w:t xml:space="preserve">impacts of </w:t>
      </w:r>
      <w:r w:rsidR="0030767B">
        <w:rPr>
          <w:rStyle w:val="normaltextrun"/>
          <w:shd w:val="clear" w:color="auto" w:fill="FFFFFF"/>
        </w:rPr>
        <w:t xml:space="preserve">Constrained Access (as estimated by the </w:t>
      </w:r>
      <w:r w:rsidRPr="00891264" w:rsidR="002C6765">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Pr="00891264" w:rsidR="002C6765">
        <w:rPr>
          <w:rStyle w:val="normaltextrun"/>
          <w:shd w:val="clear" w:color="auto" w:fill="FFFFFF"/>
        </w:rPr>
        <w:t xml:space="preserve"> </w:t>
      </w:r>
      <w:r w:rsidRPr="00891264" w:rsid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rsidR="00891264" w:rsidP="00032B5B" w:rsidRDefault="00D329FC" w14:paraId="27987538" w14:textId="44A46968">
      <w:pPr>
        <w:pStyle w:val="ListBullet"/>
        <w:rPr>
          <w:rStyle w:val="normaltextrun"/>
          <w:shd w:val="clear" w:color="auto" w:fill="FFFFFF"/>
        </w:rPr>
      </w:pPr>
      <w:r>
        <w:rPr>
          <w:rStyle w:val="normaltextrun"/>
          <w:shd w:val="clear" w:color="auto" w:fill="FFFFFF"/>
        </w:rPr>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rsidR="00891264" w:rsidP="00032B5B" w:rsidRDefault="00E06B8C" w14:paraId="1D8DCCE6" w14:textId="7DBF4CF0">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rsidR="003C275C" w:rsidP="00032B5B" w:rsidRDefault="003C275C" w14:paraId="36BAED88" w14:textId="0CA8FC82">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rsidR="000A4BE0" w:rsidP="009B0D52" w:rsidRDefault="006B0DB7" w14:paraId="042073BE" w14:textId="492B7D41">
      <w:pPr>
        <w:pStyle w:val="ListBullet"/>
        <w:rPr>
          <w:rStyle w:val="normaltextrun"/>
          <w:shd w:val="clear" w:color="auto" w:fill="FFFFFF"/>
        </w:rPr>
      </w:pPr>
      <w:commentRangeStart w:id="12"/>
      <w:commentRangeStart w:id="13"/>
      <w:commentRangeStart w:id="14"/>
      <w:r>
        <w:rPr>
          <w:rStyle w:val="normaltextrun"/>
          <w:shd w:val="clear" w:color="auto" w:fill="FFFFFF"/>
        </w:rPr>
        <w:t>t</w:t>
      </w:r>
      <w:r w:rsidR="00F712E6">
        <w:rPr>
          <w:rStyle w:val="normaltextrun"/>
          <w:shd w:val="clear" w:color="auto" w:fill="FFFFFF"/>
        </w:rPr>
        <w:t>he risks associated with l</w:t>
      </w:r>
      <w:r w:rsidRPr="00E6301B" w:rsidR="008131FD">
        <w:rPr>
          <w:rStyle w:val="normaltextrun"/>
          <w:shd w:val="clear" w:color="auto" w:fill="FFFFFF"/>
        </w:rPr>
        <w:t>ong-term availability of plant including</w:t>
      </w:r>
      <w:r w:rsidRPr="006649C0" w:rsidR="006649C0">
        <w:rPr>
          <w:rStyle w:val="normaltextrun"/>
          <w:shd w:val="clear" w:color="auto" w:fill="FFFFFF"/>
        </w:rPr>
        <w:t xml:space="preserve"> </w:t>
      </w:r>
      <w:r w:rsidR="006649C0">
        <w:rPr>
          <w:rStyle w:val="normaltextrun"/>
          <w:shd w:val="clear" w:color="auto" w:fill="FFFFFF"/>
        </w:rPr>
        <w:t>as a result of persisting</w:t>
      </w:r>
      <w:r w:rsidRPr="00E6301B" w:rsidR="008131FD">
        <w:rPr>
          <w:rStyle w:val="normaltextrun"/>
          <w:shd w:val="clear" w:color="auto" w:fill="FFFFFF"/>
        </w:rPr>
        <w:t xml:space="preserve"> fuel issues</w:t>
      </w:r>
      <w:r w:rsidR="00B44962">
        <w:rPr>
          <w:rStyle w:val="normaltextrun"/>
          <w:shd w:val="clear" w:color="auto" w:fill="FFFFFF"/>
        </w:rPr>
        <w:t xml:space="preserve"> and prolonged unplanned plant outages</w:t>
      </w:r>
      <w:r w:rsidR="007D383F">
        <w:rPr>
          <w:rStyle w:val="normaltextrun"/>
          <w:shd w:val="clear" w:color="auto" w:fill="FFFFFF"/>
        </w:rPr>
        <w:t>,</w:t>
      </w:r>
      <w:r w:rsidR="008131FD">
        <w:rPr>
          <w:rStyle w:val="normaltextrun"/>
          <w:shd w:val="clear" w:color="auto" w:fill="FFFFFF"/>
        </w:rPr>
        <w:t xml:space="preserve"> represented by unavailability of </w:t>
      </w:r>
      <w:r w:rsidR="00904DE0">
        <w:rPr>
          <w:rStyle w:val="normaltextrun"/>
          <w:shd w:val="clear" w:color="auto" w:fill="FFFFFF"/>
        </w:rPr>
        <w:t>coal and gas</w:t>
      </w:r>
      <w:r w:rsidR="00FD7492">
        <w:rPr>
          <w:rStyle w:val="normaltextrun"/>
          <w:shd w:val="clear" w:color="auto" w:fill="FFFFFF"/>
        </w:rPr>
        <w:t xml:space="preserve"> capacity</w:t>
      </w:r>
      <w:r w:rsidR="008F5B53">
        <w:rPr>
          <w:rStyle w:val="normaltextrun"/>
          <w:shd w:val="clear" w:color="auto" w:fill="FFFFFF"/>
        </w:rPr>
        <w:t>; and</w:t>
      </w:r>
      <w:commentRangeEnd w:id="12"/>
      <w:r w:rsidR="0055735B">
        <w:rPr>
          <w:rStyle w:val="CommentReference"/>
          <w:color w:val="auto"/>
        </w:rPr>
        <w:commentReference w:id="12"/>
      </w:r>
      <w:commentRangeEnd w:id="13"/>
      <w:r w:rsidR="00B44962">
        <w:rPr>
          <w:rStyle w:val="CommentReference"/>
          <w:color w:val="auto"/>
        </w:rPr>
        <w:commentReference w:id="13"/>
      </w:r>
      <w:commentRangeEnd w:id="14"/>
      <w:r w:rsidR="00CE188F">
        <w:rPr>
          <w:rStyle w:val="CommentReference"/>
          <w:color w:val="auto"/>
        </w:rPr>
        <w:commentReference w:id="14"/>
      </w:r>
    </w:p>
    <w:p w:rsidR="006C3B8A" w:rsidP="006C3B8A" w:rsidRDefault="006C3B8A" w14:paraId="04CEEB41" w14:textId="012FB0D4">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4,557</w:t>
      </w:r>
      <w:r>
        <w:t xml:space="preserve"> MW, described further in Appendix </w:t>
      </w:r>
      <w:r>
        <w:fldChar w:fldCharType="begin"/>
      </w:r>
      <w:r>
        <w:instrText xml:space="preserve"> REF _Ref120184670 \r \h  \* MERGEFORMAT </w:instrText>
      </w:r>
      <w:r>
        <w:fldChar w:fldCharType="separate"/>
      </w:r>
      <w:r w:rsidR="00335CE1">
        <w:t>A2</w:t>
      </w:r>
      <w:r>
        <w:fldChar w:fldCharType="end"/>
      </w:r>
      <w:r w:rsidR="008F5B53">
        <w:t>.</w:t>
      </w:r>
    </w:p>
    <w:p w:rsidR="00655672" w:rsidP="001D0BDD" w:rsidRDefault="006155A6" w14:paraId="0755A122" w14:textId="65FB1293">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rsidR="004C3761" w:rsidP="004C3761" w:rsidRDefault="004C3761" w14:paraId="5AFC0DCD" w14:textId="2E9F1B10">
      <w:pPr>
        <w:pStyle w:val="Heading3"/>
      </w:pPr>
      <w:r>
        <w:t>Peak Demand Valuation</w:t>
      </w:r>
    </w:p>
    <w:p w:rsidR="00A76868" w:rsidP="00A76868" w:rsidRDefault="00A76868" w14:paraId="235B8444" w14:textId="0224DEC8">
      <w:pPr>
        <w:pStyle w:val="BodyText"/>
      </w:pPr>
      <w:r w:rsidRPr="00F92B37">
        <w:t xml:space="preserve">AEMO expects to set the </w:t>
      </w:r>
      <w:r w:rsidR="005059DB">
        <w:t>upper</w:t>
      </w:r>
      <w:r w:rsidRPr="00F92B37" w:rsidR="005059DB">
        <w:t xml:space="preserve"> </w:t>
      </w:r>
      <w:r w:rsidRPr="00F92B37">
        <w:t xml:space="preserve">price </w:t>
      </w:r>
      <w:r w:rsidR="005059DB">
        <w:t>limit</w:t>
      </w:r>
      <w:r w:rsidRPr="00F92B37">
        <w:t xml:space="preserve"> for the peak service at </w:t>
      </w:r>
      <w:r w:rsidR="00447C15">
        <w:t>$743,033/MW/year</w:t>
      </w:r>
      <w:r w:rsidRPr="00F92B37">
        <w:t xml:space="preserve">, based on the </w:t>
      </w:r>
      <w:r w:rsidR="00720E3B">
        <w:t>s</w:t>
      </w:r>
      <w:r w:rsidRPr="00F92B37">
        <w:t xml:space="preserve">upplementary </w:t>
      </w:r>
      <w:r w:rsidR="00E97E64">
        <w:t>c</w:t>
      </w:r>
      <w:r w:rsidRPr="00F92B37">
        <w:t>apacity maximum contract price</w:t>
      </w:r>
      <w:r w:rsidR="00C37AA3">
        <w:t xml:space="preserve"> 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335CE1">
        <w:t>A3</w:t>
      </w:r>
      <w:r w:rsidR="00A04EFE">
        <w:fldChar w:fldCharType="end"/>
      </w:r>
      <w:r w:rsidRPr="00F92B37">
        <w:t xml:space="preserve">, which represents the highest amount payable under the WEM Rules to avoid load-shedding. </w:t>
      </w:r>
    </w:p>
    <w:p w:rsidR="000F1847" w:rsidP="000F1847" w:rsidRDefault="000F1847" w14:paraId="2DE0FED1" w14:textId="6C047042">
      <w:pPr>
        <w:pStyle w:val="Heading3"/>
      </w:pPr>
      <w:bookmarkStart w:name="_Ref121249126" w:id="15"/>
      <w:r w:rsidRPr="00B05618">
        <w:t xml:space="preserve">Minimum </w:t>
      </w:r>
      <w:r w:rsidR="007C1AE1">
        <w:t>d</w:t>
      </w:r>
      <w:r w:rsidRPr="00B05618">
        <w:t>emand</w:t>
      </w:r>
      <w:bookmarkEnd w:id="15"/>
    </w:p>
    <w:p w:rsidR="000F1847" w:rsidP="000F1847" w:rsidRDefault="000F1847" w14:paraId="2B9C5F7C" w14:textId="77777777">
      <w:r>
        <w:t>AEMO has projected SWIS minimum demand using the following inputs and assumptions.</w:t>
      </w:r>
    </w:p>
    <w:p w:rsidR="000F1847" w:rsidP="00032B5B" w:rsidRDefault="000F1847" w14:paraId="2907DD6F" w14:textId="3623446C">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rsidRPr="00027DA3" w:rsidR="000F1847" w:rsidP="00032B5B" w:rsidRDefault="000F1847" w14:paraId="2DC6A672" w14:textId="1E2506FF">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1"/>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2"/>
      </w:r>
      <w:r>
        <w:t xml:space="preserve"> to set a forecast future Minimum Demand Threshold of 500 MW</w:t>
      </w:r>
      <w:r>
        <w:rPr>
          <w:rStyle w:val="FootnoteReference"/>
        </w:rPr>
        <w:footnoteReference w:id="13"/>
      </w:r>
      <w:r>
        <w:t xml:space="preserve">. </w:t>
      </w:r>
    </w:p>
    <w:p w:rsidR="000F1847" w:rsidP="000F1847" w:rsidRDefault="00A43FB0" w14:paraId="38EC22F4" w14:textId="720BFC96">
      <w:r>
        <w:fldChar w:fldCharType="begin"/>
      </w:r>
      <w:r>
        <w:instrText xml:space="preserve"> REF _Ref120693680 \r \h </w:instrText>
      </w:r>
      <w:r>
        <w:fldChar w:fldCharType="separate"/>
      </w:r>
      <w:r w:rsidR="00335CE1">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335CE1">
        <w:t>Figure 3</w:t>
      </w:r>
      <w:r w:rsidR="000F1847">
        <w:fldChar w:fldCharType="end"/>
      </w:r>
      <w:r w:rsidR="000F1847">
        <w:t xml:space="preserve"> details the expected utilisation of 269 MW of </w:t>
      </w:r>
      <w:r>
        <w:t xml:space="preserve">minimum </w:t>
      </w:r>
      <w:r w:rsidR="000F1847">
        <w:t>demand service.</w:t>
      </w:r>
    </w:p>
    <w:p w:rsidR="000F1847" w:rsidP="000F1847" w:rsidRDefault="000F1847" w14:paraId="5605C5AD" w14:textId="6B95E107">
      <w:pPr>
        <w:pStyle w:val="CaptionTable"/>
      </w:pPr>
      <w:bookmarkStart w:name="_Ref120693680" w:id="16"/>
      <w:bookmarkStart w:name="_Toc121333360" w:id="17"/>
      <w:r>
        <w:t>Additional service required to ensure minimum demand exceeds the 500 MW Minimum Demand Threshold</w:t>
      </w:r>
      <w:bookmarkEnd w:id="16"/>
      <w:bookmarkEnd w:id="17"/>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Pr="001B2F99" w:rsidR="009872FF" w:rsidTr="00D50627" w14:paraId="13CB3BEA" w14:textId="7777777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rsidRPr="00032B5B" w:rsidR="000F1847" w:rsidP="00266FED" w:rsidRDefault="000F1847" w14:paraId="367D724A" w14:textId="77777777">
            <w:pPr>
              <w:spacing w:before="0" w:after="0" w:line="240" w:lineRule="auto"/>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Capacity Year</w:t>
            </w:r>
          </w:p>
        </w:tc>
        <w:tc>
          <w:tcPr>
            <w:tcW w:w="1810" w:type="dxa"/>
            <w:noWrap/>
            <w:hideMark/>
          </w:tcPr>
          <w:p w:rsidRPr="00032B5B" w:rsidR="000F1847" w:rsidP="00266FED" w:rsidRDefault="000F1847" w14:paraId="05963EB4"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Maximum</w:t>
            </w:r>
            <w:r>
              <w:rPr>
                <w:rFonts w:ascii="Arial Nova" w:hAnsi="Arial Nova" w:eastAsia="Times New Roman" w:cs="Calibri"/>
                <w:color w:val="FFFFFF" w:themeColor="background1"/>
                <w:sz w:val="18"/>
                <w:szCs w:val="18"/>
                <w:lang w:eastAsia="en-AU"/>
              </w:rPr>
              <w:t xml:space="preserve"> </w:t>
            </w:r>
            <w:r w:rsidRPr="00032B5B">
              <w:rPr>
                <w:rFonts w:ascii="Arial Nova" w:hAnsi="Arial Nova" w:eastAsia="Times New Roman" w:cs="Calibri"/>
                <w:color w:val="FFFFFF" w:themeColor="background1"/>
                <w:sz w:val="18"/>
                <w:szCs w:val="18"/>
                <w:lang w:eastAsia="en-AU"/>
              </w:rPr>
              <w:t>Service Required (MW)</w:t>
            </w:r>
          </w:p>
        </w:tc>
        <w:tc>
          <w:tcPr>
            <w:tcW w:w="1811" w:type="dxa"/>
            <w:noWrap/>
            <w:hideMark/>
          </w:tcPr>
          <w:p w:rsidRPr="00032B5B" w:rsidR="000F1847" w:rsidP="00266FED" w:rsidRDefault="000F1847" w14:paraId="6FF02D3F"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b w:val="0"/>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Hours Used</w:t>
            </w:r>
          </w:p>
          <w:p w:rsidRPr="00032B5B" w:rsidR="000F1847" w:rsidP="00266FED" w:rsidRDefault="000F1847" w14:paraId="6C04AA04" w14:textId="5F5EC99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(h)</w:t>
            </w:r>
          </w:p>
        </w:tc>
        <w:tc>
          <w:tcPr>
            <w:tcW w:w="1811" w:type="dxa"/>
          </w:tcPr>
          <w:p w:rsidRPr="00032B5B" w:rsidR="000F1847" w:rsidP="00266FED" w:rsidRDefault="000F1847" w14:paraId="09FB5D75"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Longest Activation (h)</w:t>
            </w:r>
          </w:p>
        </w:tc>
        <w:tc>
          <w:tcPr>
            <w:tcW w:w="1811" w:type="dxa"/>
            <w:noWrap/>
            <w:hideMark/>
          </w:tcPr>
          <w:p w:rsidRPr="00032B5B" w:rsidR="000F1847" w:rsidP="00266FED" w:rsidRDefault="000F1847" w14:paraId="0B3D0AAE"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b w:val="0"/>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 xml:space="preserve">Percentage </w:t>
            </w:r>
          </w:p>
          <w:p w:rsidRPr="00032B5B" w:rsidR="000F1847" w:rsidP="00266FED" w:rsidRDefault="000F1847" w14:paraId="3FCF5907"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w:t>
            </w:r>
          </w:p>
        </w:tc>
        <w:tc>
          <w:tcPr>
            <w:tcW w:w="1811" w:type="dxa"/>
            <w:noWrap/>
            <w:hideMark/>
          </w:tcPr>
          <w:p w:rsidRPr="00032B5B" w:rsidR="000F1847" w:rsidP="00266FED" w:rsidRDefault="000F1847" w14:paraId="109734A4"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Annual Energy (MWh)</w:t>
            </w:r>
          </w:p>
        </w:tc>
      </w:tr>
      <w:tr w:rsidRPr="001B2F99" w:rsidR="000F1847" w:rsidTr="00032B5B" w14:paraId="537985C5" w14:textId="77777777">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rsidRPr="00032B5B" w:rsidR="000F1847" w:rsidP="00266FED" w:rsidRDefault="000F1847" w14:paraId="76C64CA8" w14:textId="77777777">
            <w:pPr>
              <w:spacing w:before="0" w:after="0" w:line="240" w:lineRule="auto"/>
              <w:jc w:val="center"/>
              <w:rPr>
                <w:rFonts w:ascii="Arial Nova" w:hAnsi="Arial Nova" w:eastAsia="Times New Roman" w:cs="Calibri"/>
                <w:b w:val="0"/>
                <w:bCs/>
                <w:color w:val="000000"/>
                <w:sz w:val="18"/>
                <w:szCs w:val="18"/>
                <w:lang w:eastAsia="en-AU"/>
              </w:rPr>
            </w:pPr>
            <w:r w:rsidRPr="00032B5B">
              <w:rPr>
                <w:rFonts w:ascii="Arial Nova" w:hAnsi="Arial Nova" w:eastAsia="Times New Roman" w:cs="Calibri"/>
                <w:color w:val="000000"/>
                <w:sz w:val="18"/>
                <w:szCs w:val="18"/>
                <w:lang w:eastAsia="en-AU"/>
              </w:rPr>
              <w:t>2024</w:t>
            </w:r>
          </w:p>
        </w:tc>
        <w:tc>
          <w:tcPr>
            <w:tcW w:w="1810" w:type="dxa"/>
            <w:noWrap/>
            <w:vAlign w:val="center"/>
            <w:hideMark/>
          </w:tcPr>
          <w:p w:rsidRPr="00032B5B" w:rsidR="000F1847" w:rsidP="00266FED" w:rsidRDefault="000F1847" w14:paraId="3077C244"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269</w:t>
            </w:r>
          </w:p>
        </w:tc>
        <w:tc>
          <w:tcPr>
            <w:tcW w:w="1811" w:type="dxa"/>
            <w:noWrap/>
            <w:vAlign w:val="center"/>
            <w:hideMark/>
          </w:tcPr>
          <w:p w:rsidRPr="00032B5B" w:rsidR="000F1847" w:rsidP="00266FED" w:rsidRDefault="000F1847" w14:paraId="7D6480A4"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67</w:t>
            </w:r>
          </w:p>
        </w:tc>
        <w:tc>
          <w:tcPr>
            <w:tcW w:w="1811" w:type="dxa"/>
            <w:vAlign w:val="center"/>
          </w:tcPr>
          <w:p w:rsidRPr="00032B5B" w:rsidR="000F1847" w:rsidP="00266FED" w:rsidRDefault="000F1847" w14:paraId="13A820E5"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4</w:t>
            </w:r>
          </w:p>
        </w:tc>
        <w:tc>
          <w:tcPr>
            <w:tcW w:w="1811" w:type="dxa"/>
            <w:noWrap/>
            <w:vAlign w:val="center"/>
            <w:hideMark/>
          </w:tcPr>
          <w:p w:rsidRPr="00032B5B" w:rsidR="000F1847" w:rsidP="00266FED" w:rsidRDefault="000F1847" w14:paraId="3402BAD9"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0.76%</w:t>
            </w:r>
          </w:p>
        </w:tc>
        <w:tc>
          <w:tcPr>
            <w:tcW w:w="1811" w:type="dxa"/>
            <w:noWrap/>
            <w:vAlign w:val="center"/>
            <w:hideMark/>
          </w:tcPr>
          <w:p w:rsidRPr="00032B5B" w:rsidR="000F1847" w:rsidP="00266FED" w:rsidRDefault="000F1847" w14:paraId="67C6DF83"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5,907</w:t>
            </w:r>
          </w:p>
        </w:tc>
      </w:tr>
    </w:tbl>
    <w:p w:rsidR="000F1847" w:rsidP="000F1847" w:rsidRDefault="000F1847" w14:paraId="780DC6F5" w14:textId="7777777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F1847" w:rsidP="000F1847" w:rsidRDefault="000F1847" w14:paraId="6B4700DB" w14:textId="7589A26B">
      <w:pPr>
        <w:pStyle w:val="CaptionFigure"/>
      </w:pPr>
      <w:bookmarkStart w:name="_Ref120109309" w:id="18"/>
      <w:bookmarkStart w:name="_Toc121333364" w:id="19"/>
      <w:r w:rsidRPr="00A3485D">
        <w:t xml:space="preserve">Forecasted hours and MW magnitude of </w:t>
      </w:r>
      <w:r>
        <w:t xml:space="preserve">NCESS Service </w:t>
      </w:r>
      <w:r w:rsidRPr="00A3485D">
        <w:t>from October 2024</w:t>
      </w:r>
      <w:bookmarkEnd w:id="18"/>
      <w:bookmarkEnd w:id="19"/>
    </w:p>
    <w:p w:rsidR="000F1847" w:rsidP="000F1847" w:rsidRDefault="000F1847" w14:paraId="023357B3" w14:textId="77777777">
      <w:pPr>
        <w:pStyle w:val="Heading3"/>
      </w:pPr>
      <w:bookmarkStart w:name="_Ref120186613" w:id="20"/>
      <w:r>
        <w:t>Minimum Demand Valuation</w:t>
      </w:r>
      <w:bookmarkEnd w:id="20"/>
    </w:p>
    <w:p w:rsidRPr="004971F9" w:rsidR="000F1847" w:rsidP="000F1847" w:rsidRDefault="000F1847" w14:paraId="06B81A8A" w14:textId="180139C9">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AEMO’s analysis indicates underlying demand of between 1.5 MW per MW of export to 5 MW per MW of export at those feeders. That is, </w:t>
      </w:r>
      <w:r w:rsidRPr="004971F9">
        <w:t xml:space="preserve">to increase SWIS demand by 100 MW over </w:t>
      </w:r>
      <w:r>
        <w:t>6</w:t>
      </w:r>
      <w:r w:rsidRPr="004971F9" w:rsidDel="00BF7C7A">
        <w:t xml:space="preserve"> </w:t>
      </w:r>
      <w:r w:rsidRPr="004971F9">
        <w:t>hour</w:t>
      </w:r>
      <w:r>
        <w:t>s</w:t>
      </w:r>
      <w:r w:rsidRPr="004971F9">
        <w:t xml:space="preserve"> </w:t>
      </w:r>
      <w:r>
        <w:t xml:space="preserve">would </w:t>
      </w:r>
      <w:r w:rsidRPr="004971F9">
        <w:t>require:</w:t>
      </w:r>
    </w:p>
    <w:p w:rsidRPr="004971F9" w:rsidR="000F1847" w:rsidP="00032B5B" w:rsidRDefault="61A70475" w14:paraId="5FDECF90" w14:textId="41667D12">
      <w:pPr>
        <w:pStyle w:val="ListBullet"/>
      </w:pPr>
      <w:r>
        <w:t>s</w:t>
      </w:r>
      <w:r w:rsidR="000F1847">
        <w:t>hedding</w:t>
      </w:r>
      <w:r w:rsidRPr="004971F9" w:rsidR="000F1847">
        <w:t xml:space="preserve"> net exporting feeders for a total of </w:t>
      </w:r>
      <w:r w:rsidR="000F1847">
        <w:t>600</w:t>
      </w:r>
      <w:r w:rsidRPr="004971F9" w:rsidR="000F1847">
        <w:t xml:space="preserve"> MWh supply</w:t>
      </w:r>
      <w:r w:rsidR="000F1847">
        <w:t>; and</w:t>
      </w:r>
    </w:p>
    <w:p w:rsidR="000F1847" w:rsidP="00032B5B" w:rsidRDefault="426535EA" w14:paraId="01CDB753" w14:textId="4CB608F9">
      <w:pPr>
        <w:pStyle w:val="ListBullet"/>
      </w:pPr>
      <w:r w:rsidRPr="004971F9">
        <w:t>l</w:t>
      </w:r>
      <w:r w:rsidRPr="004971F9" w:rsidR="000F1847">
        <w:t xml:space="preserve">oad-shedding of </w:t>
      </w:r>
      <w:r w:rsidR="000F1847">
        <w:t>between 9</w:t>
      </w:r>
      <w:r w:rsidRPr="004971F9" w:rsidR="000F1847">
        <w:t xml:space="preserve">00 </w:t>
      </w:r>
      <w:r w:rsidR="000F1847">
        <w:t>and 3,000</w:t>
      </w:r>
      <w:r w:rsidRPr="004971F9" w:rsidR="000F1847">
        <w:t xml:space="preserve"> MWh at a cost of </w:t>
      </w:r>
      <w:r w:rsidR="000F1847">
        <w:t>up to</w:t>
      </w:r>
      <w:r w:rsidRPr="004971F9" w:rsidR="000F1847">
        <w:t xml:space="preserve"> $</w:t>
      </w:r>
      <w:r w:rsidR="000F1847">
        <w:t>123</w:t>
      </w:r>
      <w:r w:rsidRPr="004971F9" w:rsidR="000F1847">
        <w:t>,</w:t>
      </w:r>
      <w:r w:rsidR="000F1847">
        <w:t>240</w:t>
      </w:r>
      <w:r w:rsidRPr="004971F9" w:rsidR="000F1847">
        <w:t>,000 per day</w:t>
      </w:r>
      <w:r w:rsidR="000F1847">
        <w:t>.</w:t>
      </w:r>
      <w:r w:rsidR="000F1847">
        <w:rPr>
          <w:rStyle w:val="FootnoteReference"/>
        </w:rPr>
        <w:footnoteReference w:id="14"/>
      </w:r>
    </w:p>
    <w:p w:rsidR="000F1847" w:rsidP="000F1847" w:rsidRDefault="000F1847" w14:paraId="4BFEA48C" w14:textId="7B3957DF">
      <w:r>
        <w:t>During the 2024-25 Capacity Year, operational demand is forecasted to be below the Minimum Demand Threshold regularly during shoulder seasons. The</w:t>
      </w:r>
      <w:r w:rsidRPr="00223228">
        <w:t xml:space="preserve"> </w:t>
      </w:r>
      <w:r>
        <w:t xml:space="preserve">additional demand to ensure power system security at times of minimum demand </w:t>
      </w:r>
      <w:r w:rsidRPr="00223228">
        <w:t xml:space="preserve">for </w:t>
      </w:r>
      <w:r>
        <w:t>the</w:t>
      </w:r>
      <w:r w:rsidRPr="00223228">
        <w:t xml:space="preserve"> 2024</w:t>
      </w:r>
      <w:r>
        <w:t>-25</w:t>
      </w:r>
      <w:r w:rsidRPr="00223228">
        <w:t xml:space="preserve"> </w:t>
      </w:r>
      <w:r>
        <w:t>Capacity Year is expected to</w:t>
      </w:r>
      <w:r w:rsidRPr="00223228">
        <w:t xml:space="preserve"> be in the order of </w:t>
      </w:r>
      <w:r>
        <w:t>5,900</w:t>
      </w:r>
      <w:r w:rsidRPr="00223228">
        <w:t xml:space="preserve"> MWh</w:t>
      </w:r>
      <w:r>
        <w:t xml:space="preserve"> (associated with between 8,800 MWh and 30,000 MWh of unserved underlying demand)</w:t>
      </w:r>
      <w:r w:rsidRPr="00223228">
        <w:t xml:space="preserve"> which </w:t>
      </w:r>
      <w:r>
        <w:t>values the avoidance of these measures at a minimum of $363 million for that year.</w:t>
      </w:r>
    </w:p>
    <w:p w:rsidRPr="00F92B37" w:rsidR="000F1847" w:rsidP="000F1847" w:rsidRDefault="000F1847" w14:paraId="02FB6DF3" w14:textId="228D7892">
      <w:pPr>
        <w:pStyle w:val="BodyText"/>
      </w:pPr>
      <w:r w:rsidRPr="00F92B37">
        <w:t xml:space="preserve">AEMO expects to set the </w:t>
      </w:r>
      <w:r>
        <w:t xml:space="preserve">upper </w:t>
      </w:r>
      <w:r w:rsidRPr="00F92B37">
        <w:t xml:space="preserve">price </w:t>
      </w:r>
      <w:r>
        <w:t>limit</w:t>
      </w:r>
      <w:r w:rsidRPr="00F92B37">
        <w:t xml:space="preserve"> for the </w:t>
      </w:r>
      <w:r>
        <w:t>minimum demand</w:t>
      </w:r>
      <w:r w:rsidRPr="00F92B37">
        <w:t xml:space="preserve"> service at </w:t>
      </w:r>
      <w:r>
        <w:t>$743,033/MW/year,</w:t>
      </w:r>
      <w:r w:rsidRPr="00F92B37">
        <w:t xml:space="preserve"> based on the </w:t>
      </w:r>
      <w:r w:rsidR="007133FB">
        <w:t>s</w:t>
      </w:r>
      <w:r w:rsidRPr="00F92B37">
        <w:t xml:space="preserve">upplementary </w:t>
      </w:r>
      <w:r w:rsidR="007133FB">
        <w:t>c</w:t>
      </w:r>
      <w:r w:rsidRPr="00F92B37">
        <w:t>apacity maximum contract price, which represents the highest amount payable under the WEM</w:t>
      </w:r>
      <w:r w:rsidR="00F57C99">
        <w:t> </w:t>
      </w:r>
      <w:r w:rsidRPr="00F92B37">
        <w:t xml:space="preserve">Rules to avoid load-shedding. </w:t>
      </w:r>
      <w:r>
        <w:t xml:space="preserve">AEMO’s assumptions are detailed in Appendix </w:t>
      </w:r>
      <w:r>
        <w:fldChar w:fldCharType="begin"/>
      </w:r>
      <w:r>
        <w:instrText xml:space="preserve"> REF _Ref120523030 \r \h </w:instrText>
      </w:r>
      <w:r>
        <w:fldChar w:fldCharType="separate"/>
      </w:r>
      <w:r w:rsidR="00335CE1">
        <w:t>A3</w:t>
      </w:r>
      <w:r>
        <w:fldChar w:fldCharType="end"/>
      </w:r>
      <w:r>
        <w:t>.</w:t>
      </w:r>
    </w:p>
    <w:p w:rsidRPr="006B4165" w:rsidR="00BA27A0" w:rsidP="00BA27A0" w:rsidRDefault="00BA27A0" w14:paraId="38E1C0A9" w14:textId="053652DD">
      <w:pPr>
        <w:pStyle w:val="Heading2"/>
      </w:pPr>
      <w:bookmarkStart w:name="_Toc121978579" w:id="21"/>
      <w:r>
        <w:t xml:space="preserve">Other </w:t>
      </w:r>
      <w:r w:rsidR="00F57C99">
        <w:t xml:space="preserve">factors </w:t>
      </w:r>
      <w:r w:rsidR="00A43D13">
        <w:t xml:space="preserve">for </w:t>
      </w:r>
      <w:r w:rsidR="00F57C99">
        <w:t>consideration</w:t>
      </w:r>
      <w:bookmarkEnd w:id="21"/>
    </w:p>
    <w:p w:rsidRPr="006B4165" w:rsidR="00BA27A0" w:rsidP="00BA27A0" w:rsidRDefault="00BA27A0" w14:paraId="47A8EF2E" w14:textId="77777777">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27A0" w:rsidP="00BA27A0" w:rsidRDefault="00BA27A0" w14:paraId="324C8645" w14:textId="3ABF27FF">
                            <w:pPr>
                              <w:pStyle w:val="BreakoutBoxHeading"/>
                            </w:pPr>
                            <w:r>
                              <w:t>Trigger Determination</w:t>
                            </w:r>
                            <w:r w:rsidR="00F6682C">
                              <w:t xml:space="preserve"> – Other factors</w:t>
                            </w:r>
                          </w:p>
                          <w:p w:rsidR="00BA27A0" w:rsidP="00BA27A0" w:rsidRDefault="00BA27A0" w14:paraId="3CC7CA9A" w14:textId="759F728B">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rsidR="0036516C" w:rsidP="0036516C" w:rsidRDefault="0036516C" w14:paraId="4B37E9D6" w14:textId="77777777">
                            <w:pPr>
                              <w:pStyle w:val="BodyText"/>
                              <w:ind w:left="720"/>
                            </w:pPr>
                            <w:r>
                              <w:t xml:space="preserve">(c) the relative merits between procuring an NCESS or augmenting the network; </w:t>
                            </w:r>
                          </w:p>
                          <w:p w:rsidR="0036516C" w:rsidP="0036516C" w:rsidRDefault="0036516C" w14:paraId="7B8FE154" w14:textId="77777777">
                            <w:pPr>
                              <w:pStyle w:val="BodyText"/>
                              <w:ind w:left="720"/>
                            </w:pPr>
                            <w:r>
                              <w:t xml:space="preserve">(d) the outcome of any investigation of behaviour that reduces the effectiveness of the market, including behaviour related to market power; </w:t>
                            </w:r>
                          </w:p>
                          <w:p w:rsidR="0036516C" w:rsidP="0036516C" w:rsidRDefault="0036516C" w14:paraId="495B04D6" w14:textId="77777777">
                            <w:pPr>
                              <w:pStyle w:val="BodyText"/>
                              <w:ind w:left="720"/>
                            </w:pPr>
                            <w:r>
                              <w:t xml:space="preserve">(e) whether the procurement of an NCESS is consistent with the Wholesale Market Objectives; and </w:t>
                            </w:r>
                          </w:p>
                          <w:p w:rsidR="0036516C" w:rsidP="0036516C" w:rsidRDefault="0036516C" w14:paraId="055A4B32" w14:textId="55376643">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w14:anchorId="054F8718">
              <v:rect id="Rectangle 1073742102" style="width:504.55pt;height:54pt;visibility:visible;mso-wrap-style:square;mso-left-percent:-10001;mso-top-percent:-10001;mso-position-horizontal:absolute;mso-position-horizontal-relative:char;mso-position-vertical:absolute;mso-position-vertical-relative:line;mso-left-percent:-10001;mso-top-percent:-10001;v-text-anchor:middle" o:spid="_x0000_s1026" fillcolor="#e6ceeb" stroked="f" strokeweight="1pt" w14:anchorId="36ECA5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">
                <v:textbox style="mso-fit-shape-to-text:t" inset="4.5mm,2mm,4.5mm,1mm">
                  <w:txbxContent>
                    <w:p w:rsidR="00BA27A0" w:rsidP="00BA27A0" w:rsidRDefault="00BA27A0" w14:paraId="4C3D1C6F" w14:textId="3ABF27FF">
                      <w:pPr>
                        <w:pStyle w:val="BreakoutBoxHeading"/>
                      </w:pPr>
                      <w:r>
                        <w:t>Trigger Determination</w:t>
                      </w:r>
                      <w:r w:rsidR="00F6682C">
                        <w:t xml:space="preserve"> – Other factors</w:t>
                      </w:r>
                    </w:p>
                    <w:p w:rsidR="00BA27A0" w:rsidP="00BA27A0" w:rsidRDefault="00BA27A0" w14:paraId="6D8B2F35" w14:textId="759F728B">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rsidR="0036516C" w:rsidP="0036516C" w:rsidRDefault="0036516C" w14:paraId="301C6B48" w14:textId="77777777">
                      <w:pPr>
                        <w:pStyle w:val="BodyText"/>
                        <w:ind w:left="720"/>
                      </w:pPr>
                      <w:r>
                        <w:t xml:space="preserve">(c) the relative merits between procuring an NCESS or augmenting the network; </w:t>
                      </w:r>
                    </w:p>
                    <w:p w:rsidR="0036516C" w:rsidP="0036516C" w:rsidRDefault="0036516C" w14:paraId="5F0F54FF" w14:textId="77777777">
                      <w:pPr>
                        <w:pStyle w:val="BodyText"/>
                        <w:ind w:left="720"/>
                      </w:pPr>
                      <w:r>
                        <w:t xml:space="preserve">(d) the outcome of any investigation of behaviour that reduces the effectiveness of the market, including behaviour related to market power; </w:t>
                      </w:r>
                    </w:p>
                    <w:p w:rsidR="0036516C" w:rsidP="0036516C" w:rsidRDefault="0036516C" w14:paraId="31A89FD8" w14:textId="77777777">
                      <w:pPr>
                        <w:pStyle w:val="BodyText"/>
                        <w:ind w:left="720"/>
                      </w:pPr>
                      <w:r>
                        <w:t xml:space="preserve">(e) whether the procurement of an NCESS is consistent with the Wholesale Market Objectives; and </w:t>
                      </w:r>
                    </w:p>
                    <w:p w:rsidR="0036516C" w:rsidP="0036516C" w:rsidRDefault="0036516C" w14:paraId="09FC5AC8" w14:textId="55376643">
                      <w:pPr>
                        <w:pStyle w:val="BodyText"/>
                        <w:ind w:left="720"/>
                      </w:pPr>
                      <w:r>
                        <w:t>(f) whether procurement of an NCESS will be in the long-term interests of consumers.</w:t>
                      </w:r>
                    </w:p>
                  </w:txbxContent>
                </v:textbox>
                <w10:anchorlock/>
              </v:rect>
            </w:pict>
          </mc:Fallback>
        </mc:AlternateContent>
      </w:r>
    </w:p>
    <w:p w:rsidRPr="006B4165" w:rsidR="001F1F5C" w:rsidP="001F1F5C" w:rsidRDefault="00EE228B" w14:paraId="40C17D39" w14:textId="03974E8E">
      <w:pPr>
        <w:pStyle w:val="Heading3"/>
      </w:pPr>
      <w:r w:rsidRPr="006B4165">
        <w:t>Considerations under 3.11A.7(c)</w:t>
      </w:r>
    </w:p>
    <w:p w:rsidRPr="006B4165" w:rsidR="001F1F5C" w:rsidP="000B0B11" w:rsidRDefault="00EE228B" w14:paraId="1BA71D33" w14:textId="34803756">
      <w:pPr>
        <w:rPr>
          <w:rFonts w:eastAsiaTheme="minorEastAsia"/>
          <w:szCs w:val="20"/>
        </w:rPr>
      </w:pPr>
      <w:r w:rsidRPr="006B4165">
        <w:t xml:space="preserve">In making its assessment of the emergent risks to its ability to manage Power System Security, AEMO </w:t>
      </w:r>
      <w:r w:rsidR="000B0B11">
        <w:t>d</w:t>
      </w:r>
      <w:r w:rsidRPr="006B4165">
        <w:t>id</w:t>
      </w:r>
      <w:r w:rsidRPr="006B4165" w:rsidR="001B72E9">
        <w:t xml:space="preserve"> not find any instances of relevant network augmentation able to mitigate the risk</w:t>
      </w:r>
      <w:r w:rsidR="003C5F79">
        <w:t>s</w:t>
      </w:r>
      <w:r w:rsidRPr="006B4165" w:rsidR="001B72E9">
        <w:t xml:space="preserve"> </w:t>
      </w:r>
      <w:r w:rsidR="003C5F79">
        <w:t>identified</w:t>
      </w:r>
      <w:r w:rsidRPr="006B4165" w:rsidR="001B72E9">
        <w:t xml:space="preserve">. </w:t>
      </w:r>
    </w:p>
    <w:p w:rsidRPr="006B4165" w:rsidR="009F1983" w:rsidP="009F1983" w:rsidRDefault="009F1983" w14:paraId="51FF7F68" w14:textId="7356B5FE">
      <w:pPr>
        <w:pStyle w:val="Heading3"/>
      </w:pPr>
      <w:r w:rsidRPr="006B4165">
        <w:t>Considerations under 3.11A.7(d)</w:t>
      </w:r>
    </w:p>
    <w:p w:rsidRPr="006B4165" w:rsidR="009F1983" w:rsidP="009F1983" w:rsidRDefault="009F1983" w14:paraId="51C78AE7" w14:textId="6605EF6A">
      <w:r w:rsidRPr="006B4165">
        <w:t xml:space="preserve">AEMO is not aware of any market power </w:t>
      </w:r>
      <w:r w:rsidRPr="006B4165" w:rsidR="00801E8C">
        <w:t>aspects</w:t>
      </w:r>
      <w:r w:rsidRPr="006B4165">
        <w:t xml:space="preserve"> relating to the identified trigger.</w:t>
      </w:r>
    </w:p>
    <w:p w:rsidRPr="006B4165" w:rsidR="009F1983" w:rsidP="009F1983" w:rsidRDefault="009F1983" w14:paraId="330343E8" w14:textId="1331194E">
      <w:pPr>
        <w:pStyle w:val="Heading3"/>
      </w:pPr>
      <w:r w:rsidRPr="006B4165">
        <w:t>Considerations under 3.11A.7(e)</w:t>
      </w:r>
    </w:p>
    <w:p w:rsidRPr="006B4165" w:rsidR="00920543" w:rsidP="009F1983" w:rsidRDefault="009F1983" w14:paraId="5F121BD1" w14:textId="41CB3671">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Pr="006B4165" w:rsidR="00920543">
        <w:t>:</w:t>
      </w:r>
    </w:p>
    <w:p w:rsidRPr="006B4165" w:rsidR="009F1983" w:rsidP="00032B5B" w:rsidRDefault="009F1983" w14:paraId="1F50F725" w14:textId="130CCAA1">
      <w:pPr>
        <w:pStyle w:val="ListBullet"/>
      </w:pPr>
      <w:r w:rsidRPr="006B4165">
        <w:t xml:space="preserve">the specification can be developed such that the service can be delivered by a range of technologies, in accordance with the </w:t>
      </w:r>
      <w:r w:rsidRPr="006B4165" w:rsidR="007C1AE1">
        <w:t>W</w:t>
      </w:r>
      <w:r w:rsidR="007C1AE1">
        <w:t>holesale Market</w:t>
      </w:r>
      <w:r w:rsidRPr="006B4165" w:rsidR="007C1AE1">
        <w:t xml:space="preserve"> </w:t>
      </w:r>
      <w:r w:rsidRPr="006B4165">
        <w:t>Objective</w:t>
      </w:r>
      <w:r w:rsidR="00A11390">
        <w:t>s</w:t>
      </w:r>
      <w:r w:rsidRPr="006B4165">
        <w:t xml:space="preserve"> under clause 1.2.1(c)</w:t>
      </w:r>
      <w:r w:rsidRPr="006B4165" w:rsidR="00920543">
        <w:t>; and</w:t>
      </w:r>
    </w:p>
    <w:p w:rsidRPr="006B4165" w:rsidR="00920543" w:rsidP="00032B5B" w:rsidRDefault="00920543" w14:paraId="6F09C9D5" w14:textId="09CDDF7A">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Pr="006B4165" w:rsidR="00DB1738">
        <w:t xml:space="preserve">, in accordance with </w:t>
      </w:r>
      <w:r w:rsidRPr="006B4165" w:rsidR="0007794C">
        <w:t xml:space="preserve">the </w:t>
      </w:r>
      <w:r w:rsidRPr="006B4165" w:rsidR="007C1AE1">
        <w:t>W</w:t>
      </w:r>
      <w:r w:rsidR="007C1AE1">
        <w:t xml:space="preserve">holesale </w:t>
      </w:r>
      <w:r w:rsidRPr="006B4165" w:rsidR="007C1AE1">
        <w:t>M</w:t>
      </w:r>
      <w:r w:rsidR="007C1AE1">
        <w:t>arket</w:t>
      </w:r>
      <w:r w:rsidRPr="006B4165" w:rsidR="007C1AE1">
        <w:t xml:space="preserve"> </w:t>
      </w:r>
      <w:r w:rsidRPr="006B4165" w:rsidR="0007794C">
        <w:t>Objectives in clauses 1.2.1(a)</w:t>
      </w:r>
      <w:r w:rsidRPr="006B4165" w:rsidR="00E62ED0">
        <w:t>, (b) and (d).</w:t>
      </w:r>
    </w:p>
    <w:p w:rsidRPr="006B4165" w:rsidR="009F1983" w:rsidP="009F1983" w:rsidRDefault="009F1983" w14:paraId="4919F77E" w14:textId="2E3147D4">
      <w:pPr>
        <w:pStyle w:val="Heading3"/>
      </w:pPr>
      <w:r w:rsidRPr="006B4165">
        <w:t>Considerations under 3.11A.7(</w:t>
      </w:r>
      <w:r w:rsidRPr="006B4165" w:rsidR="009B5C9F">
        <w:t>f</w:t>
      </w:r>
      <w:r w:rsidRPr="006B4165">
        <w:t>)</w:t>
      </w:r>
    </w:p>
    <w:p w:rsidR="00140F0F" w:rsidP="003C5F79" w:rsidRDefault="009F1983" w14:paraId="1B9713CE" w14:textId="09B9F4F2">
      <w:r w:rsidRPr="006B4165">
        <w:t xml:space="preserve">AEMO considers that the mitigation of issues identified in this submission are </w:t>
      </w:r>
      <w:r w:rsidRPr="006B4165" w:rsidR="00E62ED0">
        <w:t>in the long</w:t>
      </w:r>
      <w:r w:rsidRPr="006B4165" w:rsidR="00732697">
        <w:t>-</w:t>
      </w:r>
      <w:r w:rsidRPr="006B4165" w:rsidR="00E62ED0">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rsidR="001544E7" w:rsidP="003C5F79" w:rsidRDefault="001544E7" w14:paraId="4C0B718E" w14:textId="3DDA8356"/>
    <w:p w:rsidR="00C57E99" w:rsidP="00C57E99" w:rsidRDefault="00C57E99" w14:paraId="76AD697A" w14:textId="43CA068C">
      <w:pPr>
        <w:pStyle w:val="AppendixHeading"/>
      </w:pPr>
      <w:bookmarkStart w:name="_Toc120187601" w:id="22"/>
      <w:bookmarkStart w:name="_Ref120104006" w:id="23"/>
      <w:bookmarkStart w:name="_Ref120184657" w:id="24"/>
      <w:bookmarkStart w:name="_Ref120184661" w:id="25"/>
      <w:bookmarkStart w:name="_Toc121978580" w:id="26"/>
      <w:bookmarkEnd w:id="22"/>
      <w:r>
        <w:t xml:space="preserve">Operational </w:t>
      </w:r>
      <w:r w:rsidR="001C0237">
        <w:t>d</w:t>
      </w:r>
      <w:r>
        <w:t>emand</w:t>
      </w:r>
      <w:bookmarkEnd w:id="23"/>
      <w:r w:rsidR="00417EC4">
        <w:t xml:space="preserve"> vs </w:t>
      </w:r>
      <w:r w:rsidR="001C0237">
        <w:t xml:space="preserve">system </w:t>
      </w:r>
      <w:bookmarkEnd w:id="24"/>
      <w:bookmarkEnd w:id="25"/>
      <w:r w:rsidR="001C0237">
        <w:t>load</w:t>
      </w:r>
      <w:bookmarkEnd w:id="26"/>
    </w:p>
    <w:p w:rsidRPr="00C57E99" w:rsidR="00417EC4" w:rsidP="00AE3A5E" w:rsidRDefault="00417EC4" w14:paraId="74FCC3B4" w14:textId="007CC9AB">
      <w:pPr>
        <w:pStyle w:val="BodyText"/>
      </w:pPr>
      <w:r>
        <w:t>This submission discusses demand in the context of operational demand. The following extract from AEMO’s Renewable Energy Integration – SWIS Update report</w:t>
      </w:r>
      <w:r>
        <w:rPr>
          <w:rStyle w:val="FootnoteReference"/>
        </w:rPr>
        <w:footnoteReference w:id="15"/>
      </w:r>
      <w:r w:rsidRPr="0058376F">
        <w:t xml:space="preserve"> </w:t>
      </w:r>
      <w:r>
        <w:t>describe</w:t>
      </w:r>
      <w:r w:rsidR="00A8135A">
        <w:t>s</w:t>
      </w:r>
      <w:r>
        <w:t xml:space="preserve"> the differences.</w:t>
      </w:r>
    </w:p>
    <w:p w:rsidR="008D1B3C" w:rsidP="00AE3A5E" w:rsidRDefault="008D1B3C" w14:paraId="3FB86A3D" w14:textId="67BB1E95">
      <w:pPr>
        <w:pStyle w:val="CaptionTable"/>
      </w:pPr>
      <w:bookmarkStart w:name="_Toc121333361" w:id="27"/>
      <w:r>
        <w:t xml:space="preserve">System, </w:t>
      </w:r>
      <w:r w:rsidR="001C0237">
        <w:t xml:space="preserve">operational </w:t>
      </w:r>
      <w:r>
        <w:t xml:space="preserve">and </w:t>
      </w:r>
      <w:r w:rsidR="001C0237">
        <w:t>u</w:t>
      </w:r>
      <w:r>
        <w:t xml:space="preserve">nderlying </w:t>
      </w:r>
      <w:r w:rsidR="00F81D73">
        <w:t>demand</w:t>
      </w:r>
      <w:bookmarkEnd w:id="27"/>
    </w:p>
    <w:tbl>
      <w:tblPr>
        <w:tblStyle w:val="AEMO-Table4"/>
        <w:tblW w:w="9356" w:type="dxa"/>
        <w:tblLook w:val="04A0" w:firstRow="1" w:lastRow="0" w:firstColumn="1" w:lastColumn="0" w:noHBand="0" w:noVBand="1"/>
      </w:tblPr>
      <w:tblGrid>
        <w:gridCol w:w="2528"/>
        <w:gridCol w:w="2457"/>
        <w:gridCol w:w="2240"/>
        <w:gridCol w:w="2131"/>
      </w:tblGrid>
      <w:tr w:rsidRPr="00A279F3" w:rsidR="00261342" w:rsidTr="008D1B3C" w14:paraId="7A3A3C0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2AC09938" w14:textId="77777777">
            <w:pPr>
              <w:pStyle w:val="TableText"/>
            </w:pPr>
            <w:r w:rsidRPr="00A279F3">
              <w:t>Item</w:t>
            </w:r>
          </w:p>
        </w:tc>
        <w:tc>
          <w:tcPr>
            <w:tcW w:w="2457" w:type="dxa"/>
          </w:tcPr>
          <w:p w:rsidRPr="00A279F3" w:rsidR="00C57E99" w:rsidP="00B278FA" w:rsidRDefault="00C57E99" w14:paraId="39C2D655" w14:textId="77777777">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rsidRPr="00A279F3" w:rsidR="00C57E99" w:rsidP="00B278FA" w:rsidRDefault="00C57E99" w14:paraId="02A53E52" w14:textId="77777777">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rsidRPr="00A279F3" w:rsidR="00C57E99" w:rsidP="00B278FA" w:rsidRDefault="00C57E99" w14:paraId="18546F30" w14:textId="77777777">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Pr="00845B27" w:rsidR="00C57E99" w:rsidTr="00AE3A5E" w14:paraId="323836C6"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271E0D92" w14:textId="77777777">
            <w:pPr>
              <w:pStyle w:val="TableText"/>
            </w:pPr>
            <w:r w:rsidRPr="00A279F3">
              <w:t xml:space="preserve">Application </w:t>
            </w:r>
          </w:p>
        </w:tc>
        <w:tc>
          <w:tcPr>
            <w:tcW w:w="2457" w:type="dxa"/>
          </w:tcPr>
          <w:p w:rsidRPr="00E702FD" w:rsidR="00C57E99" w:rsidP="00B278FA" w:rsidRDefault="00C57E99" w14:paraId="46FB6DE2" w14:textId="77777777">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rsidRPr="00E702FD" w:rsidR="00C57E99" w:rsidP="00B278FA" w:rsidRDefault="00C57E99" w14:paraId="36B35AC2" w14:textId="77777777">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rsidRPr="00E702FD" w:rsidR="00C57E99" w:rsidP="00B278FA" w:rsidRDefault="00C57E99" w14:paraId="19AD8E49" w14:textId="77777777">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Pr="00845B27" w:rsidR="00C57E99" w:rsidTr="00AE3A5E" w14:paraId="2725B8A5"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319A22DF" w14:textId="77777777">
            <w:pPr>
              <w:pStyle w:val="TableText"/>
            </w:pPr>
            <w:r w:rsidRPr="00A279F3">
              <w:t>Data source</w:t>
            </w:r>
          </w:p>
        </w:tc>
        <w:tc>
          <w:tcPr>
            <w:tcW w:w="2457" w:type="dxa"/>
          </w:tcPr>
          <w:p w:rsidRPr="00E702FD" w:rsidR="00C57E99" w:rsidP="00B278FA" w:rsidRDefault="00C57E99" w14:paraId="01388FCB" w14:textId="77777777">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rsidRPr="00E702FD" w:rsidR="00C57E99" w:rsidP="00B278FA" w:rsidRDefault="00C57E99" w14:paraId="71F11CDC" w14:textId="77777777">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rsidRPr="00E702FD" w:rsidR="00C57E99" w:rsidP="00B278FA" w:rsidRDefault="00C57E99" w14:paraId="49ED1404" w14:textId="77777777">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Pr="00845B27" w:rsidR="00C57E99" w:rsidTr="00AE3A5E" w14:paraId="7352D7A4"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6D294796" w14:textId="77777777">
            <w:pPr>
              <w:pStyle w:val="TableText"/>
            </w:pPr>
            <w:r w:rsidRPr="00A279F3">
              <w:t>Measurement frequency</w:t>
            </w:r>
          </w:p>
        </w:tc>
        <w:tc>
          <w:tcPr>
            <w:tcW w:w="2457" w:type="dxa"/>
          </w:tcPr>
          <w:p w:rsidRPr="00E702FD" w:rsidR="00C57E99" w:rsidP="00B278FA" w:rsidRDefault="00C57E99" w14:paraId="63AC47CA" w14:textId="77777777">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rsidRPr="00E702FD" w:rsidR="00C57E99" w:rsidP="00B278FA" w:rsidRDefault="00C57E99" w14:paraId="634B0BCA" w14:textId="77777777">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rsidRPr="00E702FD" w:rsidR="00C57E99" w:rsidP="00B278FA" w:rsidRDefault="00C57E99" w14:paraId="51102471" w14:textId="77777777">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Pr="00845B27" w:rsidR="00C57E99" w:rsidTr="00AE3A5E" w14:paraId="364B98A2"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4C27B18D" w14:textId="77777777">
            <w:pPr>
              <w:pStyle w:val="TableText"/>
            </w:pPr>
            <w:r w:rsidRPr="00A279F3">
              <w:t>Loss factor adjusted to Reference Node</w:t>
            </w:r>
          </w:p>
        </w:tc>
        <w:tc>
          <w:tcPr>
            <w:tcW w:w="2457" w:type="dxa"/>
          </w:tcPr>
          <w:p w:rsidRPr="00E702FD" w:rsidR="00C57E99" w:rsidP="00B278FA" w:rsidRDefault="00C57E99" w14:paraId="29D35B8B" w14:textId="77777777">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rsidRPr="00E702FD" w:rsidR="00C57E99" w:rsidP="00B278FA" w:rsidRDefault="00C57E99" w14:paraId="2C6BBDDC"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rsidRPr="00E702FD" w:rsidR="00C57E99" w:rsidP="00B278FA" w:rsidRDefault="00C57E99" w14:paraId="3C5F7D02"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Pr="00845B27" w:rsidR="00C57E99" w:rsidTr="00AE3A5E" w14:paraId="3CA1F9EC"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0D2B4FB4" w14:textId="77777777">
            <w:pPr>
              <w:pStyle w:val="TableText"/>
            </w:pPr>
            <w:r w:rsidRPr="00A279F3">
              <w:t>Registered (Scheduled and Non-Scheduled) generation</w:t>
            </w:r>
          </w:p>
        </w:tc>
        <w:tc>
          <w:tcPr>
            <w:tcW w:w="2457" w:type="dxa"/>
          </w:tcPr>
          <w:p w:rsidRPr="00E702FD" w:rsidR="00C57E99" w:rsidP="00B278FA" w:rsidRDefault="00C57E99" w14:paraId="519D5F7E" w14:textId="77777777">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rsidRPr="00E702FD" w:rsidR="00C57E99" w:rsidP="00B278FA" w:rsidRDefault="00C57E99" w14:paraId="1D6539F8" w14:textId="77777777">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rsidRPr="00E702FD" w:rsidR="00C57E99" w:rsidP="00B278FA" w:rsidRDefault="00C57E99" w14:paraId="4F6DA6B9" w14:textId="77777777">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Pr="00845B27" w:rsidR="00C57E99" w:rsidTr="00AE3A5E" w14:paraId="4744E20D"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2CFDB019" w14:textId="77777777">
            <w:pPr>
              <w:pStyle w:val="TableText"/>
            </w:pPr>
            <w:r w:rsidRPr="00A279F3">
              <w:t>Unregistered generation</w:t>
            </w:r>
          </w:p>
        </w:tc>
        <w:tc>
          <w:tcPr>
            <w:tcW w:w="2457" w:type="dxa"/>
          </w:tcPr>
          <w:p w:rsidRPr="00E702FD" w:rsidR="00C57E99" w:rsidP="00B278FA" w:rsidRDefault="00C57E99" w14:paraId="1B596F00" w14:textId="77777777">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rsidRPr="00E702FD" w:rsidR="00C57E99" w:rsidP="00B278FA" w:rsidRDefault="00C57E99" w14:paraId="51040427"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rsidRPr="00E702FD" w:rsidR="00C57E99" w:rsidP="00B278FA" w:rsidRDefault="00C57E99" w14:paraId="22202C01"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Pr="00845B27" w:rsidR="00C57E99" w:rsidTr="00AE3A5E" w14:paraId="6D5E6AF2"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38A0F5B3" w14:textId="77777777">
            <w:pPr>
              <w:pStyle w:val="TableText"/>
            </w:pPr>
            <w:r w:rsidRPr="00A279F3">
              <w:t>DER generation</w:t>
            </w:r>
          </w:p>
        </w:tc>
        <w:tc>
          <w:tcPr>
            <w:tcW w:w="2457" w:type="dxa"/>
          </w:tcPr>
          <w:p w:rsidRPr="00EF6F97" w:rsidR="00C57E99" w:rsidP="00B278FA" w:rsidRDefault="00C57E99" w14:paraId="11FE99DD" w14:textId="77777777">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rsidRPr="00953334" w:rsidR="00C57E99" w:rsidP="00B278FA" w:rsidRDefault="00C57E99" w14:paraId="6F6171D9" w14:textId="77777777">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rsidRPr="00953334" w:rsidR="00C57E99" w:rsidP="00B278FA" w:rsidRDefault="00C57E99" w14:paraId="08598560" w14:textId="77777777">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rsidR="001544E7" w:rsidP="00417EC4" w:rsidRDefault="001544E7" w14:paraId="1D871AC9" w14:textId="3176F32D">
      <w:pPr>
        <w:pStyle w:val="BodyText"/>
      </w:pPr>
    </w:p>
    <w:p w:rsidR="001544E7" w:rsidRDefault="001544E7" w14:paraId="3B5BCF4D" w14:textId="77777777">
      <w:pPr>
        <w:spacing w:before="0" w:after="160" w:line="259" w:lineRule="auto"/>
      </w:pPr>
      <w:r>
        <w:br w:type="page"/>
      </w:r>
    </w:p>
    <w:p w:rsidR="00C57E99" w:rsidP="00C57E99" w:rsidRDefault="00C57E99" w14:paraId="3FE5B1D9" w14:textId="1C1EEBBA">
      <w:pPr>
        <w:pStyle w:val="AppendixHeading"/>
      </w:pPr>
      <w:bookmarkStart w:name="_Ref120184670" w:id="28"/>
      <w:bookmarkStart w:name="_Toc121978581" w:id="29"/>
      <w:r>
        <w:t>Re</w:t>
      </w:r>
      <w:r w:rsidR="00417EC4">
        <w:t>vis</w:t>
      </w:r>
      <w:r>
        <w:t xml:space="preserve">ed </w:t>
      </w:r>
      <w:r w:rsidR="00C15B4E">
        <w:t>planning criteria</w:t>
      </w:r>
      <w:bookmarkEnd w:id="28"/>
      <w:bookmarkEnd w:id="29"/>
    </w:p>
    <w:p w:rsidR="00C57E99" w:rsidP="00C57E99" w:rsidRDefault="001544E7" w14:paraId="1E905E02" w14:textId="1DA5885C">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rsidRPr="00C57E99" w:rsidR="00C57E99" w:rsidP="00C57E99" w:rsidRDefault="00C57E99" w14:paraId="7AB0EBB0" w14:textId="77777777">
      <w:pPr>
        <w:pStyle w:val="MRLevel3"/>
        <w:ind w:left="1712"/>
        <w:rPr>
          <w:rFonts w:cs="Arial" w:asciiTheme="minorHAnsi" w:hAnsiTheme="minorHAnsi"/>
          <w:sz w:val="20"/>
          <w:szCs w:val="20"/>
        </w:rPr>
      </w:pPr>
      <w:r w:rsidRPr="00C57E99">
        <w:rPr>
          <w:rFonts w:cs="Arial" w:asciiTheme="minorHAnsi" w:hAnsiTheme="minorHAnsi"/>
          <w:sz w:val="20"/>
          <w:szCs w:val="20"/>
        </w:rPr>
        <w:t>4.5.9.</w:t>
      </w:r>
      <w:r w:rsidRPr="00C57E99">
        <w:rPr>
          <w:rFonts w:cs="Arial" w:asciiTheme="minorHAnsi" w:hAnsiTheme="minorHAnsi"/>
          <w:sz w:val="20"/>
          <w:szCs w:val="20"/>
        </w:rPr>
        <w:tab/>
      </w:r>
      <w:r w:rsidRPr="00C57E99">
        <w:rPr>
          <w:rFonts w:cs="Arial" w:asciiTheme="minorHAnsi" w:hAnsiTheme="minorHAnsi"/>
          <w:sz w:val="20"/>
          <w:szCs w:val="20"/>
        </w:rPr>
        <w:t>The Planning Criterion to be used by AEMO in undertaking a Long Term PASA study is that there should be sufficient available capacity in each Capacity Year during the Long Term PASA Study Horizon to:</w:t>
      </w:r>
    </w:p>
    <w:p w:rsidRPr="00C57E99" w:rsidR="00C57E99" w:rsidP="00C57E99" w:rsidRDefault="00C57E99" w14:paraId="704EC475" w14:textId="77777777">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r>
      <w:r w:rsidRPr="00C57E99">
        <w:rPr>
          <w:rFonts w:asciiTheme="minorHAnsi" w:hAnsiTheme="minorHAnsi"/>
          <w:sz w:val="20"/>
          <w:szCs w:val="20"/>
        </w:rPr>
        <w:t>meet the forecast peak demand (including transmission losses and allowing for Intermittent Loads) supplied through the SWIS plus a reserve margin equal to the greater of:</w:t>
      </w:r>
    </w:p>
    <w:p w:rsidRPr="00C57E99" w:rsidR="00C57E99" w:rsidP="00C57E99" w:rsidRDefault="00C57E99" w14:paraId="18D3B0B8" w14:textId="77777777">
      <w:pPr>
        <w:pStyle w:val="MRLevel5"/>
        <w:ind w:left="3130"/>
        <w:rPr>
          <w:rFonts w:asciiTheme="minorHAnsi" w:hAnsiTheme="minorHAnsi"/>
          <w:sz w:val="20"/>
          <w:szCs w:val="20"/>
        </w:rPr>
      </w:pPr>
      <w:r w:rsidRPr="00C57E99">
        <w:rPr>
          <w:rFonts w:asciiTheme="minorHAnsi" w:hAnsiTheme="minorHAnsi"/>
          <w:sz w:val="20"/>
          <w:szCs w:val="20"/>
        </w:rPr>
        <w:t>i.</w:t>
      </w:r>
      <w:r w:rsidRPr="00C57E99">
        <w:rPr>
          <w:rFonts w:asciiTheme="minorHAnsi" w:hAnsiTheme="minorHAnsi"/>
          <w:sz w:val="20"/>
          <w:szCs w:val="20"/>
        </w:rPr>
        <w:tab/>
      </w:r>
      <w:r w:rsidRPr="00C57E99">
        <w:rPr>
          <w:rFonts w:asciiTheme="minorHAnsi" w:hAnsiTheme="minorHAnsi"/>
          <w:sz w:val="20"/>
          <w:szCs w:val="20"/>
        </w:rPr>
        <w:t>7.6% of the forecast peak demand (including transmission losses and allowing for Intermittent Loads); and</w:t>
      </w:r>
    </w:p>
    <w:p w:rsidRPr="00C57E99" w:rsidR="00C57E99" w:rsidP="00C57E99" w:rsidRDefault="00C57E99" w14:paraId="0C2F5232" w14:textId="3DF6AA60">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rsidRPr="00C57E99" w:rsidR="00C57E99" w:rsidP="00C57E99" w:rsidRDefault="00C57E99" w14:paraId="0E71095B" w14:textId="15BDC79F">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rsidRPr="006048F4" w:rsidR="00A27D28" w:rsidP="00FF3DC4" w:rsidRDefault="001544E7" w14:paraId="6F97750C" w14:textId="77777777">
      <w:pPr>
        <w:pStyle w:val="BodyText"/>
      </w:pPr>
      <w:r w:rsidRPr="006048F4">
        <w:t>AEMO</w:t>
      </w:r>
      <w:r w:rsidRPr="006048F4" w:rsidR="00411443">
        <w:t xml:space="preserve"> has forecast the </w:t>
      </w:r>
      <w:r w:rsidRPr="006048F4" w:rsidR="00EA1694">
        <w:t>Reserve Capacity Requirement</w:t>
      </w:r>
      <w:r w:rsidRPr="006048F4">
        <w:t xml:space="preserve"> </w:t>
      </w:r>
      <w:r w:rsidRPr="006048F4" w:rsidR="00EA1694">
        <w:t>for the</w:t>
      </w:r>
      <w:r w:rsidRPr="006048F4">
        <w:t xml:space="preserve"> </w:t>
      </w:r>
      <w:r w:rsidRPr="006048F4" w:rsidR="009276C7">
        <w:t xml:space="preserve">2024-25 Capacity Year </w:t>
      </w:r>
      <w:r w:rsidRPr="006048F4" w:rsidR="00CA1626">
        <w:t xml:space="preserve">using the </w:t>
      </w:r>
      <w:r w:rsidRPr="006048F4" w:rsidR="00A27D28">
        <w:t xml:space="preserve">following </w:t>
      </w:r>
      <w:r w:rsidRPr="006048F4" w:rsidR="00FF3DC4">
        <w:t>assumption</w:t>
      </w:r>
      <w:r w:rsidRPr="006048F4" w:rsidR="00EE313B">
        <w:t>s</w:t>
      </w:r>
      <w:r w:rsidRPr="006048F4" w:rsidR="00A27D28">
        <w:t>:</w:t>
      </w:r>
    </w:p>
    <w:p w:rsidRPr="009B0D52" w:rsidR="00473AE4" w:rsidP="00032B5B" w:rsidRDefault="00873A7B" w14:paraId="37A86945" w14:textId="593DF726">
      <w:pPr>
        <w:pStyle w:val="ListBullet"/>
      </w:pPr>
      <w:r w:rsidRPr="009B0D52">
        <w:t>T</w:t>
      </w:r>
      <w:r w:rsidRPr="009B0D52" w:rsidR="00FF3DC4">
        <w:t>he R</w:t>
      </w:r>
      <w:r w:rsidRPr="009B0D52" w:rsidR="001544E7">
        <w:t xml:space="preserve">egulation </w:t>
      </w:r>
      <w:r w:rsidRPr="009B0D52" w:rsidR="00A22855">
        <w:t xml:space="preserve">requirement </w:t>
      </w:r>
      <w:r w:rsidRPr="009B0D52" w:rsidR="00FF3DC4">
        <w:t xml:space="preserve">increases to </w:t>
      </w:r>
      <w:r w:rsidRPr="009B0D52" w:rsidR="00CA2713">
        <w:t>14</w:t>
      </w:r>
      <w:r w:rsidRPr="009B0D52" w:rsidR="008A02B4">
        <w:t>1 MW</w:t>
      </w:r>
      <w:r w:rsidRPr="009B0D52" w:rsidR="00F93250">
        <w:t xml:space="preserve"> based on increased share of intermittent generation</w:t>
      </w:r>
      <w:r w:rsidRPr="009B0D52" w:rsidR="0044155E">
        <w:t xml:space="preserve">, </w:t>
      </w:r>
      <w:r w:rsidRPr="009B0D52" w:rsidR="001544E7">
        <w:t xml:space="preserve">from the current </w:t>
      </w:r>
      <w:r w:rsidRPr="009B0D52" w:rsidR="004A387D">
        <w:t xml:space="preserve">110 </w:t>
      </w:r>
      <w:r w:rsidRPr="009B0D52" w:rsidR="001544E7">
        <w:t>MW of Load-Following Ancillary Services.</w:t>
      </w:r>
    </w:p>
    <w:p w:rsidRPr="00C514C7" w:rsidR="00D91A0E" w:rsidP="00032B5B" w:rsidRDefault="00D91A0E" w14:paraId="0A6ED322" w14:textId="46571654">
      <w:pPr>
        <w:pStyle w:val="ListBullet"/>
      </w:pPr>
      <w:r w:rsidRPr="00F81549">
        <w:t>The largest</w:t>
      </w:r>
      <w:r w:rsidRPr="006666E7" w:rsidR="00F60996">
        <w:t xml:space="preserve"> single</w:t>
      </w:r>
      <w:r w:rsidRPr="00354C06" w:rsidR="00677BE5">
        <w:t xml:space="preserve"> </w:t>
      </w:r>
      <w:r w:rsidRPr="00627931" w:rsidR="00E6127C">
        <w:t xml:space="preserve">peak </w:t>
      </w:r>
      <w:r w:rsidRPr="00522AD2" w:rsidR="00677BE5">
        <w:t>c</w:t>
      </w:r>
      <w:r w:rsidRPr="006649C0" w:rsidR="00677BE5">
        <w:t xml:space="preserve">ontingency is unchanged </w:t>
      </w:r>
      <w:r w:rsidRPr="00AD7295" w:rsidR="00E6127C">
        <w:t xml:space="preserve">from the largest </w:t>
      </w:r>
      <w:r w:rsidRPr="00AD7295" w:rsidR="00677BE5">
        <w:t>generation contingency</w:t>
      </w:r>
      <w:r w:rsidRPr="007B2B89" w:rsidR="00E6127C">
        <w:t>.</w:t>
      </w:r>
    </w:p>
    <w:p w:rsidR="006649D8" w:rsidP="00FF3DC4" w:rsidRDefault="006649D8" w14:paraId="1277AFA5" w14:textId="77777777">
      <w:pPr>
        <w:pStyle w:val="BodyText"/>
      </w:pPr>
    </w:p>
    <w:p w:rsidR="008341C7" w:rsidRDefault="008341C7" w14:paraId="5AF961C4" w14:textId="41CF17AE">
      <w:pPr>
        <w:spacing w:before="0" w:after="160" w:line="259" w:lineRule="auto"/>
        <w:rPr>
          <w:rFonts w:asciiTheme="majorHAnsi" w:hAnsiTheme="majorHAnsi" w:eastAsiaTheme="majorEastAsia" w:cstheme="majorBidi"/>
          <w:b/>
          <w:color w:val="6B3077" w:themeColor="accent1"/>
          <w:sz w:val="48"/>
          <w:szCs w:val="32"/>
        </w:rPr>
      </w:pPr>
      <w:r>
        <w:br w:type="page"/>
      </w:r>
    </w:p>
    <w:p w:rsidR="006649D8" w:rsidP="00032B5B" w:rsidRDefault="006E55E4" w14:paraId="40CC5576" w14:textId="704B0A22">
      <w:pPr>
        <w:pStyle w:val="AppendixHeading"/>
      </w:pPr>
      <w:bookmarkStart w:name="_Ref120523030" w:id="30"/>
      <w:bookmarkStart w:name="_Toc121978582" w:id="31"/>
      <w:r>
        <w:t xml:space="preserve">Supplementary </w:t>
      </w:r>
      <w:r w:rsidR="00CE57AF">
        <w:t>c</w:t>
      </w:r>
      <w:r>
        <w:t>apacity maximum contract price</w:t>
      </w:r>
      <w:bookmarkEnd w:id="30"/>
      <w:bookmarkEnd w:id="31"/>
    </w:p>
    <w:p w:rsidR="00AA0FF0" w:rsidP="006E55E4" w:rsidRDefault="00187237" w14:paraId="6E99482B" w14:textId="393F4B11">
      <w:pPr>
        <w:pStyle w:val="BodyText"/>
      </w:pPr>
      <w:r w:rsidRPr="00F92B37">
        <w:t xml:space="preserve">AEMO expects to set the </w:t>
      </w:r>
      <w:r w:rsidR="005178DC">
        <w:t>upper</w:t>
      </w:r>
      <w:r w:rsidRPr="00F92B37">
        <w:t xml:space="preserve"> price </w:t>
      </w:r>
      <w:r w:rsidR="005178DC">
        <w:t xml:space="preserve">limit </w:t>
      </w:r>
      <w:r w:rsidRPr="00F92B37">
        <w:t xml:space="preserve">for </w:t>
      </w:r>
      <w:r w:rsidR="00AA0FF0">
        <w:t>each</w:t>
      </w:r>
      <w:r w:rsidRPr="00F92B37">
        <w:t xml:space="preserve"> service at $</w:t>
      </w:r>
      <w:r w:rsidRPr="00223AD3" w:rsidR="00447C15">
        <w:t>743,033</w:t>
      </w:r>
      <w:r w:rsidRPr="00F92B37">
        <w:t xml:space="preserve">/MW/year, based on the </w:t>
      </w:r>
      <w:r w:rsidR="00CE57AF">
        <w:t>s</w:t>
      </w:r>
      <w:r w:rsidRPr="00F92B37">
        <w:t xml:space="preserve">upplementary </w:t>
      </w:r>
      <w:r w:rsidR="00CE57AF">
        <w:t>c</w:t>
      </w:r>
      <w:r w:rsidRPr="00F92B37">
        <w:t xml:space="preserve">apacity </w:t>
      </w:r>
      <w:r w:rsidR="00196312">
        <w:t>total</w:t>
      </w:r>
      <w:r w:rsidRPr="00F92B37">
        <w:t xml:space="preserve"> contract price, which represents the highest amount payable under the WEM Rules to avoid load-shedding. </w:t>
      </w:r>
    </w:p>
    <w:p w:rsidR="006E55E4" w:rsidP="006E55E4" w:rsidRDefault="00D345BD" w14:paraId="1D8FB403" w14:textId="13F9B99C">
      <w:pPr>
        <w:pStyle w:val="BodyText"/>
      </w:pPr>
      <w:r>
        <w:t xml:space="preserve">The </w:t>
      </w:r>
      <w:r w:rsidR="00196312">
        <w:t>total</w:t>
      </w:r>
      <w:r w:rsidR="00FD64A6">
        <w:t xml:space="preserve"> contract price </w:t>
      </w:r>
      <w:r w:rsidR="000864E1">
        <w:t>is calculated using the m</w:t>
      </w:r>
      <w:r w:rsidRPr="00966D5C" w:rsidR="000864E1">
        <w:t>aximum contract value</w:t>
      </w:r>
      <w:r w:rsidR="000864E1">
        <w:t xml:space="preserve"> </w:t>
      </w:r>
      <w:r w:rsidR="00F411CA">
        <w:t xml:space="preserve">formulation described in the </w:t>
      </w:r>
      <w:r w:rsidRPr="00F92B37" w:rsidR="00187237">
        <w:t>Supplementary Reserve Capacity WEM Procedure</w:t>
      </w:r>
      <w:r w:rsidRPr="00F41F0F" w:rsidR="00187237">
        <w:rPr>
          <w:vertAlign w:val="superscript"/>
        </w:rPr>
        <w:footnoteReference w:id="16"/>
      </w:r>
      <w:r w:rsidR="00DE37A3">
        <w:t>.</w:t>
      </w:r>
      <w:r w:rsidRPr="00F41F0F" w:rsidR="00187237">
        <w:rPr>
          <w:vertAlign w:val="superscript"/>
        </w:rPr>
        <w:t xml:space="preserve"> </w:t>
      </w:r>
      <w:r w:rsidRPr="00F92B37" w:rsidR="00187237">
        <w:t>In the absence of inputs to set pricing for the 2024-25 Capacity Year, AEMO has assumed</w:t>
      </w:r>
      <w:r w:rsidR="006514E9">
        <w:t xml:space="preserve"> the following</w:t>
      </w:r>
      <w:r w:rsidR="00EE348F">
        <w:t>:</w:t>
      </w:r>
      <w:r w:rsidRPr="00F92B37" w:rsidR="00187237">
        <w:t xml:space="preserve"> </w:t>
      </w:r>
    </w:p>
    <w:p w:rsidRPr="00032B5B" w:rsidR="00194994" w:rsidP="00032B5B" w:rsidRDefault="00194994" w14:paraId="482F330A" w14:textId="54F59F05">
      <w:pPr>
        <w:spacing w:before="0" w:after="160" w:line="259" w:lineRule="auto"/>
        <w:ind w:left="720"/>
      </w:pPr>
      <w:r w:rsidRPr="00032B5B">
        <w:t>M</w:t>
      </w:r>
      <w:r w:rsidRPr="00032B5B" w:rsidR="00331E9A">
        <w:t>aximum contract value</w:t>
      </w:r>
      <w:r w:rsidRPr="00032B5B" w:rsidR="00BC6E4A">
        <w:t xml:space="preserve"> </w:t>
      </w:r>
      <w:r w:rsidRPr="00032B5B">
        <w:t>(NPav, NPac, t) = (NPav + (NPac * t))</w:t>
      </w:r>
      <w:r w:rsidR="00CB1D8A">
        <w:t>/t</w:t>
      </w:r>
      <w:r w:rsidR="00320CA3">
        <w:t xml:space="preserve"> =</w:t>
      </w:r>
      <w:r w:rsidR="00D01DC5">
        <w:t xml:space="preserve"> </w:t>
      </w:r>
      <w:r w:rsidRPr="000557DE" w:rsidR="000557DE">
        <w:t>$2,</w:t>
      </w:r>
      <w:r w:rsidRPr="000820AE" w:rsidR="000820AE">
        <w:t>211.41</w:t>
      </w:r>
      <w:r w:rsidR="006D09F1">
        <w:t>/M</w:t>
      </w:r>
      <w:r w:rsidR="00371C93">
        <w:t>W</w:t>
      </w:r>
      <w:r w:rsidR="006D09F1">
        <w:t>h</w:t>
      </w:r>
      <w:r w:rsidRPr="00032B5B" w:rsidR="004A405F">
        <w:t>,</w:t>
      </w:r>
    </w:p>
    <w:p w:rsidRPr="00032B5B" w:rsidR="004251CC" w:rsidP="00032B5B" w:rsidRDefault="00315CA6" w14:paraId="2C98E444" w14:textId="039F7614">
      <w:pPr>
        <w:spacing w:before="0" w:after="160" w:line="259" w:lineRule="auto"/>
        <w:ind w:left="1440"/>
      </w:pPr>
      <w:r>
        <w:t>w</w:t>
      </w:r>
      <w:r w:rsidRPr="00032B5B" w:rsidR="0061287B">
        <w:t>here</w:t>
      </w:r>
      <w:r w:rsidR="00BD4A8B">
        <w:t>:</w:t>
      </w:r>
    </w:p>
    <w:p w:rsidR="00BD4A8B" w:rsidP="00032B5B" w:rsidRDefault="00BD33C7" w14:paraId="55EA9D02" w14:textId="03100983">
      <w:pPr>
        <w:spacing w:before="0" w:after="160" w:line="259" w:lineRule="auto"/>
        <w:ind w:left="1440"/>
      </w:pPr>
      <w:r>
        <w:t>NPav is the Notional Availability Price</w:t>
      </w:r>
      <w:r w:rsidR="00BC7AEA">
        <w:t>,</w:t>
      </w:r>
      <w:r w:rsidR="00BD4A8B">
        <w:t xml:space="preserve"> calculated as</w:t>
      </w:r>
      <w:r w:rsidR="009D0BAC">
        <w:t xml:space="preserve"> </w:t>
      </w:r>
      <w:r>
        <w:t>NPav(PRC, d) = PRC * d / x</w:t>
      </w:r>
      <w:r w:rsidR="00563D01">
        <w:t xml:space="preserve"> = $</w:t>
      </w:r>
      <w:r w:rsidRPr="00EF113C" w:rsidR="00EF113C">
        <w:t>58,937</w:t>
      </w:r>
      <w:r w:rsidR="00BC7AEA">
        <w:t>/MW</w:t>
      </w:r>
      <w:r w:rsidR="005B1301">
        <w:t>/year</w:t>
      </w:r>
      <w:r w:rsidR="00BD4A8B">
        <w:t>,</w:t>
      </w:r>
    </w:p>
    <w:p w:rsidR="00BD33C7" w:rsidP="00032B5B" w:rsidRDefault="00315CA6" w14:paraId="119EE9D6" w14:textId="19E9CC32">
      <w:pPr>
        <w:spacing w:before="0" w:after="160" w:line="259" w:lineRule="auto"/>
        <w:ind w:left="2160"/>
      </w:pPr>
      <w:r>
        <w:t>w</w:t>
      </w:r>
      <w:r w:rsidR="00BD4A8B">
        <w:t>here:</w:t>
      </w:r>
      <w:r w:rsidR="00BD33C7">
        <w:tab/>
      </w:r>
      <w:r w:rsidR="00BD33C7">
        <w:tab/>
      </w:r>
      <w:r w:rsidR="00BD33C7">
        <w:tab/>
      </w:r>
      <w:r w:rsidR="00BD33C7">
        <w:tab/>
      </w:r>
    </w:p>
    <w:p w:rsidR="00BD33C7" w:rsidP="00032B5B" w:rsidRDefault="00BD33C7" w14:paraId="1CFC480E" w14:textId="1EDF94D9">
      <w:pPr>
        <w:spacing w:before="0" w:after="160" w:line="259" w:lineRule="auto"/>
        <w:ind w:left="2160"/>
      </w:pPr>
      <w:r>
        <w:t>PRC is the Reserve Capacity Price for the Capacity Year for which the SRC is being procured</w:t>
      </w:r>
      <w:r w:rsidR="00372005">
        <w:t xml:space="preserve">, </w:t>
      </w:r>
      <w:r w:rsidR="007658D6">
        <w:t>which u</w:t>
      </w:r>
      <w:r w:rsidRPr="00443B56" w:rsidR="007658D6">
        <w:t xml:space="preserve">sing 2021 Reserve Capacity Cycle (2023-24 Capacity Year) </w:t>
      </w:r>
      <w:r w:rsidR="007658D6">
        <w:t>as a proxy is $</w:t>
      </w:r>
      <w:r w:rsidRPr="00A7000C" w:rsidR="007658D6">
        <w:t>105</w:t>
      </w:r>
      <w:r w:rsidR="007658D6">
        <w:t>,</w:t>
      </w:r>
      <w:r w:rsidRPr="00A7000C" w:rsidR="007658D6">
        <w:t>947</w:t>
      </w:r>
      <w:r w:rsidR="007658D6">
        <w:t>/</w:t>
      </w:r>
      <w:r>
        <w:t>MW</w:t>
      </w:r>
      <w:r w:rsidR="007658D6">
        <w:t>/year</w:t>
      </w:r>
      <w:r>
        <w:t>;</w:t>
      </w:r>
      <w:r>
        <w:tab/>
      </w:r>
    </w:p>
    <w:p w:rsidR="00BD33C7" w:rsidP="00032B5B" w:rsidRDefault="00BD33C7" w14:paraId="15650067" w14:textId="42CD368E">
      <w:pPr>
        <w:spacing w:before="0" w:after="160" w:line="259" w:lineRule="auto"/>
        <w:ind w:left="2160"/>
      </w:pPr>
      <w:r>
        <w:t xml:space="preserve">d is </w:t>
      </w:r>
      <w:r w:rsidR="00A412C2">
        <w:t xml:space="preserve">84, </w:t>
      </w:r>
      <w:r>
        <w:t xml:space="preserve">the term of the SRC contract in days; </w:t>
      </w:r>
    </w:p>
    <w:p w:rsidR="00BD33C7" w:rsidP="00032B5B" w:rsidRDefault="00BD33C7" w14:paraId="7C000272" w14:textId="46DC8512">
      <w:pPr>
        <w:spacing w:before="0" w:after="160" w:line="259" w:lineRule="auto"/>
        <w:ind w:left="2160"/>
      </w:pPr>
      <w:r>
        <w:t>x is 1</w:t>
      </w:r>
      <w:r w:rsidR="002A77EF">
        <w:t>5</w:t>
      </w:r>
      <w:r>
        <w:t>1 days, which is the length of the Hot Season.</w:t>
      </w:r>
      <w:r>
        <w:tab/>
      </w:r>
      <w:r>
        <w:tab/>
      </w:r>
      <w:r>
        <w:tab/>
      </w:r>
      <w:r>
        <w:tab/>
      </w:r>
    </w:p>
    <w:p w:rsidR="00BD33C7" w:rsidP="00032B5B" w:rsidRDefault="00BD33C7" w14:paraId="48697526" w14:textId="4EB6AD08">
      <w:pPr>
        <w:spacing w:before="0" w:after="160" w:line="259" w:lineRule="auto"/>
        <w:ind w:left="1440"/>
      </w:pPr>
      <w:r>
        <w:t>NPac is the Notional Activation Price</w:t>
      </w:r>
      <w:r w:rsidR="009767EF">
        <w:t>,</w:t>
      </w:r>
      <w:r>
        <w:t xml:space="preserve"> calculated as double the Alternative Maximum STEM Price </w:t>
      </w:r>
      <w:r w:rsidR="00C65130">
        <w:t>which for 2022 is $</w:t>
      </w:r>
      <w:r w:rsidRPr="007663D1" w:rsidR="00C65130">
        <w:t>1018</w:t>
      </w:r>
      <w:r w:rsidR="00C65130">
        <w:t>/</w:t>
      </w:r>
      <w:r>
        <w:t>MWh</w:t>
      </w:r>
      <w:r w:rsidR="00CF1852">
        <w:t xml:space="preserve">/Trading Interval or </w:t>
      </w:r>
      <w:r w:rsidRPr="00194696" w:rsidR="00194696">
        <w:t>$2,036</w:t>
      </w:r>
      <w:r w:rsidR="00194696">
        <w:t>/MWh</w:t>
      </w:r>
      <w:r>
        <w:t>.</w:t>
      </w:r>
      <w:r>
        <w:tab/>
      </w:r>
    </w:p>
    <w:p w:rsidR="00FD3E5E" w:rsidP="00032B5B" w:rsidRDefault="00BD33C7" w14:paraId="41A86B1D" w14:textId="1244F7B6">
      <w:pPr>
        <w:spacing w:before="0" w:after="160" w:line="259" w:lineRule="auto"/>
        <w:ind w:left="1440"/>
      </w:pPr>
      <w:r>
        <w:t xml:space="preserve">t is </w:t>
      </w:r>
      <w:r w:rsidR="00DE3104">
        <w:t>336</w:t>
      </w:r>
      <w:r>
        <w:t xml:space="preserve"> hours during which the capacity is expected to be required</w:t>
      </w:r>
      <w:r w:rsidR="002C49F2">
        <w:t xml:space="preserve"> (</w:t>
      </w:r>
      <w:r w:rsidR="00057B87">
        <w:t xml:space="preserve">4 hours </w:t>
      </w:r>
      <w:r w:rsidR="00313721">
        <w:t xml:space="preserve">every day for </w:t>
      </w:r>
      <w:r w:rsidR="006A0E2C">
        <w:t xml:space="preserve">the </w:t>
      </w:r>
      <w:r w:rsidR="0046198A">
        <w:t>term of the SRC contract</w:t>
      </w:r>
      <w:r w:rsidR="00313721">
        <w:t>)</w:t>
      </w:r>
    </w:p>
    <w:p w:rsidR="004C1787" w:rsidP="004C1787" w:rsidRDefault="003B7A50" w14:paraId="23C133BD" w14:textId="487CCB29">
      <w:pPr>
        <w:pStyle w:val="BodyText"/>
      </w:pPr>
      <w:r>
        <w:t>Given that</w:t>
      </w:r>
      <w:r w:rsidR="000F44E2">
        <w:t xml:space="preserve"> </w:t>
      </w:r>
      <w:r w:rsidR="00646A0C">
        <w:t xml:space="preserve">the services </w:t>
      </w:r>
      <w:r w:rsidR="00511C6F">
        <w:t>are expected to</w:t>
      </w:r>
      <w:r w:rsidRPr="00F92B37" w:rsidR="004C1787">
        <w:t xml:space="preserve"> be required for all </w:t>
      </w:r>
      <w:r w:rsidR="005B7441">
        <w:t>hours</w:t>
      </w:r>
      <w:r w:rsidRPr="00F92B37" w:rsidR="004C1787">
        <w:t xml:space="preserve"> of </w:t>
      </w:r>
      <w:r w:rsidR="00323DE7">
        <w:t>an</w:t>
      </w:r>
      <w:r w:rsidRPr="00F92B37" w:rsidR="004C1787">
        <w:t xml:space="preserve"> expected </w:t>
      </w:r>
      <w:r w:rsidR="00323DE7">
        <w:t>SRC</w:t>
      </w:r>
      <w:r w:rsidRPr="00F92B37" w:rsidR="004C1787">
        <w:t xml:space="preserve"> contract duration</w:t>
      </w:r>
      <w:r w:rsidR="0040078F">
        <w:t xml:space="preserve">, </w:t>
      </w:r>
      <w:r w:rsidR="00323DE7">
        <w:t>and will in fact be utilised for the entire year</w:t>
      </w:r>
      <w:r w:rsidR="0040078F">
        <w:t xml:space="preserve">, the </w:t>
      </w:r>
      <w:r w:rsidR="00D401C3">
        <w:t>total</w:t>
      </w:r>
      <w:r w:rsidR="001A4619">
        <w:t xml:space="preserve"> value will be notionally used t</w:t>
      </w:r>
      <w:r w:rsidR="00964586">
        <w:t>o</w:t>
      </w:r>
      <w:r w:rsidR="001A4619">
        <w:t xml:space="preserve"> set the </w:t>
      </w:r>
      <w:r w:rsidR="00EB2388">
        <w:t xml:space="preserve">upper price </w:t>
      </w:r>
      <w:r w:rsidR="001A4619">
        <w:t xml:space="preserve">limit for </w:t>
      </w:r>
      <w:r w:rsidR="009A0C20">
        <w:t>each service</w:t>
      </w:r>
      <w:r w:rsidR="00E5200E">
        <w:t>:</w:t>
      </w:r>
    </w:p>
    <w:p w:rsidR="00E5200E" w:rsidP="00032B5B" w:rsidRDefault="005A3737" w14:paraId="104ADCC5" w14:textId="07D466AD">
      <w:pPr>
        <w:pStyle w:val="BodyText"/>
        <w:ind w:firstLine="720"/>
      </w:pPr>
      <w:r>
        <w:t>Upper</w:t>
      </w:r>
      <w:r w:rsidR="001E7745">
        <w:t xml:space="preserve"> price </w:t>
      </w:r>
      <w:r>
        <w:t>limi</w:t>
      </w:r>
      <w:r w:rsidR="00255653">
        <w:t>t</w:t>
      </w:r>
      <w:r w:rsidR="001E7745">
        <w:t xml:space="preserve"> = </w:t>
      </w:r>
      <w:r w:rsidRPr="00966D5C" w:rsidR="00E5200E">
        <w:t xml:space="preserve">Maximum contract value </w:t>
      </w:r>
      <w:r w:rsidR="00E5200E">
        <w:t xml:space="preserve">*t = </w:t>
      </w:r>
      <w:r w:rsidRPr="000557DE" w:rsidR="00E5200E">
        <w:t>$2,</w:t>
      </w:r>
      <w:r w:rsidRPr="000820AE" w:rsidR="000820AE">
        <w:t>211.41</w:t>
      </w:r>
      <w:r w:rsidR="00E5200E">
        <w:t>/M</w:t>
      </w:r>
      <w:r w:rsidR="00371C93">
        <w:t>W</w:t>
      </w:r>
      <w:r w:rsidR="00E5200E">
        <w:t>h</w:t>
      </w:r>
      <w:r w:rsidR="00371C93">
        <w:t xml:space="preserve"> </w:t>
      </w:r>
      <w:r w:rsidR="00E5200E">
        <w:t>*</w:t>
      </w:r>
      <w:r w:rsidR="00371C93">
        <w:t xml:space="preserve"> </w:t>
      </w:r>
      <w:r w:rsidR="00A745C2">
        <w:t xml:space="preserve">336 = </w:t>
      </w:r>
      <w:r w:rsidRPr="00F92B37" w:rsidR="00E5200E">
        <w:t>$</w:t>
      </w:r>
      <w:r w:rsidRPr="00223AD3" w:rsidR="00223AD3">
        <w:t>743,033</w:t>
      </w:r>
      <w:r w:rsidRPr="00F92B37" w:rsidR="00E5200E">
        <w:t>/MW/year</w:t>
      </w:r>
      <w:r w:rsidR="00341BAE">
        <w:t>.</w:t>
      </w:r>
    </w:p>
    <w:p w:rsidR="00440094" w:rsidP="00CD2010" w:rsidRDefault="00BD33C7" w14:paraId="18F7CE91" w14:textId="77777777">
      <w:pPr>
        <w:spacing w:before="0" w:after="160" w:line="259" w:lineRule="auto"/>
      </w:pPr>
      <w:r>
        <w:tab/>
      </w:r>
      <w:r>
        <w:tab/>
      </w:r>
      <w:r>
        <w:tab/>
      </w:r>
    </w:p>
    <w:p w:rsidRPr="00CD2010" w:rsidR="009F1983" w:rsidP="00CD2010" w:rsidRDefault="009F1983" w14:paraId="5EBD9E85" w14:textId="7FB68AC2">
      <w:pPr>
        <w:spacing w:before="0" w:after="160" w:line="259" w:lineRule="auto"/>
        <w:rPr>
          <w:rFonts w:asciiTheme="majorHAnsi" w:hAnsiTheme="majorHAnsi" w:eastAsiaTheme="majorEastAsia" w:cstheme="majorBidi"/>
          <w:b/>
          <w:color w:val="6B3077" w:themeColor="accent1"/>
          <w:sz w:val="48"/>
          <w:szCs w:val="32"/>
        </w:rPr>
      </w:pPr>
    </w:p>
    <w:sectPr w:rsidRPr="00CD2010" w:rsidR="009F1983" w:rsidSect="00AE5141">
      <w:headerReference w:type="default" r:id="rId28"/>
      <w:pgSz w:w="11907" w:h="16840" w:code="9"/>
      <w:pgMar w:top="1985" w:right="907" w:bottom="1418" w:left="907" w:header="788" w:footer="47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P" w:author="Toby Price" w:date="2022-12-14T13:33:00Z" w:id="12">
    <w:p w:rsidRPr="00B626CA" w:rsidR="00B626CA" w:rsidP="00B626CA" w:rsidRDefault="0055735B" w14:paraId="20294111" w14:textId="5B48EC71">
      <w:pPr>
        <w:pStyle w:val="CommentText"/>
      </w:pPr>
      <w:r>
        <w:rPr>
          <w:rStyle w:val="CommentReference"/>
        </w:rPr>
        <w:annotationRef/>
      </w:r>
      <w:r>
        <w:t>Key statement for review</w:t>
      </w:r>
    </w:p>
    <w:p w:rsidR="00B626CA" w:rsidRDefault="00B626CA" w14:paraId="1C8B5C59" w14:textId="22DAF39A">
      <w:pPr>
        <w:pStyle w:val="CommentText"/>
      </w:pPr>
    </w:p>
  </w:comment>
  <w:comment w:initials="KR" w:author="Kate Ryan" w:date="2022-12-14T21:52:00Z" w:id="13">
    <w:p w:rsidR="00AF5951" w:rsidRDefault="00B44962" w14:paraId="070E8A5C" w14:textId="7ADB1625">
      <w:pPr>
        <w:pStyle w:val="CommentText"/>
      </w:pPr>
      <w:r>
        <w:rPr>
          <w:rStyle w:val="CommentReference"/>
        </w:rPr>
        <w:annotationRef/>
      </w:r>
      <w:r>
        <w:t>I’ve broadene</w:t>
      </w:r>
      <w:r w:rsidR="00130027">
        <w:t xml:space="preserve">d </w:t>
      </w:r>
      <w:r w:rsidR="004218B3">
        <w:t>as the outages we’re seeing are a combination of fuel limitations,</w:t>
      </w:r>
      <w:r w:rsidR="00AF5951">
        <w:t xml:space="preserve"> challenges </w:t>
      </w:r>
      <w:r w:rsidR="004218B3">
        <w:t>in scheduling and undertaking maintenance due to</w:t>
      </w:r>
      <w:r w:rsidR="00AF5951">
        <w:t xml:space="preserve"> a combination of tighter capacity, </w:t>
      </w:r>
      <w:r w:rsidR="00926476">
        <w:t>different</w:t>
      </w:r>
      <w:r w:rsidR="004218B3">
        <w:t xml:space="preserve"> operations </w:t>
      </w:r>
      <w:r w:rsidR="00926476">
        <w:t>(e.g. more starts)</w:t>
      </w:r>
      <w:r w:rsidR="000B45E9">
        <w:t xml:space="preserve">, </w:t>
      </w:r>
      <w:r w:rsidR="00810C70">
        <w:t>delays in getting work done</w:t>
      </w:r>
      <w:r w:rsidR="00926476">
        <w:t xml:space="preserve"> </w:t>
      </w:r>
      <w:r w:rsidR="004218B3">
        <w:t xml:space="preserve">and COVID catch up…all of which are likely to </w:t>
      </w:r>
      <w:r w:rsidR="00806594">
        <w:t>persist</w:t>
      </w:r>
      <w:r w:rsidR="004218B3">
        <w:t xml:space="preserve"> for </w:t>
      </w:r>
      <w:r w:rsidR="00806594">
        <w:t>a while</w:t>
      </w:r>
      <w:r w:rsidR="00CA1B82">
        <w:t xml:space="preserve"> at the same time as the fleet is aging</w:t>
      </w:r>
    </w:p>
  </w:comment>
  <w:comment w:initials="TP" w:author="Toby Price" w:date="2022-12-15T06:33:00Z" w:id="14">
    <w:p w:rsidR="00CE188F" w:rsidRDefault="00CE188F" w14:paraId="3FF63BE0" w14:textId="6463CCE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8B5C59" w15:done="0"/>
  <w15:commentEx w15:paraId="070E8A5C" w15:paraIdParent="1C8B5C59" w15:done="0"/>
  <w15:commentEx w15:paraId="3FF63BE0" w15:paraIdParent="1C8B5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444F46" w16cex:dateUtc="2022-12-14T05:33:00Z"/>
  <w16cex:commentExtensible w16cex:durableId="2744C400" w16cex:dateUtc="2022-12-14T13:52:00Z"/>
  <w16cex:commentExtensible w16cex:durableId="27453E34" w16cex:dateUtc="2022-12-14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8B5C59" w16cid:durableId="27444F46"/>
  <w16cid:commentId w16cid:paraId="070E8A5C" w16cid:durableId="2744C400"/>
  <w16cid:commentId w16cid:paraId="3FF63BE0" w16cid:durableId="27453E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38BC" w:rsidP="008E620E" w:rsidRDefault="00F838BC" w14:paraId="32EE2EFD" w14:textId="77777777">
      <w:pPr>
        <w:spacing w:before="0" w:after="0" w:line="240" w:lineRule="auto"/>
      </w:pPr>
      <w:r>
        <w:separator/>
      </w:r>
    </w:p>
  </w:endnote>
  <w:endnote w:type="continuationSeparator" w:id="0">
    <w:p w:rsidR="00F838BC" w:rsidP="008E620E" w:rsidRDefault="00F838BC" w14:paraId="2A6264FF" w14:textId="77777777">
      <w:pPr>
        <w:spacing w:before="0" w:after="0" w:line="240" w:lineRule="auto"/>
      </w:pPr>
      <w:r>
        <w:continuationSeparator/>
      </w:r>
    </w:p>
  </w:endnote>
  <w:endnote w:type="continuationNotice" w:id="1">
    <w:p w:rsidR="00F838BC" w:rsidRDefault="00F838BC" w14:paraId="14AB15D4"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panose1 w:val="00000000000000000000"/>
    <w:charset w:val="00"/>
    <w:family w:val="roman"/>
    <w:notTrueType/>
    <w:pitch w:val="default"/>
  </w:font>
  <w:font w:name="Century Goth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03E0" w:rsidP="009C3524" w:rsidRDefault="00C303E0" w14:paraId="7C958596" w14:textId="77777777">
    <w:pPr>
      <w:pStyle w:val="Footer"/>
    </w:pPr>
  </w:p>
  <w:tbl>
    <w:tblPr>
      <w:tblStyle w:val="TableGrid"/>
      <w:tblW w:w="5000" w:type="pct"/>
      <w:tblBorders>
        <w:top w:val="single" w:color="6B3077" w:themeColor="accent1" w:sz="4"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8470"/>
      <w:gridCol w:w="1623"/>
    </w:tblGrid>
    <w:tr w:rsidR="00C303E0" w:rsidTr="009C3524" w14:paraId="7C0255CF" w14:textId="77777777">
      <w:trPr>
        <w:trHeight w:val="340"/>
      </w:trPr>
      <w:tc>
        <w:tcPr>
          <w:tcW w:w="8470" w:type="dxa"/>
          <w:tcBorders>
            <w:top w:val="single" w:color="6B3077" w:themeColor="accent1" w:sz="4" w:space="0"/>
          </w:tcBorders>
          <w:vAlign w:val="bottom"/>
        </w:tcPr>
        <w:p w:rsidRPr="00354B8C" w:rsidR="00C303E0" w:rsidRDefault="00C303E0" w14:paraId="0F32C601" w14:textId="00D5CD7C">
          <w:pPr>
            <w:pStyle w:val="Footer"/>
          </w:pPr>
          <w:r w:rsidRPr="00354B8C">
            <w:t xml:space="preserve">© </w:t>
          </w:r>
          <w:r w:rsidRPr="00FF1CBF">
            <w:t>AEMO 2022</w:t>
          </w:r>
          <w:r w:rsidRPr="00354B8C">
            <w:t xml:space="preserve"> | </w:t>
          </w:r>
          <w:r>
            <w:fldChar w:fldCharType="begin"/>
          </w:r>
          <w:r>
            <w:instrText>STYLEREF  "Cover - Title"  \* MERGEFORMAT</w:instrText>
          </w:r>
          <w:r>
            <w:fldChar w:fldCharType="separate"/>
          </w:r>
          <w:r w:rsidR="005953AA">
            <w:rPr>
              <w:noProof/>
            </w:rPr>
            <w:t>Non-Co-optimised Essential System Services Trigger Submission</w:t>
          </w:r>
          <w:r>
            <w:fldChar w:fldCharType="end"/>
          </w:r>
        </w:p>
      </w:tc>
      <w:tc>
        <w:tcPr>
          <w:tcW w:w="1623" w:type="dxa"/>
          <w:tcBorders>
            <w:top w:val="single" w:color="6B3077" w:themeColor="accent1" w:sz="4" w:space="0"/>
          </w:tcBorders>
          <w:vAlign w:val="bottom"/>
        </w:tcPr>
        <w:p w:rsidR="00C303E0" w:rsidP="00354B8C" w:rsidRDefault="00C303E0" w14:paraId="29E2C73E" w14:textId="77777777">
          <w:pPr>
            <w:pStyle w:val="Footer"/>
            <w:jc w:val="right"/>
          </w:pPr>
          <w:r>
            <w:fldChar w:fldCharType="begin"/>
          </w:r>
          <w:r>
            <w:instrText xml:space="preserve"> PAGE  \* Arabic  \* MERGEFORMAT </w:instrText>
          </w:r>
          <w:r>
            <w:fldChar w:fldCharType="separate"/>
          </w:r>
          <w:r>
            <w:t>3</w:t>
          </w:r>
          <w:r>
            <w:fldChar w:fldCharType="end"/>
          </w:r>
        </w:p>
      </w:tc>
    </w:tr>
  </w:tbl>
  <w:p w:rsidR="00C303E0" w:rsidRDefault="00C303E0" w14:paraId="00A2E09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38BC" w:rsidP="008E620E" w:rsidRDefault="00F838BC" w14:paraId="4A553DDA" w14:textId="77777777">
      <w:pPr>
        <w:spacing w:before="0" w:after="0" w:line="240" w:lineRule="auto"/>
      </w:pPr>
      <w:r>
        <w:separator/>
      </w:r>
    </w:p>
  </w:footnote>
  <w:footnote w:type="continuationSeparator" w:id="0">
    <w:p w:rsidR="00F838BC" w:rsidP="008E620E" w:rsidRDefault="00F838BC" w14:paraId="0BC6CFE0" w14:textId="77777777">
      <w:pPr>
        <w:spacing w:before="0" w:after="0" w:line="240" w:lineRule="auto"/>
      </w:pPr>
      <w:r>
        <w:continuationSeparator/>
      </w:r>
    </w:p>
  </w:footnote>
  <w:footnote w:type="continuationNotice" w:id="1">
    <w:p w:rsidR="00F838BC" w:rsidRDefault="00F838BC" w14:paraId="4EE6048A" w14:textId="77777777">
      <w:pPr>
        <w:spacing w:before="0" w:after="0" w:line="240" w:lineRule="auto"/>
      </w:pPr>
    </w:p>
  </w:footnote>
  <w:footnote w:id="2">
    <w:p w:rsidR="000739F4" w:rsidP="000739F4" w:rsidRDefault="000739F4" w14:paraId="6C6873F5" w14:textId="19ECE6E2">
      <w:pPr>
        <w:pStyle w:val="FootnoteText"/>
      </w:pPr>
      <w:r>
        <w:rPr>
          <w:rStyle w:val="FootnoteReference"/>
        </w:rPr>
        <w:footnoteRef/>
      </w:r>
      <w:r>
        <w:t xml:space="preserve"> </w:t>
      </w:r>
      <w:r w:rsidR="008258FE">
        <w:t xml:space="preserve">Available at </w:t>
      </w:r>
      <w:r w:rsidRPr="003A2E4D" w:rsidR="008258FE">
        <w:t>https://aemo.com.au/-/media/files/electricity/wem/security_and_reliability/2021/renewable-energy-integration--swis-update.pdf</w:t>
      </w:r>
      <w:r w:rsidR="008258FE">
        <w:t>.</w:t>
      </w:r>
    </w:p>
  </w:footnote>
  <w:footnote w:id="3">
    <w:p w:rsidR="00CA3068" w:rsidRDefault="00CA3068" w14:paraId="2477D5D7" w14:textId="476584A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Pr="00087093" w:rsidR="00087093">
        <w:t xml:space="preserve"> version of the WEM </w:t>
      </w:r>
      <w:r w:rsidR="00A14969">
        <w:t xml:space="preserve">Rules, </w:t>
      </w:r>
      <w:r w:rsidR="00087093">
        <w:t>which shows</w:t>
      </w:r>
      <w:r w:rsidRPr="00087093" w:rsid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Pr="005155D3" w:rsidR="005155D3">
        <w:t xml:space="preserve"> </w:t>
      </w:r>
      <w:r w:rsidR="005155D3">
        <w:t>“</w:t>
      </w:r>
      <w:r w:rsidR="006F3CAE">
        <w:t>t</w:t>
      </w:r>
      <w:r w:rsidRPr="005155D3" w:rsid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Pr="00034952" w:rsidR="00034952">
        <w:t>he quantity of power or energy received from a Network</w:t>
      </w:r>
      <w:r w:rsidR="00034952">
        <w:t>”</w:t>
      </w:r>
      <w:r w:rsidR="00087093">
        <w:t xml:space="preserve">. Available at </w:t>
      </w:r>
      <w:r w:rsidRPr="006F3CAE" w:rsidR="006F3CAE">
        <w:t>https://www.wa.gov.au/government/publications/wem-rules-consolidated-companion-version</w:t>
      </w:r>
      <w:r w:rsidR="006F3CAE">
        <w:t>.</w:t>
      </w:r>
    </w:p>
  </w:footnote>
  <w:footnote w:id="4">
    <w:p w:rsidR="002E3CCF" w:rsidRDefault="002E3CCF" w14:paraId="1D65B5E6" w14:textId="1344867E">
      <w:pPr>
        <w:pStyle w:val="FootnoteText"/>
      </w:pPr>
      <w:r>
        <w:rPr>
          <w:rStyle w:val="FootnoteReference"/>
        </w:rPr>
        <w:footnoteRef/>
      </w:r>
      <w:r>
        <w:t xml:space="preserve"> S</w:t>
      </w:r>
      <w:r w:rsidRPr="002E3CCF">
        <w:t>ubject to AEMO’s operational review of the nominated activation process</w:t>
      </w:r>
      <w:r>
        <w:t>.</w:t>
      </w:r>
    </w:p>
  </w:footnote>
  <w:footnote w:id="5">
    <w:p w:rsidR="003028AA" w:rsidRDefault="003028AA" w14:paraId="574932E9" w14:textId="177D5B5C">
      <w:pPr>
        <w:pStyle w:val="FootnoteText"/>
      </w:pPr>
      <w:r>
        <w:rPr>
          <w:rStyle w:val="FootnoteReference"/>
        </w:rPr>
        <w:footnoteRef/>
      </w:r>
      <w:r>
        <w:t xml:space="preserve"> See Clause 5.2A.2 of the WEM Rules.</w:t>
      </w:r>
    </w:p>
  </w:footnote>
  <w:footnote w:id="6">
    <w:p w:rsidR="007C1AE1" w:rsidP="007C1AE1" w:rsidRDefault="007C1AE1" w14:paraId="225B82E2" w14:textId="77777777">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rsidR="002E7EE5" w:rsidRDefault="002E7EE5" w14:paraId="239160B6" w14:textId="0EAEEF59">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rsidR="009052F0" w:rsidRDefault="009052F0" w14:paraId="1094FD2D" w14:textId="48E571A7">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rsidR="0019259F" w:rsidRDefault="0019259F" w14:paraId="2FED188A" w14:textId="1321545C">
      <w:pPr>
        <w:pStyle w:val="FootnoteText"/>
      </w:pPr>
      <w:r>
        <w:rPr>
          <w:rStyle w:val="FootnoteReference"/>
        </w:rPr>
        <w:footnoteRef/>
      </w:r>
      <w:r>
        <w:t xml:space="preserve"> </w:t>
      </w:r>
      <w:r w:rsidR="00074BBA">
        <w:t>Kwinana ESR</w:t>
      </w:r>
      <w:r w:rsidR="007B0AFC">
        <w:t xml:space="preserve">1 </w:t>
      </w:r>
      <w:r w:rsidR="008D7462">
        <w:t>(</w:t>
      </w:r>
      <w:r w:rsidRPr="007B0AFC" w:rsidR="007B0AFC">
        <w:t>46.25</w:t>
      </w:r>
      <w:r w:rsidR="007B0AFC">
        <w:t xml:space="preserve"> Capacity Credits</w:t>
      </w:r>
      <w:r w:rsidR="008D7462">
        <w:t>)</w:t>
      </w:r>
      <w:r w:rsidR="006E257A">
        <w:t>.</w:t>
      </w:r>
    </w:p>
  </w:footnote>
  <w:footnote w:id="10">
    <w:p w:rsidR="008131FD" w:rsidRDefault="008131FD" w14:paraId="38521316" w14:textId="07704F88">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rsidR="000F1847" w:rsidP="000F1847" w:rsidRDefault="000F1847" w14:paraId="697817A7" w14:textId="3635B8A6">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2">
    <w:p w:rsidR="000F1847" w:rsidP="000F1847" w:rsidRDefault="000F1847" w14:paraId="3F30610C" w14:textId="7777777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3">
    <w:p w:rsidR="000F1847" w:rsidP="000F1847" w:rsidRDefault="000F1847" w14:paraId="3E07DB1B" w14:textId="7777777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4">
    <w:p w:rsidR="000F1847" w:rsidP="000F1847" w:rsidRDefault="000F1847" w14:paraId="4E6D7B2A" w14:textId="3AF30323">
      <w:pPr>
        <w:pStyle w:val="FootnoteText"/>
      </w:pPr>
      <w:r>
        <w:rPr>
          <w:rStyle w:val="FootnoteReference"/>
        </w:rPr>
        <w:footnoteRef/>
      </w:r>
      <w:r>
        <w:t xml:space="preserve"> Using Value of Customer Reliability of $</w:t>
      </w:r>
      <w:r w:rsidRPr="00B55AE4">
        <w:t>41</w:t>
      </w:r>
      <w:r>
        <w:t>,</w:t>
      </w:r>
      <w:r w:rsidRPr="00B55AE4">
        <w:t>080</w:t>
      </w:r>
      <w:r>
        <w:t>/MWh</w:t>
      </w:r>
      <w:r w:rsidRPr="00B56D42">
        <w:t xml:space="preserve"> </w:t>
      </w:r>
      <w:r>
        <w:t xml:space="preserve">as reported to the ERA in February 2022 as part of Western Power’s proposed Access Arrangement: </w:t>
      </w:r>
      <w:hyperlink w:history="1" r:id="rId1">
        <w:r w:rsidRPr="00847358" w:rsidR="001474F5">
          <w:rPr>
            <w:rStyle w:val="Hyperlink"/>
          </w:rPr>
          <w:t>https://www.erawa.com.au/cproot/22440/2/AAI---Attachment-6.3---Estimation-of-value-of-customer-reliability-for-Western-Power-s-network.pdf</w:t>
        </w:r>
      </w:hyperlink>
      <w:r>
        <w:t>.</w:t>
      </w:r>
    </w:p>
  </w:footnote>
  <w:footnote w:id="15">
    <w:p w:rsidR="00417EC4" w:rsidP="00417EC4" w:rsidRDefault="00417EC4" w14:paraId="46936197" w14:textId="1BE0EE31">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 w:id="16">
    <w:p w:rsidR="00187237" w:rsidP="00187237" w:rsidRDefault="00187237" w14:paraId="605BABB0" w14:textId="44640CE3">
      <w:pPr>
        <w:pStyle w:val="FootnoteText"/>
      </w:pPr>
      <w:r>
        <w:rPr>
          <w:rStyle w:val="FootnoteReference"/>
        </w:rPr>
        <w:footnoteRef/>
      </w:r>
      <w:r>
        <w:t xml:space="preserve"> Available at: </w:t>
      </w:r>
      <w:hyperlink w:history="1" r:id="rId2">
        <w:r w:rsidRPr="002740DD" w:rsidR="007D383F">
          <w:rPr>
            <w:rStyle w:val="Hyperlink"/>
          </w:rPr>
          <w:t>https://aemo.com.au/-/media/files/electricity/wem/procedures/2017/sc_supplementary-reserve-capacity---clean---18apr2017.pdf?la=en&amp;hash=213FE66575961F7AAF953DC916C4B6C7</w:t>
        </w:r>
      </w:hyperlink>
      <w:r w:rsidR="007D383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303E0" w:rsidP="00AF3454" w:rsidRDefault="00C303E0" w14:paraId="6881FB61" w14:textId="77777777">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DC386E" w:rsidR="00C303E0" w:rsidP="00033DD5" w:rsidRDefault="00C303E0" w14:paraId="40CCE9FC" w14:textId="667A9A3D">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w14:anchorId="58015FC9">
            <v:group id="Header Graphic"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spid="_x0000_s1026" w14:anchorId="728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style="position:absolute;width:8640;height:288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v:rect id="Constant colour" style="position:absolute;top:8665;width:2865;height:2865;visibility:visible;mso-wrap-style:square;v-text-anchor:middle" o:spid="_x0000_s1028" fillcolor="#6b3077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v:rect id="Section 6 Colour" style="position:absolute;left:2874;top:2902;width:5775;height:5775;visibility:hidden;mso-wrap-style:square;v-text-anchor:middle" o:spid="_x0000_s1029" fillcolor="#a1d883 [320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v:rect id="Section 5 Colour" style="position:absolute;left:2874;top:2902;width:5775;height:5775;visibility:hidden;mso-wrap-style:square;v-text-anchor:middle" o:spid="_x0000_s1030" fillcolor="#40c1ac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v:rect id="Section 4 Colour" style="position:absolute;left:2874;top:2902;width:5775;height:5775;visibility:hidden;mso-wrap-style:square;v-text-anchor:middle" o:spid="_x0000_s1031" fillcolor="#a2d9e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v:rect id="Section 3 Colour" style="position:absolute;left:2874;top:2902;width:5775;height:5775;visibility:hidden;mso-wrap-style:square;v-text-anchor:middle" o:spid="_x0000_s1032" fillcolor="#7d7fa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v:rect id="Section 2 Colour" style="position:absolute;left:2865;top:2897;width:5775;height:5775;visibility:visible;mso-wrap-style:square;v-text-anchor:middle" o:spid="_x0000_s1033" fillcolor="#9b2241 [320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v:rect id="Default Section Colour" style="position:absolute;left:2865;top:2890;width:5775;height:5775;visibility:visible;mso-wrap-style:square;v-text-anchor:middle" o:spid="_x0000_s1034" fillcolor="#9d57a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DC386E" w:rsidR="000002AE" w:rsidP="00033DD5" w:rsidRDefault="000002AE" w14:paraId="6A3D1B25" w14:textId="77777777">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w14:anchorId="79D35B0B">
            <v:group id="Header Graphic"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spid="_x0000_s1026" w14:anchorId="1D4082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style="position:absolute;width:8640;height:288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v:rect id="Constant colour" style="position:absolute;top:8665;width:2865;height:2865;visibility:visible;mso-wrap-style:square;v-text-anchor:middle" o:spid="_x0000_s1028" fillcolor="#6b3077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v:rect id="Section 6 Colour" style="position:absolute;left:2874;top:2902;width:5775;height:5775;visibility:hidden;mso-wrap-style:square;v-text-anchor:middle" o:spid="_x0000_s1029" fillcolor="#a1d883 [320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v:rect id="Section 5 Colour" style="position:absolute;left:2874;top:2902;width:5775;height:5775;visibility:hidden;mso-wrap-style:square;v-text-anchor:middle" o:spid="_x0000_s1030" fillcolor="#40c1ac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v:rect id="Section 4 Colour" style="position:absolute;left:2874;top:2902;width:5775;height:5775;visibility:hidden;mso-wrap-style:square;v-text-anchor:middle" o:spid="_x0000_s1031" fillcolor="#a2d9e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v:rect id="Section 3 Colour" style="position:absolute;left:2874;top:2902;width:5775;height:5775;visibility:hidden;mso-wrap-style:square;v-text-anchor:middle" o:spid="_x0000_s1032" fillcolor="#7d7fa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v:rect id="Section 2 Colour" style="position:absolute;left:2865;top:2897;width:5775;height:5775;visibility:visible;mso-wrap-style:square;v-text-anchor:middle" o:spid="_x0000_s1033" fillcolor="#9b2241 [320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v:rect id="Default Section Colour" style="position:absolute;left:2865;top:2890;width:5775;height:5775;visibility:visible;mso-wrap-style:square;v-text-anchor:middle" o:spid="_x0000_s1034" fillcolor="#9d57a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002AE" w:rsidP="00033DD5" w:rsidRDefault="000002AE" w14:paraId="07B5F54C" w14:textId="5F7FE783">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w14:anchorId="6196CBB3">
            <v:group id="Header Graphic"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spid="_x0000_s1026" w14:anchorId="1B3E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style="position:absolute;width:8640;height:288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v:rect id="Constant colour" style="position:absolute;top:8665;width:2865;height:2865;visibility:visible;mso-wrap-style:square;v-text-anchor:middle" o:spid="_x0000_s1028" fillcolor="#6b3077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v:rect id="Section 6 Colour" style="position:absolute;left:2874;top:2902;width:5775;height:5775;visibility:hidden;mso-wrap-style:square;v-text-anchor:middle" o:spid="_x0000_s1029" fillcolor="#a1d883 [320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v:rect id="Section 5 Colour" style="position:absolute;left:2874;top:2902;width:5775;height:5775;visibility:hidden;mso-wrap-style:square;v-text-anchor:middle" o:spid="_x0000_s1030" fillcolor="#40c1ac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v:rect id="Section 4 Colour" style="position:absolute;left:2874;top:2902;width:5775;height:5775;visibility:hidden;mso-wrap-style:square;v-text-anchor:middle" o:spid="_x0000_s1031" fillcolor="#a2d9e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v:rect id="Section 3 Colour" style="position:absolute;left:2874;top:2902;width:5775;height:5775;visibility:hidden;mso-wrap-style:square;v-text-anchor:middle" o:spid="_x0000_s1032" fillcolor="#7d7fa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v:rect id="Section 2 Colour" style="position:absolute;left:2865;top:2897;width:5775;height:5775;visibility:visible;mso-wrap-style:square;v-text-anchor:middle" o:spid="_x0000_s1033" fillcolor="#9b2241 [320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v:rect id="Default Section Colour" style="position:absolute;left:2865;top:2890;width:5775;height:5775;visibility:visible;mso-wrap-style:square;v-text-anchor:middle" o:spid="_x0000_s1034" fillcolor="#9d57a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w10:wrap type="tight" anchorx="page" anchory="page"/>
              <w10:anchorlock/>
            </v:group>
          </w:pict>
        </mc:Fallback>
      </mc:AlternateContent>
    </w:r>
    <w:r w:rsidR="00D87663">
      <w:t>Non-Co-optimised Essential System Services Trigger Submission</w:t>
    </w:r>
  </w:p>
  <w:p w:rsidRPr="00DC386E" w:rsidR="00D87663" w:rsidP="00033DD5" w:rsidRDefault="00D87663" w14:paraId="113D5C45" w14:textId="77777777">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162E1EC"/>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hint="default" w:ascii="Symbol" w:hAnsi="Symbol"/>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EF6250"/>
    <w:multiLevelType w:val="hybridMultilevel"/>
    <w:tmpl w:val="C8C8131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07476A6F"/>
    <w:multiLevelType w:val="hybridMultilevel"/>
    <w:tmpl w:val="D366AAD8"/>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0B822909"/>
    <w:multiLevelType w:val="hybridMultilevel"/>
    <w:tmpl w:val="92C8847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157B42D1"/>
    <w:multiLevelType w:val="multilevel"/>
    <w:tmpl w:val="9F980894"/>
    <w:lvl w:ilvl="0">
      <w:start w:val="1"/>
      <w:numFmt w:val="bullet"/>
      <w:pStyle w:val="TableBullet"/>
      <w:lvlText w:val=""/>
      <w:lvlJc w:val="left"/>
      <w:pPr>
        <w:ind w:left="170" w:hanging="170"/>
      </w:pPr>
      <w:rPr>
        <w:rFonts w:hint="default" w:ascii="Symbol" w:hAnsi="Symbol"/>
        <w:color w:val="6B3077" w:themeColor="accent1"/>
      </w:rPr>
    </w:lvl>
    <w:lvl w:ilvl="1">
      <w:start w:val="1"/>
      <w:numFmt w:val="bullet"/>
      <w:pStyle w:val="TableBullet2"/>
      <w:lvlText w:val="–"/>
      <w:lvlJc w:val="left"/>
      <w:pPr>
        <w:ind w:left="340" w:hanging="170"/>
      </w:pPr>
      <w:rPr>
        <w:rFonts w:hint="default" w:ascii="Arial" w:hAnsi="Arial"/>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9" w15:restartNumberingAfterBreak="0">
    <w:nsid w:val="1AD4693A"/>
    <w:multiLevelType w:val="hybridMultilevel"/>
    <w:tmpl w:val="4B00C7F2"/>
    <w:lvl w:ilvl="0" w:tplc="4B7EADD2">
      <w:start w:val="1"/>
      <w:numFmt w:val="bullet"/>
      <w:lvlText w:val="•"/>
      <w:lvlJc w:val="left"/>
      <w:pPr>
        <w:tabs>
          <w:tab w:val="num" w:pos="720"/>
        </w:tabs>
        <w:ind w:left="720" w:hanging="360"/>
      </w:pPr>
      <w:rPr>
        <w:rFonts w:hint="default" w:ascii="Arial" w:hAnsi="Arial"/>
      </w:rPr>
    </w:lvl>
    <w:lvl w:ilvl="1" w:tplc="BEF8DA14">
      <w:numFmt w:val="bullet"/>
      <w:lvlText w:val="•"/>
      <w:lvlJc w:val="left"/>
      <w:pPr>
        <w:tabs>
          <w:tab w:val="num" w:pos="1440"/>
        </w:tabs>
        <w:ind w:left="1440" w:hanging="360"/>
      </w:pPr>
      <w:rPr>
        <w:rFonts w:hint="default" w:ascii="Arial" w:hAnsi="Arial"/>
      </w:rPr>
    </w:lvl>
    <w:lvl w:ilvl="2" w:tplc="E5F6BD68" w:tentative="1">
      <w:start w:val="1"/>
      <w:numFmt w:val="bullet"/>
      <w:lvlText w:val="•"/>
      <w:lvlJc w:val="left"/>
      <w:pPr>
        <w:tabs>
          <w:tab w:val="num" w:pos="2160"/>
        </w:tabs>
        <w:ind w:left="2160" w:hanging="360"/>
      </w:pPr>
      <w:rPr>
        <w:rFonts w:hint="default" w:ascii="Arial" w:hAnsi="Arial"/>
      </w:rPr>
    </w:lvl>
    <w:lvl w:ilvl="3" w:tplc="C0CE47D6" w:tentative="1">
      <w:start w:val="1"/>
      <w:numFmt w:val="bullet"/>
      <w:lvlText w:val="•"/>
      <w:lvlJc w:val="left"/>
      <w:pPr>
        <w:tabs>
          <w:tab w:val="num" w:pos="2880"/>
        </w:tabs>
        <w:ind w:left="2880" w:hanging="360"/>
      </w:pPr>
      <w:rPr>
        <w:rFonts w:hint="default" w:ascii="Arial" w:hAnsi="Arial"/>
      </w:rPr>
    </w:lvl>
    <w:lvl w:ilvl="4" w:tplc="2A4ADB7C" w:tentative="1">
      <w:start w:val="1"/>
      <w:numFmt w:val="bullet"/>
      <w:lvlText w:val="•"/>
      <w:lvlJc w:val="left"/>
      <w:pPr>
        <w:tabs>
          <w:tab w:val="num" w:pos="3600"/>
        </w:tabs>
        <w:ind w:left="3600" w:hanging="360"/>
      </w:pPr>
      <w:rPr>
        <w:rFonts w:hint="default" w:ascii="Arial" w:hAnsi="Arial"/>
      </w:rPr>
    </w:lvl>
    <w:lvl w:ilvl="5" w:tplc="C7D831F6" w:tentative="1">
      <w:start w:val="1"/>
      <w:numFmt w:val="bullet"/>
      <w:lvlText w:val="•"/>
      <w:lvlJc w:val="left"/>
      <w:pPr>
        <w:tabs>
          <w:tab w:val="num" w:pos="4320"/>
        </w:tabs>
        <w:ind w:left="4320" w:hanging="360"/>
      </w:pPr>
      <w:rPr>
        <w:rFonts w:hint="default" w:ascii="Arial" w:hAnsi="Arial"/>
      </w:rPr>
    </w:lvl>
    <w:lvl w:ilvl="6" w:tplc="31BEC412" w:tentative="1">
      <w:start w:val="1"/>
      <w:numFmt w:val="bullet"/>
      <w:lvlText w:val="•"/>
      <w:lvlJc w:val="left"/>
      <w:pPr>
        <w:tabs>
          <w:tab w:val="num" w:pos="5040"/>
        </w:tabs>
        <w:ind w:left="5040" w:hanging="360"/>
      </w:pPr>
      <w:rPr>
        <w:rFonts w:hint="default" w:ascii="Arial" w:hAnsi="Arial"/>
      </w:rPr>
    </w:lvl>
    <w:lvl w:ilvl="7" w:tplc="969ECF0C" w:tentative="1">
      <w:start w:val="1"/>
      <w:numFmt w:val="bullet"/>
      <w:lvlText w:val="•"/>
      <w:lvlJc w:val="left"/>
      <w:pPr>
        <w:tabs>
          <w:tab w:val="num" w:pos="5760"/>
        </w:tabs>
        <w:ind w:left="5760" w:hanging="360"/>
      </w:pPr>
      <w:rPr>
        <w:rFonts w:hint="default" w:ascii="Arial" w:hAnsi="Arial"/>
      </w:rPr>
    </w:lvl>
    <w:lvl w:ilvl="8" w:tplc="86ACEE10"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1E793768"/>
    <w:multiLevelType w:val="hybridMultilevel"/>
    <w:tmpl w:val="9D5A270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72ABE"/>
    <w:multiLevelType w:val="hybridMultilevel"/>
    <w:tmpl w:val="C67ACE3E"/>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851C9"/>
    <w:multiLevelType w:val="hybridMultilevel"/>
    <w:tmpl w:val="FFFFFFFF"/>
    <w:lvl w:ilvl="0" w:tplc="812E3C7E">
      <w:start w:val="1"/>
      <w:numFmt w:val="bullet"/>
      <w:lvlText w:val=""/>
      <w:lvlJc w:val="left"/>
      <w:pPr>
        <w:ind w:left="720" w:hanging="360"/>
      </w:pPr>
      <w:rPr>
        <w:rFonts w:hint="default" w:ascii="Symbol" w:hAnsi="Symbol"/>
      </w:rPr>
    </w:lvl>
    <w:lvl w:ilvl="1" w:tplc="283000E6">
      <w:start w:val="1"/>
      <w:numFmt w:val="bullet"/>
      <w:lvlText w:val="o"/>
      <w:lvlJc w:val="left"/>
      <w:pPr>
        <w:ind w:left="1440" w:hanging="360"/>
      </w:pPr>
      <w:rPr>
        <w:rFonts w:hint="default" w:ascii="Courier New" w:hAnsi="Courier New"/>
      </w:rPr>
    </w:lvl>
    <w:lvl w:ilvl="2" w:tplc="DD28F14A">
      <w:start w:val="1"/>
      <w:numFmt w:val="bullet"/>
      <w:lvlText w:val=""/>
      <w:lvlJc w:val="left"/>
      <w:pPr>
        <w:ind w:left="2160" w:hanging="360"/>
      </w:pPr>
      <w:rPr>
        <w:rFonts w:hint="default" w:ascii="Wingdings" w:hAnsi="Wingdings"/>
      </w:rPr>
    </w:lvl>
    <w:lvl w:ilvl="3" w:tplc="36C6BE3C">
      <w:start w:val="1"/>
      <w:numFmt w:val="bullet"/>
      <w:lvlText w:val=""/>
      <w:lvlJc w:val="left"/>
      <w:pPr>
        <w:ind w:left="2880" w:hanging="360"/>
      </w:pPr>
      <w:rPr>
        <w:rFonts w:hint="default" w:ascii="Symbol" w:hAnsi="Symbol"/>
      </w:rPr>
    </w:lvl>
    <w:lvl w:ilvl="4" w:tplc="9EF6D6A6">
      <w:start w:val="1"/>
      <w:numFmt w:val="bullet"/>
      <w:lvlText w:val="o"/>
      <w:lvlJc w:val="left"/>
      <w:pPr>
        <w:ind w:left="3600" w:hanging="360"/>
      </w:pPr>
      <w:rPr>
        <w:rFonts w:hint="default" w:ascii="Courier New" w:hAnsi="Courier New"/>
      </w:rPr>
    </w:lvl>
    <w:lvl w:ilvl="5" w:tplc="1AB2A808">
      <w:start w:val="1"/>
      <w:numFmt w:val="bullet"/>
      <w:lvlText w:val=""/>
      <w:lvlJc w:val="left"/>
      <w:pPr>
        <w:ind w:left="4320" w:hanging="360"/>
      </w:pPr>
      <w:rPr>
        <w:rFonts w:hint="default" w:ascii="Wingdings" w:hAnsi="Wingdings"/>
      </w:rPr>
    </w:lvl>
    <w:lvl w:ilvl="6" w:tplc="EAA0B616">
      <w:start w:val="1"/>
      <w:numFmt w:val="bullet"/>
      <w:lvlText w:val=""/>
      <w:lvlJc w:val="left"/>
      <w:pPr>
        <w:ind w:left="5040" w:hanging="360"/>
      </w:pPr>
      <w:rPr>
        <w:rFonts w:hint="default" w:ascii="Symbol" w:hAnsi="Symbol"/>
      </w:rPr>
    </w:lvl>
    <w:lvl w:ilvl="7" w:tplc="FC5613BE">
      <w:start w:val="1"/>
      <w:numFmt w:val="bullet"/>
      <w:lvlText w:val="o"/>
      <w:lvlJc w:val="left"/>
      <w:pPr>
        <w:ind w:left="5760" w:hanging="360"/>
      </w:pPr>
      <w:rPr>
        <w:rFonts w:hint="default" w:ascii="Courier New" w:hAnsi="Courier New"/>
      </w:rPr>
    </w:lvl>
    <w:lvl w:ilvl="8" w:tplc="E6E0AC46">
      <w:start w:val="1"/>
      <w:numFmt w:val="bullet"/>
      <w:lvlText w:val=""/>
      <w:lvlJc w:val="left"/>
      <w:pPr>
        <w:ind w:left="6480" w:hanging="360"/>
      </w:pPr>
      <w:rPr>
        <w:rFonts w:hint="default" w:ascii="Wingdings" w:hAnsi="Wingdings"/>
      </w:rPr>
    </w:lvl>
  </w:abstractNum>
  <w:abstractNum w:abstractNumId="15" w15:restartNumberingAfterBreak="0">
    <w:nsid w:val="2CD46A21"/>
    <w:multiLevelType w:val="hybridMultilevel"/>
    <w:tmpl w:val="A49801F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2DEA1CAD"/>
    <w:multiLevelType w:val="hybridMultilevel"/>
    <w:tmpl w:val="43F4676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hint="default" w:ascii="Segoe UI Semilight" w:hAnsi="Segoe UI Semilight"/>
      </w:rPr>
    </w:lvl>
    <w:lvl w:ilvl="2">
      <w:start w:val="1"/>
      <w:numFmt w:val="bullet"/>
      <w:lvlText w:val="○"/>
      <w:lvlJc w:val="left"/>
      <w:pPr>
        <w:tabs>
          <w:tab w:val="num" w:pos="1135"/>
        </w:tabs>
        <w:ind w:left="1135" w:hanging="284"/>
      </w:pPr>
      <w:rPr>
        <w:rFonts w:hint="default" w:ascii="Arial" w:hAnsi="Arial"/>
      </w:rPr>
    </w:lvl>
    <w:lvl w:ilvl="3">
      <w:start w:val="1"/>
      <w:numFmt w:val="bullet"/>
      <w:lvlText w:val=""/>
      <w:lvlJc w:val="left"/>
      <w:pPr>
        <w:ind w:left="4386" w:hanging="360"/>
      </w:pPr>
      <w:rPr>
        <w:rFonts w:hint="default" w:ascii="Symbol" w:hAnsi="Symbol"/>
      </w:rPr>
    </w:lvl>
    <w:lvl w:ilvl="4">
      <w:start w:val="1"/>
      <w:numFmt w:val="bullet"/>
      <w:lvlText w:val="o"/>
      <w:lvlJc w:val="left"/>
      <w:pPr>
        <w:ind w:left="5106" w:hanging="360"/>
      </w:pPr>
      <w:rPr>
        <w:rFonts w:hint="default" w:ascii="Courier New" w:hAnsi="Courier New" w:cs="Courier New"/>
      </w:rPr>
    </w:lvl>
    <w:lvl w:ilvl="5">
      <w:start w:val="1"/>
      <w:numFmt w:val="bullet"/>
      <w:lvlText w:val=""/>
      <w:lvlJc w:val="left"/>
      <w:pPr>
        <w:ind w:left="5826" w:hanging="360"/>
      </w:pPr>
      <w:rPr>
        <w:rFonts w:hint="default" w:ascii="Wingdings" w:hAnsi="Wingdings"/>
      </w:rPr>
    </w:lvl>
    <w:lvl w:ilvl="6">
      <w:start w:val="1"/>
      <w:numFmt w:val="bullet"/>
      <w:lvlText w:val=""/>
      <w:lvlJc w:val="left"/>
      <w:pPr>
        <w:ind w:left="6546" w:hanging="360"/>
      </w:pPr>
      <w:rPr>
        <w:rFonts w:hint="default" w:ascii="Symbol" w:hAnsi="Symbol"/>
      </w:rPr>
    </w:lvl>
    <w:lvl w:ilvl="7">
      <w:start w:val="1"/>
      <w:numFmt w:val="bullet"/>
      <w:lvlText w:val="o"/>
      <w:lvlJc w:val="left"/>
      <w:pPr>
        <w:ind w:left="7266" w:hanging="360"/>
      </w:pPr>
      <w:rPr>
        <w:rFonts w:hint="default" w:ascii="Courier New" w:hAnsi="Courier New" w:cs="Courier New"/>
      </w:rPr>
    </w:lvl>
    <w:lvl w:ilvl="8">
      <w:start w:val="1"/>
      <w:numFmt w:val="bullet"/>
      <w:lvlText w:val=""/>
      <w:lvlJc w:val="left"/>
      <w:pPr>
        <w:ind w:left="7986" w:hanging="360"/>
      </w:pPr>
      <w:rPr>
        <w:rFonts w:hint="default" w:ascii="Wingdings" w:hAnsi="Wingdings"/>
      </w:rPr>
    </w:lvl>
  </w:abstractNum>
  <w:abstractNum w:abstractNumId="18"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C96EDB"/>
    <w:multiLevelType w:val="multilevel"/>
    <w:tmpl w:val="31E47A76"/>
    <w:lvl w:ilvl="0">
      <w:start w:val="1"/>
      <w:numFmt w:val="bullet"/>
      <w:lvlText w:val=""/>
      <w:lvlJc w:val="left"/>
      <w:pPr>
        <w:ind w:left="284" w:hanging="284"/>
      </w:pPr>
      <w:rPr>
        <w:rFonts w:hint="default" w:ascii="Symbol" w:hAnsi="Symbol"/>
        <w:color w:val="A3519B"/>
      </w:rPr>
    </w:lvl>
    <w:lvl w:ilvl="1">
      <w:start w:val="1"/>
      <w:numFmt w:val="bullet"/>
      <w:pStyle w:val="ListBullet2"/>
      <w:lvlText w:val="–"/>
      <w:lvlJc w:val="left"/>
      <w:pPr>
        <w:tabs>
          <w:tab w:val="num" w:pos="567"/>
        </w:tabs>
        <w:ind w:left="567" w:hanging="283"/>
      </w:pPr>
      <w:rPr>
        <w:rFonts w:hint="default" w:ascii="Segoe UI Semilight" w:hAnsi="Segoe UI Semilight"/>
      </w:rPr>
    </w:lvl>
    <w:lvl w:ilvl="2">
      <w:start w:val="1"/>
      <w:numFmt w:val="bullet"/>
      <w:pStyle w:val="ListBullet3"/>
      <w:lvlText w:val="○"/>
      <w:lvlJc w:val="left"/>
      <w:pPr>
        <w:tabs>
          <w:tab w:val="num" w:pos="851"/>
        </w:tabs>
        <w:ind w:left="851" w:hanging="284"/>
      </w:pPr>
      <w:rPr>
        <w:rFonts w:hint="default" w:ascii="Arial" w:hAnsi="Arial"/>
      </w:rPr>
    </w:lvl>
    <w:lvl w:ilvl="3">
      <w:start w:val="1"/>
      <w:numFmt w:val="bullet"/>
      <w:lvlText w:val=""/>
      <w:lvlJc w:val="left"/>
      <w:pPr>
        <w:ind w:left="4102" w:hanging="360"/>
      </w:pPr>
      <w:rPr>
        <w:rFonts w:hint="default" w:ascii="Symbol" w:hAnsi="Symbol"/>
      </w:rPr>
    </w:lvl>
    <w:lvl w:ilvl="4">
      <w:start w:val="1"/>
      <w:numFmt w:val="bullet"/>
      <w:lvlText w:val="o"/>
      <w:lvlJc w:val="left"/>
      <w:pPr>
        <w:ind w:left="4822" w:hanging="360"/>
      </w:pPr>
      <w:rPr>
        <w:rFonts w:hint="default" w:ascii="Courier New" w:hAnsi="Courier New" w:cs="Courier New"/>
      </w:rPr>
    </w:lvl>
    <w:lvl w:ilvl="5">
      <w:start w:val="1"/>
      <w:numFmt w:val="bullet"/>
      <w:lvlText w:val=""/>
      <w:lvlJc w:val="left"/>
      <w:pPr>
        <w:ind w:left="5542" w:hanging="360"/>
      </w:pPr>
      <w:rPr>
        <w:rFonts w:hint="default" w:ascii="Wingdings" w:hAnsi="Wingdings"/>
      </w:rPr>
    </w:lvl>
    <w:lvl w:ilvl="6">
      <w:start w:val="1"/>
      <w:numFmt w:val="bullet"/>
      <w:lvlText w:val=""/>
      <w:lvlJc w:val="left"/>
      <w:pPr>
        <w:ind w:left="6262" w:hanging="360"/>
      </w:pPr>
      <w:rPr>
        <w:rFonts w:hint="default" w:ascii="Symbol" w:hAnsi="Symbol"/>
      </w:rPr>
    </w:lvl>
    <w:lvl w:ilvl="7">
      <w:start w:val="1"/>
      <w:numFmt w:val="bullet"/>
      <w:lvlText w:val="o"/>
      <w:lvlJc w:val="left"/>
      <w:pPr>
        <w:ind w:left="6982" w:hanging="360"/>
      </w:pPr>
      <w:rPr>
        <w:rFonts w:hint="default" w:ascii="Courier New" w:hAnsi="Courier New" w:cs="Courier New"/>
      </w:rPr>
    </w:lvl>
    <w:lvl w:ilvl="8">
      <w:start w:val="1"/>
      <w:numFmt w:val="bullet"/>
      <w:lvlText w:val=""/>
      <w:lvlJc w:val="left"/>
      <w:pPr>
        <w:ind w:left="7702" w:hanging="360"/>
      </w:pPr>
      <w:rPr>
        <w:rFonts w:hint="default" w:ascii="Wingdings" w:hAnsi="Wingdings"/>
      </w:rPr>
    </w:lvl>
  </w:abstractNum>
  <w:abstractNum w:abstractNumId="20" w15:restartNumberingAfterBreak="0">
    <w:nsid w:val="372C5F94"/>
    <w:multiLevelType w:val="hybridMultilevel"/>
    <w:tmpl w:val="4A8C6062"/>
    <w:lvl w:ilvl="0" w:tplc="BC2212EC">
      <w:start w:val="1"/>
      <w:numFmt w:val="bullet"/>
      <w:pStyle w:val="ImportantNotice-Bullet"/>
      <w:lvlText w:val=""/>
      <w:lvlJc w:val="left"/>
      <w:pPr>
        <w:ind w:left="360" w:hanging="360"/>
      </w:pPr>
      <w:rPr>
        <w:rFonts w:hint="default" w:ascii="Symbol" w:hAnsi="Symbol"/>
        <w:color w:val="auto"/>
        <w:sz w:val="22"/>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hint="default" w:ascii="Symbol" w:hAnsi="Symbol"/>
        <w:color w:val="A3519B" w:themeColor="accent2"/>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hint="default" w:ascii="Symbol" w:hAnsi="Symbol"/>
        <w:color w:val="B46CC3" w:themeColor="accent1" w:themeTint="99"/>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3E7F42A5"/>
    <w:multiLevelType w:val="hybridMultilevel"/>
    <w:tmpl w:val="F5BE02C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4" w15:restartNumberingAfterBreak="0">
    <w:nsid w:val="470C6349"/>
    <w:multiLevelType w:val="hybridMultilevel"/>
    <w:tmpl w:val="FFFFFFFF"/>
    <w:lvl w:ilvl="0" w:tplc="561E2D84">
      <w:start w:val="1"/>
      <w:numFmt w:val="bullet"/>
      <w:lvlText w:val=""/>
      <w:lvlJc w:val="left"/>
      <w:pPr>
        <w:ind w:left="720" w:hanging="360"/>
      </w:pPr>
      <w:rPr>
        <w:rFonts w:hint="default" w:ascii="Symbol" w:hAnsi="Symbol"/>
      </w:rPr>
    </w:lvl>
    <w:lvl w:ilvl="1" w:tplc="ABD236F4">
      <w:start w:val="1"/>
      <w:numFmt w:val="bullet"/>
      <w:lvlText w:val="o"/>
      <w:lvlJc w:val="left"/>
      <w:pPr>
        <w:ind w:left="1440" w:hanging="360"/>
      </w:pPr>
      <w:rPr>
        <w:rFonts w:hint="default" w:ascii="Courier New" w:hAnsi="Courier New"/>
      </w:rPr>
    </w:lvl>
    <w:lvl w:ilvl="2" w:tplc="9998D760">
      <w:start w:val="1"/>
      <w:numFmt w:val="bullet"/>
      <w:lvlText w:val=""/>
      <w:lvlJc w:val="left"/>
      <w:pPr>
        <w:ind w:left="2160" w:hanging="360"/>
      </w:pPr>
      <w:rPr>
        <w:rFonts w:hint="default" w:ascii="Wingdings" w:hAnsi="Wingdings"/>
      </w:rPr>
    </w:lvl>
    <w:lvl w:ilvl="3" w:tplc="FCEEF4A8">
      <w:start w:val="1"/>
      <w:numFmt w:val="bullet"/>
      <w:lvlText w:val=""/>
      <w:lvlJc w:val="left"/>
      <w:pPr>
        <w:ind w:left="2880" w:hanging="360"/>
      </w:pPr>
      <w:rPr>
        <w:rFonts w:hint="default" w:ascii="Symbol" w:hAnsi="Symbol"/>
      </w:rPr>
    </w:lvl>
    <w:lvl w:ilvl="4" w:tplc="63C04E3C">
      <w:start w:val="1"/>
      <w:numFmt w:val="bullet"/>
      <w:lvlText w:val="o"/>
      <w:lvlJc w:val="left"/>
      <w:pPr>
        <w:ind w:left="3600" w:hanging="360"/>
      </w:pPr>
      <w:rPr>
        <w:rFonts w:hint="default" w:ascii="Courier New" w:hAnsi="Courier New"/>
      </w:rPr>
    </w:lvl>
    <w:lvl w:ilvl="5" w:tplc="CDA025AA">
      <w:start w:val="1"/>
      <w:numFmt w:val="bullet"/>
      <w:lvlText w:val=""/>
      <w:lvlJc w:val="left"/>
      <w:pPr>
        <w:ind w:left="4320" w:hanging="360"/>
      </w:pPr>
      <w:rPr>
        <w:rFonts w:hint="default" w:ascii="Wingdings" w:hAnsi="Wingdings"/>
      </w:rPr>
    </w:lvl>
    <w:lvl w:ilvl="6" w:tplc="36BC376E">
      <w:start w:val="1"/>
      <w:numFmt w:val="bullet"/>
      <w:lvlText w:val=""/>
      <w:lvlJc w:val="left"/>
      <w:pPr>
        <w:ind w:left="5040" w:hanging="360"/>
      </w:pPr>
      <w:rPr>
        <w:rFonts w:hint="default" w:ascii="Symbol" w:hAnsi="Symbol"/>
      </w:rPr>
    </w:lvl>
    <w:lvl w:ilvl="7" w:tplc="D0943922">
      <w:start w:val="1"/>
      <w:numFmt w:val="bullet"/>
      <w:lvlText w:val="o"/>
      <w:lvlJc w:val="left"/>
      <w:pPr>
        <w:ind w:left="5760" w:hanging="360"/>
      </w:pPr>
      <w:rPr>
        <w:rFonts w:hint="default" w:ascii="Courier New" w:hAnsi="Courier New"/>
      </w:rPr>
    </w:lvl>
    <w:lvl w:ilvl="8" w:tplc="1ADA5FB8">
      <w:start w:val="1"/>
      <w:numFmt w:val="bullet"/>
      <w:lvlText w:val=""/>
      <w:lvlJc w:val="left"/>
      <w:pPr>
        <w:ind w:left="6480" w:hanging="360"/>
      </w:pPr>
      <w:rPr>
        <w:rFonts w:hint="default" w:ascii="Wingdings" w:hAnsi="Wingdings"/>
      </w:rPr>
    </w:lvl>
  </w:abstractNum>
  <w:abstractNum w:abstractNumId="25" w15:restartNumberingAfterBreak="0">
    <w:nsid w:val="4BF823DD"/>
    <w:multiLevelType w:val="hybridMultilevel"/>
    <w:tmpl w:val="2F88E49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6"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9B017E"/>
    <w:multiLevelType w:val="hybridMultilevel"/>
    <w:tmpl w:val="FACE3EB0"/>
    <w:lvl w:ilvl="0" w:tplc="0C090001">
      <w:start w:val="1"/>
      <w:numFmt w:val="bullet"/>
      <w:lvlText w:val=""/>
      <w:lvlJc w:val="left"/>
      <w:pPr>
        <w:ind w:left="770" w:hanging="360"/>
      </w:pPr>
      <w:rPr>
        <w:rFonts w:hint="default" w:ascii="Symbol" w:hAnsi="Symbol"/>
      </w:rPr>
    </w:lvl>
    <w:lvl w:ilvl="1" w:tplc="0C090003" w:tentative="1">
      <w:start w:val="1"/>
      <w:numFmt w:val="bullet"/>
      <w:lvlText w:val="o"/>
      <w:lvlJc w:val="left"/>
      <w:pPr>
        <w:ind w:left="1490" w:hanging="360"/>
      </w:pPr>
      <w:rPr>
        <w:rFonts w:hint="default" w:ascii="Courier New" w:hAnsi="Courier New" w:cs="Courier New"/>
      </w:rPr>
    </w:lvl>
    <w:lvl w:ilvl="2" w:tplc="0C090005" w:tentative="1">
      <w:start w:val="1"/>
      <w:numFmt w:val="bullet"/>
      <w:lvlText w:val=""/>
      <w:lvlJc w:val="left"/>
      <w:pPr>
        <w:ind w:left="2210" w:hanging="360"/>
      </w:pPr>
      <w:rPr>
        <w:rFonts w:hint="default" w:ascii="Wingdings" w:hAnsi="Wingdings"/>
      </w:rPr>
    </w:lvl>
    <w:lvl w:ilvl="3" w:tplc="0C090001" w:tentative="1">
      <w:start w:val="1"/>
      <w:numFmt w:val="bullet"/>
      <w:lvlText w:val=""/>
      <w:lvlJc w:val="left"/>
      <w:pPr>
        <w:ind w:left="2930" w:hanging="360"/>
      </w:pPr>
      <w:rPr>
        <w:rFonts w:hint="default" w:ascii="Symbol" w:hAnsi="Symbol"/>
      </w:rPr>
    </w:lvl>
    <w:lvl w:ilvl="4" w:tplc="0C090003" w:tentative="1">
      <w:start w:val="1"/>
      <w:numFmt w:val="bullet"/>
      <w:lvlText w:val="o"/>
      <w:lvlJc w:val="left"/>
      <w:pPr>
        <w:ind w:left="3650" w:hanging="360"/>
      </w:pPr>
      <w:rPr>
        <w:rFonts w:hint="default" w:ascii="Courier New" w:hAnsi="Courier New" w:cs="Courier New"/>
      </w:rPr>
    </w:lvl>
    <w:lvl w:ilvl="5" w:tplc="0C090005" w:tentative="1">
      <w:start w:val="1"/>
      <w:numFmt w:val="bullet"/>
      <w:lvlText w:val=""/>
      <w:lvlJc w:val="left"/>
      <w:pPr>
        <w:ind w:left="4370" w:hanging="360"/>
      </w:pPr>
      <w:rPr>
        <w:rFonts w:hint="default" w:ascii="Wingdings" w:hAnsi="Wingdings"/>
      </w:rPr>
    </w:lvl>
    <w:lvl w:ilvl="6" w:tplc="0C090001" w:tentative="1">
      <w:start w:val="1"/>
      <w:numFmt w:val="bullet"/>
      <w:lvlText w:val=""/>
      <w:lvlJc w:val="left"/>
      <w:pPr>
        <w:ind w:left="5090" w:hanging="360"/>
      </w:pPr>
      <w:rPr>
        <w:rFonts w:hint="default" w:ascii="Symbol" w:hAnsi="Symbol"/>
      </w:rPr>
    </w:lvl>
    <w:lvl w:ilvl="7" w:tplc="0C090003" w:tentative="1">
      <w:start w:val="1"/>
      <w:numFmt w:val="bullet"/>
      <w:lvlText w:val="o"/>
      <w:lvlJc w:val="left"/>
      <w:pPr>
        <w:ind w:left="5810" w:hanging="360"/>
      </w:pPr>
      <w:rPr>
        <w:rFonts w:hint="default" w:ascii="Courier New" w:hAnsi="Courier New" w:cs="Courier New"/>
      </w:rPr>
    </w:lvl>
    <w:lvl w:ilvl="8" w:tplc="0C090005" w:tentative="1">
      <w:start w:val="1"/>
      <w:numFmt w:val="bullet"/>
      <w:lvlText w:val=""/>
      <w:lvlJc w:val="left"/>
      <w:pPr>
        <w:ind w:left="6530" w:hanging="360"/>
      </w:pPr>
      <w:rPr>
        <w:rFonts w:hint="default" w:ascii="Wingdings" w:hAnsi="Wingdings"/>
      </w:rPr>
    </w:lvl>
  </w:abstractNum>
  <w:abstractNum w:abstractNumId="28" w15:restartNumberingAfterBreak="0">
    <w:nsid w:val="513226EA"/>
    <w:multiLevelType w:val="multilevel"/>
    <w:tmpl w:val="31F2845C"/>
    <w:styleLink w:val="CurrentList1"/>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9"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B693A"/>
    <w:multiLevelType w:val="hybridMultilevel"/>
    <w:tmpl w:val="61243F7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2"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2D50D3"/>
    <w:multiLevelType w:val="hybridMultilevel"/>
    <w:tmpl w:val="E0D28ED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4"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D95635E"/>
    <w:multiLevelType w:val="hybridMultilevel"/>
    <w:tmpl w:val="9EE2C662"/>
    <w:lvl w:ilvl="0" w:tplc="1AAED512">
      <w:start w:val="1"/>
      <w:numFmt w:val="bullet"/>
      <w:lvlText w:val="•"/>
      <w:lvlJc w:val="left"/>
      <w:pPr>
        <w:tabs>
          <w:tab w:val="num" w:pos="720"/>
        </w:tabs>
        <w:ind w:left="720" w:hanging="360"/>
      </w:pPr>
      <w:rPr>
        <w:rFonts w:hint="default" w:ascii="Arial" w:hAnsi="Arial"/>
      </w:rPr>
    </w:lvl>
    <w:lvl w:ilvl="1" w:tplc="BC024FFA" w:tentative="1">
      <w:start w:val="1"/>
      <w:numFmt w:val="bullet"/>
      <w:lvlText w:val="•"/>
      <w:lvlJc w:val="left"/>
      <w:pPr>
        <w:tabs>
          <w:tab w:val="num" w:pos="1440"/>
        </w:tabs>
        <w:ind w:left="1440" w:hanging="360"/>
      </w:pPr>
      <w:rPr>
        <w:rFonts w:hint="default" w:ascii="Arial" w:hAnsi="Arial"/>
      </w:rPr>
    </w:lvl>
    <w:lvl w:ilvl="2" w:tplc="9878AFAC" w:tentative="1">
      <w:start w:val="1"/>
      <w:numFmt w:val="bullet"/>
      <w:lvlText w:val="•"/>
      <w:lvlJc w:val="left"/>
      <w:pPr>
        <w:tabs>
          <w:tab w:val="num" w:pos="2160"/>
        </w:tabs>
        <w:ind w:left="2160" w:hanging="360"/>
      </w:pPr>
      <w:rPr>
        <w:rFonts w:hint="default" w:ascii="Arial" w:hAnsi="Arial"/>
      </w:rPr>
    </w:lvl>
    <w:lvl w:ilvl="3" w:tplc="D55CB150" w:tentative="1">
      <w:start w:val="1"/>
      <w:numFmt w:val="bullet"/>
      <w:lvlText w:val="•"/>
      <w:lvlJc w:val="left"/>
      <w:pPr>
        <w:tabs>
          <w:tab w:val="num" w:pos="2880"/>
        </w:tabs>
        <w:ind w:left="2880" w:hanging="360"/>
      </w:pPr>
      <w:rPr>
        <w:rFonts w:hint="default" w:ascii="Arial" w:hAnsi="Arial"/>
      </w:rPr>
    </w:lvl>
    <w:lvl w:ilvl="4" w:tplc="E45E8722" w:tentative="1">
      <w:start w:val="1"/>
      <w:numFmt w:val="bullet"/>
      <w:lvlText w:val="•"/>
      <w:lvlJc w:val="left"/>
      <w:pPr>
        <w:tabs>
          <w:tab w:val="num" w:pos="3600"/>
        </w:tabs>
        <w:ind w:left="3600" w:hanging="360"/>
      </w:pPr>
      <w:rPr>
        <w:rFonts w:hint="default" w:ascii="Arial" w:hAnsi="Arial"/>
      </w:rPr>
    </w:lvl>
    <w:lvl w:ilvl="5" w:tplc="97669A62" w:tentative="1">
      <w:start w:val="1"/>
      <w:numFmt w:val="bullet"/>
      <w:lvlText w:val="•"/>
      <w:lvlJc w:val="left"/>
      <w:pPr>
        <w:tabs>
          <w:tab w:val="num" w:pos="4320"/>
        </w:tabs>
        <w:ind w:left="4320" w:hanging="360"/>
      </w:pPr>
      <w:rPr>
        <w:rFonts w:hint="default" w:ascii="Arial" w:hAnsi="Arial"/>
      </w:rPr>
    </w:lvl>
    <w:lvl w:ilvl="6" w:tplc="4ADC5BF4" w:tentative="1">
      <w:start w:val="1"/>
      <w:numFmt w:val="bullet"/>
      <w:lvlText w:val="•"/>
      <w:lvlJc w:val="left"/>
      <w:pPr>
        <w:tabs>
          <w:tab w:val="num" w:pos="5040"/>
        </w:tabs>
        <w:ind w:left="5040" w:hanging="360"/>
      </w:pPr>
      <w:rPr>
        <w:rFonts w:hint="default" w:ascii="Arial" w:hAnsi="Arial"/>
      </w:rPr>
    </w:lvl>
    <w:lvl w:ilvl="7" w:tplc="34644914" w:tentative="1">
      <w:start w:val="1"/>
      <w:numFmt w:val="bullet"/>
      <w:lvlText w:val="•"/>
      <w:lvlJc w:val="left"/>
      <w:pPr>
        <w:tabs>
          <w:tab w:val="num" w:pos="5760"/>
        </w:tabs>
        <w:ind w:left="5760" w:hanging="360"/>
      </w:pPr>
      <w:rPr>
        <w:rFonts w:hint="default" w:ascii="Arial" w:hAnsi="Arial"/>
      </w:rPr>
    </w:lvl>
    <w:lvl w:ilvl="8" w:tplc="D0A02884"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5F8E223E"/>
    <w:multiLevelType w:val="hybridMultilevel"/>
    <w:tmpl w:val="BB2C225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7"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255C08"/>
    <w:multiLevelType w:val="hybridMultilevel"/>
    <w:tmpl w:val="B404A840"/>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9" w15:restartNumberingAfterBreak="0">
    <w:nsid w:val="6EC36EC5"/>
    <w:multiLevelType w:val="hybridMultilevel"/>
    <w:tmpl w:val="31F2845C"/>
    <w:lvl w:ilvl="0" w:tplc="39EA36BA">
      <w:start w:val="1"/>
      <w:numFmt w:val="bullet"/>
      <w:pStyle w:val="Statement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0" w15:restartNumberingAfterBreak="0">
    <w:nsid w:val="6FA02447"/>
    <w:multiLevelType w:val="hybridMultilevel"/>
    <w:tmpl w:val="05C0E2F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1" w15:restartNumberingAfterBreak="0">
    <w:nsid w:val="72103259"/>
    <w:multiLevelType w:val="hybridMultilevel"/>
    <w:tmpl w:val="09CA0506"/>
    <w:lvl w:ilvl="0" w:tplc="F4F4BE1E">
      <w:start w:val="3"/>
      <w:numFmt w:val="bullet"/>
      <w:lvlText w:val="-"/>
      <w:lvlJc w:val="left"/>
      <w:pPr>
        <w:ind w:left="720" w:hanging="360"/>
      </w:pPr>
      <w:rPr>
        <w:rFonts w:hint="default" w:ascii="Arial Nova" w:hAnsi="Arial Nova"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2" w15:restartNumberingAfterBreak="0">
    <w:nsid w:val="73526A96"/>
    <w:multiLevelType w:val="hybridMultilevel"/>
    <w:tmpl w:val="7C4ABFB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3" w15:restartNumberingAfterBreak="0">
    <w:nsid w:val="744B38D3"/>
    <w:multiLevelType w:val="hybridMultilevel"/>
    <w:tmpl w:val="848EE168"/>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4" w15:restartNumberingAfterBreak="0">
    <w:nsid w:val="77FA7B90"/>
    <w:multiLevelType w:val="hybridMultilevel"/>
    <w:tmpl w:val="4968941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5"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2111066">
    <w:abstractNumId w:val="7"/>
  </w:num>
  <w:num w:numId="2" w16cid:durableId="1017003125">
    <w:abstractNumId w:val="39"/>
  </w:num>
  <w:num w:numId="3" w16cid:durableId="283735560">
    <w:abstractNumId w:val="28"/>
  </w:num>
  <w:num w:numId="4" w16cid:durableId="1628050313">
    <w:abstractNumId w:val="19"/>
  </w:num>
  <w:num w:numId="5" w16cid:durableId="563757754">
    <w:abstractNumId w:val="22"/>
  </w:num>
  <w:num w:numId="6" w16cid:durableId="520628590">
    <w:abstractNumId w:val="21"/>
  </w:num>
  <w:num w:numId="7" w16cid:durableId="258489339">
    <w:abstractNumId w:val="18"/>
  </w:num>
  <w:num w:numId="8" w16cid:durableId="1195343861">
    <w:abstractNumId w:val="6"/>
  </w:num>
  <w:num w:numId="9" w16cid:durableId="1013796573">
    <w:abstractNumId w:val="5"/>
  </w:num>
  <w:num w:numId="10" w16cid:durableId="1227646426">
    <w:abstractNumId w:val="26"/>
  </w:num>
  <w:num w:numId="11" w16cid:durableId="876237674">
    <w:abstractNumId w:val="20"/>
  </w:num>
  <w:num w:numId="12" w16cid:durableId="1505970573">
    <w:abstractNumId w:val="46"/>
  </w:num>
  <w:num w:numId="13" w16cid:durableId="1553420697">
    <w:abstractNumId w:val="34"/>
  </w:num>
  <w:num w:numId="14" w16cid:durableId="615597701">
    <w:abstractNumId w:val="1"/>
  </w:num>
  <w:num w:numId="15" w16cid:durableId="434250663">
    <w:abstractNumId w:val="8"/>
  </w:num>
  <w:num w:numId="16" w16cid:durableId="1891189689">
    <w:abstractNumId w:val="11"/>
  </w:num>
  <w:num w:numId="17" w16cid:durableId="1460147452">
    <w:abstractNumId w:val="23"/>
  </w:num>
  <w:num w:numId="18" w16cid:durableId="824011870">
    <w:abstractNumId w:val="31"/>
  </w:num>
  <w:num w:numId="19" w16cid:durableId="871501858">
    <w:abstractNumId w:val="29"/>
  </w:num>
  <w:num w:numId="20" w16cid:durableId="677929523">
    <w:abstractNumId w:val="32"/>
  </w:num>
  <w:num w:numId="21" w16cid:durableId="174685697">
    <w:abstractNumId w:val="25"/>
  </w:num>
  <w:num w:numId="22" w16cid:durableId="995693375">
    <w:abstractNumId w:val="14"/>
  </w:num>
  <w:num w:numId="23" w16cid:durableId="161630638">
    <w:abstractNumId w:val="24"/>
  </w:num>
  <w:num w:numId="24" w16cid:durableId="1593856554">
    <w:abstractNumId w:val="17"/>
  </w:num>
  <w:num w:numId="25" w16cid:durableId="1565752776">
    <w:abstractNumId w:val="2"/>
  </w:num>
  <w:num w:numId="26" w16cid:durableId="586428857">
    <w:abstractNumId w:val="4"/>
  </w:num>
  <w:num w:numId="27" w16cid:durableId="1064185155">
    <w:abstractNumId w:val="44"/>
  </w:num>
  <w:num w:numId="28" w16cid:durableId="516307533">
    <w:abstractNumId w:val="9"/>
  </w:num>
  <w:num w:numId="29" w16cid:durableId="1815875904">
    <w:abstractNumId w:val="26"/>
  </w:num>
  <w:num w:numId="30" w16cid:durableId="102695794">
    <w:abstractNumId w:val="26"/>
  </w:num>
  <w:num w:numId="31" w16cid:durableId="1823541900">
    <w:abstractNumId w:val="26"/>
  </w:num>
  <w:num w:numId="32" w16cid:durableId="1481190026">
    <w:abstractNumId w:val="26"/>
  </w:num>
  <w:num w:numId="33" w16cid:durableId="1030913483">
    <w:abstractNumId w:val="26"/>
  </w:num>
  <w:num w:numId="34" w16cid:durableId="916549229">
    <w:abstractNumId w:val="38"/>
  </w:num>
  <w:num w:numId="35" w16cid:durableId="347106019">
    <w:abstractNumId w:val="33"/>
  </w:num>
  <w:num w:numId="36" w16cid:durableId="1323311749">
    <w:abstractNumId w:val="15"/>
  </w:num>
  <w:num w:numId="37" w16cid:durableId="2012562201">
    <w:abstractNumId w:val="27"/>
  </w:num>
  <w:num w:numId="38" w16cid:durableId="1200818335">
    <w:abstractNumId w:val="3"/>
  </w:num>
  <w:num w:numId="39" w16cid:durableId="1647855244">
    <w:abstractNumId w:val="37"/>
  </w:num>
  <w:num w:numId="40" w16cid:durableId="821775338">
    <w:abstractNumId w:val="30"/>
  </w:num>
  <w:num w:numId="41" w16cid:durableId="114301668">
    <w:abstractNumId w:val="43"/>
  </w:num>
  <w:num w:numId="42" w16cid:durableId="1384059907">
    <w:abstractNumId w:val="40"/>
  </w:num>
  <w:num w:numId="43" w16cid:durableId="1818256807">
    <w:abstractNumId w:val="16"/>
  </w:num>
  <w:num w:numId="44" w16cid:durableId="116145594">
    <w:abstractNumId w:val="45"/>
  </w:num>
  <w:num w:numId="45" w16cid:durableId="1485197678">
    <w:abstractNumId w:val="13"/>
  </w:num>
  <w:num w:numId="46" w16cid:durableId="924607141">
    <w:abstractNumId w:val="36"/>
  </w:num>
  <w:num w:numId="47" w16cid:durableId="473571629">
    <w:abstractNumId w:val="42"/>
  </w:num>
  <w:num w:numId="48" w16cid:durableId="20865662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76707558">
    <w:abstractNumId w:val="41"/>
  </w:num>
  <w:num w:numId="50" w16cid:durableId="1547765312">
    <w:abstractNumId w:val="26"/>
  </w:num>
  <w:num w:numId="51" w16cid:durableId="1814835678">
    <w:abstractNumId w:val="19"/>
  </w:num>
  <w:num w:numId="52" w16cid:durableId="1107820673">
    <w:abstractNumId w:val="12"/>
  </w:num>
  <w:num w:numId="53" w16cid:durableId="2140368069">
    <w:abstractNumId w:val="10"/>
  </w:num>
  <w:num w:numId="54" w16cid:durableId="100541383">
    <w:abstractNumId w:val="0"/>
  </w:num>
  <w:num w:numId="55" w16cid:durableId="832187020">
    <w:abstractNumId w:val="3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by Price">
    <w15:presenceInfo w15:providerId="None" w15:userId="Toby Price"/>
  </w15:person>
  <w15:person w15:author="Kate Ryan">
    <w15:presenceInfo w15:providerId="AD" w15:userId="S::Kate.Ryan@aemo.com.au::2bceac97-016f-4f04-a5a9-0e29257d8fc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EBF"/>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45E9"/>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BA6"/>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DF4"/>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33"/>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027"/>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40F"/>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1AB"/>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510"/>
    <w:rsid w:val="00264B4F"/>
    <w:rsid w:val="0026529F"/>
    <w:rsid w:val="00265329"/>
    <w:rsid w:val="0026578E"/>
    <w:rsid w:val="002658FD"/>
    <w:rsid w:val="00266E16"/>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97EC2"/>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8EB"/>
    <w:rsid w:val="00317A56"/>
    <w:rsid w:val="003201EB"/>
    <w:rsid w:val="00320CA3"/>
    <w:rsid w:val="00322787"/>
    <w:rsid w:val="00322880"/>
    <w:rsid w:val="00322A07"/>
    <w:rsid w:val="00322B7E"/>
    <w:rsid w:val="00323424"/>
    <w:rsid w:val="00323DE7"/>
    <w:rsid w:val="00323E7E"/>
    <w:rsid w:val="0032401F"/>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ACD"/>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162"/>
    <w:rsid w:val="003E175D"/>
    <w:rsid w:val="003E1930"/>
    <w:rsid w:val="003E1C33"/>
    <w:rsid w:val="003E241C"/>
    <w:rsid w:val="003E2BB2"/>
    <w:rsid w:val="003E2F22"/>
    <w:rsid w:val="003E369E"/>
    <w:rsid w:val="003E373B"/>
    <w:rsid w:val="003E4199"/>
    <w:rsid w:val="003E429B"/>
    <w:rsid w:val="003E4498"/>
    <w:rsid w:val="003E44BF"/>
    <w:rsid w:val="003E4D5B"/>
    <w:rsid w:val="003E5149"/>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8B3"/>
    <w:rsid w:val="00421BA7"/>
    <w:rsid w:val="00421C9E"/>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07"/>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6F7A"/>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6D01"/>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9E5"/>
    <w:rsid w:val="00542B6D"/>
    <w:rsid w:val="00543030"/>
    <w:rsid w:val="00543061"/>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35B"/>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53AA"/>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6E2"/>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A1E"/>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875EE"/>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383F"/>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B49"/>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7E5"/>
    <w:rsid w:val="008049A3"/>
    <w:rsid w:val="00804ACC"/>
    <w:rsid w:val="00804FEE"/>
    <w:rsid w:val="00805B0C"/>
    <w:rsid w:val="00805D25"/>
    <w:rsid w:val="00805D3D"/>
    <w:rsid w:val="00806594"/>
    <w:rsid w:val="008067B0"/>
    <w:rsid w:val="0080688A"/>
    <w:rsid w:val="00807600"/>
    <w:rsid w:val="00807862"/>
    <w:rsid w:val="008079F9"/>
    <w:rsid w:val="00807C57"/>
    <w:rsid w:val="008100B4"/>
    <w:rsid w:val="0081093C"/>
    <w:rsid w:val="008109E2"/>
    <w:rsid w:val="00810A8E"/>
    <w:rsid w:val="00810C70"/>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269"/>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B7627"/>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B53"/>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DE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269"/>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B9F"/>
    <w:rsid w:val="00923C01"/>
    <w:rsid w:val="0092448A"/>
    <w:rsid w:val="00924FDD"/>
    <w:rsid w:val="009252A1"/>
    <w:rsid w:val="009254E3"/>
    <w:rsid w:val="009257D8"/>
    <w:rsid w:val="009257F0"/>
    <w:rsid w:val="009259AF"/>
    <w:rsid w:val="00925F69"/>
    <w:rsid w:val="009260D1"/>
    <w:rsid w:val="00926476"/>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6E0B"/>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E78"/>
    <w:rsid w:val="00A13F31"/>
    <w:rsid w:val="00A14820"/>
    <w:rsid w:val="00A14969"/>
    <w:rsid w:val="00A14977"/>
    <w:rsid w:val="00A14A2E"/>
    <w:rsid w:val="00A15121"/>
    <w:rsid w:val="00A15A79"/>
    <w:rsid w:val="00A15C80"/>
    <w:rsid w:val="00A15D96"/>
    <w:rsid w:val="00A17601"/>
    <w:rsid w:val="00A20443"/>
    <w:rsid w:val="00A2068A"/>
    <w:rsid w:val="00A20D50"/>
    <w:rsid w:val="00A210E8"/>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8C1"/>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AF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6FF6"/>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5951"/>
    <w:rsid w:val="00AF633C"/>
    <w:rsid w:val="00AF6706"/>
    <w:rsid w:val="00AF6850"/>
    <w:rsid w:val="00AF6E0A"/>
    <w:rsid w:val="00AF70B8"/>
    <w:rsid w:val="00AF73F5"/>
    <w:rsid w:val="00B00A74"/>
    <w:rsid w:val="00B00D42"/>
    <w:rsid w:val="00B01016"/>
    <w:rsid w:val="00B010E2"/>
    <w:rsid w:val="00B012F5"/>
    <w:rsid w:val="00B01380"/>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4962"/>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69E"/>
    <w:rsid w:val="00B57C1F"/>
    <w:rsid w:val="00B6008B"/>
    <w:rsid w:val="00B600C4"/>
    <w:rsid w:val="00B602C6"/>
    <w:rsid w:val="00B60FF9"/>
    <w:rsid w:val="00B6179F"/>
    <w:rsid w:val="00B61B0D"/>
    <w:rsid w:val="00B6240E"/>
    <w:rsid w:val="00B626CA"/>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D7D88"/>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385"/>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5A9"/>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B82"/>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88F"/>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1EC"/>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A88"/>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DB8"/>
    <w:rsid w:val="00DC3E5D"/>
    <w:rsid w:val="00DC52D4"/>
    <w:rsid w:val="00DC5499"/>
    <w:rsid w:val="00DC5EA7"/>
    <w:rsid w:val="00DC5FAF"/>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69"/>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9A3"/>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1CE1"/>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29D"/>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8BC"/>
    <w:rsid w:val="00F83941"/>
    <w:rsid w:val="00F83BFE"/>
    <w:rsid w:val="00F840B1"/>
    <w:rsid w:val="00F84E70"/>
    <w:rsid w:val="00F8531E"/>
    <w:rsid w:val="00F85BAC"/>
    <w:rsid w:val="00F8658A"/>
    <w:rsid w:val="00F86E52"/>
    <w:rsid w:val="00F86FB4"/>
    <w:rsid w:val="00F8725F"/>
    <w:rsid w:val="00F8733D"/>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92"/>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7592492F-41C8-4B47-BE3A-C8363CF6F3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hAnsiTheme="majorHAnsi" w:eastAsiaTheme="majorEastAsia"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hAnsiTheme="majorHAnsi" w:eastAsiaTheme="majorEastAsia"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hAnsiTheme="majorHAnsi" w:eastAsiaTheme="majorEastAsia"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hAnsiTheme="majorHAnsi" w:eastAsiaTheme="majorEastAsia"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hAnsiTheme="majorHAnsi" w:eastAsiaTheme="majorEastAsia"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hAnsiTheme="majorHAnsi" w:eastAsiaTheme="majorEastAsia"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hAnsiTheme="majorHAnsi" w:eastAsiaTheme="majorEastAsia" w:cstheme="majorBidi"/>
      <w:i/>
      <w:iCs/>
      <w:color w:val="5E5E5E"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styleId="BodyTextChar" w:customStyle="1">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next w:val="Normal"/>
    <w:link w:val="TitleChar"/>
    <w:uiPriority w:val="10"/>
    <w:rsid w:val="00E316A9"/>
    <w:pPr>
      <w:spacing w:after="0" w:line="240" w:lineRule="auto"/>
    </w:pPr>
    <w:rPr>
      <w:rFonts w:asciiTheme="majorHAnsi" w:hAnsiTheme="majorHAnsi" w:eastAsiaTheme="majorEastAsia" w:cstheme="majorBidi"/>
      <w:b/>
      <w:spacing w:val="-10"/>
      <w:kern w:val="28"/>
      <w:sz w:val="56"/>
      <w:szCs w:val="56"/>
    </w:rPr>
  </w:style>
  <w:style w:type="character" w:styleId="TitleChar" w:customStyle="1">
    <w:name w:val="Title Char"/>
    <w:basedOn w:val="DefaultParagraphFont"/>
    <w:link w:val="Title"/>
    <w:uiPriority w:val="10"/>
    <w:rsid w:val="00E316A9"/>
    <w:rPr>
      <w:rFonts w:asciiTheme="majorHAnsi" w:hAnsiTheme="majorHAnsi" w:eastAsiaTheme="majorEastAsia" w:cstheme="majorBidi"/>
      <w:b/>
      <w:spacing w:val="-10"/>
      <w:kern w:val="28"/>
      <w:sz w:val="56"/>
      <w:szCs w:val="56"/>
    </w:rPr>
  </w:style>
  <w:style w:type="paragraph" w:styleId="Cover-Title" w:customStyle="1">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styleId="DateChar" w:customStyle="1">
    <w:name w:val="Date Char"/>
    <w:basedOn w:val="DefaultParagraphFont"/>
    <w:link w:val="Date"/>
    <w:uiPriority w:val="99"/>
    <w:rsid w:val="00E316A9"/>
    <w:rPr>
      <w:color w:val="424242" w:themeColor="text1"/>
      <w:sz w:val="20"/>
    </w:rPr>
  </w:style>
  <w:style w:type="paragraph" w:styleId="Cover-Month" w:customStyle="1">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hAnsiTheme="majorHAnsi" w:eastAsiaTheme="minorEastAsia"/>
      <w:color w:val="FFFFFF" w:themeColor="background1"/>
      <w:sz w:val="32"/>
    </w:rPr>
  </w:style>
  <w:style w:type="character" w:styleId="SubtitleChar" w:customStyle="1">
    <w:name w:val="Subtitle Char"/>
    <w:basedOn w:val="DefaultParagraphFont"/>
    <w:link w:val="Subtitle"/>
    <w:uiPriority w:val="11"/>
    <w:rsid w:val="009B7A78"/>
    <w:rPr>
      <w:rFonts w:asciiTheme="majorHAnsi" w:hAnsiTheme="majorHAnsi" w:eastAsiaTheme="minorEastAsia"/>
      <w:color w:val="FFFFFF" w:themeColor="background1"/>
      <w:sz w:val="32"/>
    </w:rPr>
  </w:style>
  <w:style w:type="paragraph" w:styleId="Cover-Scope" w:customStyle="1">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styleId="Heading-P2" w:customStyle="1">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styleId="ImportantNotice-Subheading" w:customStyle="1">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styleId="ImportantNoticeBody" w:customStyle="1">
    <w:name w:val="Important Notice – Body"/>
    <w:basedOn w:val="Normal"/>
    <w:uiPriority w:val="99"/>
    <w:rsid w:val="00142865"/>
    <w:pPr>
      <w:tabs>
        <w:tab w:val="left" w:pos="1980"/>
      </w:tabs>
    </w:pPr>
    <w:rPr>
      <w:sz w:val="18"/>
    </w:rPr>
  </w:style>
  <w:style w:type="paragraph" w:styleId="ImportantNotice-VersionControl" w:customStyle="1">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styleId="TableText" w:customStyle="1">
    <w:name w:val="Table Text"/>
    <w:uiPriority w:val="3"/>
    <w:qFormat/>
    <w:rsid w:val="00CD2B3F"/>
    <w:pPr>
      <w:tabs>
        <w:tab w:val="left" w:pos="1980"/>
      </w:tabs>
      <w:spacing w:before="60" w:after="60" w:line="240" w:lineRule="auto"/>
    </w:pPr>
    <w:rPr>
      <w:sz w:val="16"/>
    </w:rPr>
  </w:style>
  <w:style w:type="paragraph" w:styleId="TableBullet" w:customStyle="1">
    <w:name w:val="Table Bullet"/>
    <w:basedOn w:val="TableText"/>
    <w:uiPriority w:val="4"/>
    <w:qFormat/>
    <w:rsid w:val="00D6136F"/>
    <w:pPr>
      <w:numPr>
        <w:numId w:val="1"/>
      </w:numPr>
    </w:pPr>
  </w:style>
  <w:style w:type="paragraph" w:styleId="TableBullet2" w:customStyle="1">
    <w:name w:val="Table Bullet 2"/>
    <w:basedOn w:val="TableText"/>
    <w:uiPriority w:val="4"/>
    <w:qFormat/>
    <w:rsid w:val="00D6136F"/>
    <w:pPr>
      <w:numPr>
        <w:ilvl w:val="1"/>
        <w:numId w:val="1"/>
      </w:numPr>
    </w:pPr>
  </w:style>
  <w:style w:type="paragraph" w:styleId="TableHeading" w:customStyle="1">
    <w:name w:val="Table Heading"/>
    <w:basedOn w:val="TableText"/>
    <w:uiPriority w:val="3"/>
    <w:qFormat/>
    <w:rsid w:val="00D6136F"/>
    <w:rPr>
      <w:b/>
    </w:rPr>
  </w:style>
  <w:style w:type="table" w:styleId="AEMO-Table1" w:customStyle="1">
    <w:name w:val="AEMO - Table 1"/>
    <w:basedOn w:val="TableNormal"/>
    <w:uiPriority w:val="99"/>
    <w:rsid w:val="00BC2061"/>
    <w:pPr>
      <w:spacing w:after="0" w:line="240" w:lineRule="auto"/>
    </w:pPr>
    <w:rPr>
      <w:sz w:val="24"/>
      <w:szCs w:val="24"/>
    </w:rPr>
    <w:tblPr>
      <w:tblStyleColBandSize w:val="1"/>
      <w:tblBorders>
        <w:bottom w:val="single" w:color="D9D9D9" w:themeColor="text1" w:themeTint="33" w:sz="4" w:space="0"/>
        <w:insideH w:val="single" w:color="D9D9D9" w:themeColor="text1" w:themeTint="33" w:sz="4" w:space="0"/>
      </w:tblBorders>
    </w:tblPr>
    <w:tblStylePr w:type="firstRow">
      <w:rPr>
        <w:b/>
        <w:i w:val="0"/>
        <w:color w:val="6B3077" w:themeColor="accent1"/>
      </w:rPr>
      <w:tblPr/>
      <w:trPr>
        <w:cantSplit/>
        <w:tblHeader/>
      </w:trPr>
      <w:tcPr>
        <w:tcBorders>
          <w:top w:val="single" w:color="3C1053" w:themeColor="text2" w:sz="4" w:space="0"/>
          <w:bottom w:val="single" w:color="3C1053" w:themeColor="text2" w:sz="4" w:space="0"/>
        </w:tcBorders>
      </w:tcPr>
    </w:tblStylePr>
    <w:tblStylePr w:type="firstCol">
      <w:rPr>
        <w:b/>
      </w:rPr>
      <w:tblPr/>
      <w:tcPr>
        <w:tcBorders>
          <w:insideH w:val="single" w:color="B3B3B3" w:themeColor="text1" w:themeTint="66" w:sz="4" w:space="0"/>
        </w:tcBorders>
        <w:shd w:val="clear" w:color="auto" w:fill="D9D9D9" w:themeFill="text1" w:themeFillTint="33"/>
      </w:tcPr>
    </w:tblStylePr>
    <w:tblStylePr w:type="band1Vert">
      <w:tblPr/>
      <w:tcPr>
        <w:shd w:val="clear" w:color="auto" w:fill="EEEEF0" w:themeFill="background2"/>
      </w:tcPr>
    </w:tblStylePr>
  </w:style>
  <w:style w:type="table" w:styleId="AEMO-Table2" w:customStyle="1">
    <w:name w:val="AEMO - Table 2"/>
    <w:basedOn w:val="TableNormal"/>
    <w:uiPriority w:val="99"/>
    <w:rsid w:val="00BC2061"/>
    <w:pPr>
      <w:spacing w:after="0" w:line="240" w:lineRule="auto"/>
    </w:pPr>
    <w:rPr>
      <w:sz w:val="24"/>
      <w:szCs w:val="24"/>
    </w:rPr>
    <w:tblPr>
      <w:tblStyleColBandSize w:val="1"/>
      <w:tblBorders>
        <w:top w:val="single" w:color="3C1053" w:themeColor="text2" w:sz="4" w:space="0"/>
        <w:bottom w:val="single" w:color="3C1053" w:themeColor="text2" w:sz="4" w:space="0"/>
        <w:insideH w:val="single" w:color="3C1053" w:themeColor="text2" w:sz="4" w:space="0"/>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styleId="AEMO-Table3" w:customStyle="1">
    <w:name w:val="AEMO - Table 3"/>
    <w:basedOn w:val="TableNormal"/>
    <w:uiPriority w:val="99"/>
    <w:rsid w:val="00BC2061"/>
    <w:pPr>
      <w:spacing w:after="0" w:line="240" w:lineRule="auto"/>
    </w:pPr>
    <w:rPr>
      <w:sz w:val="24"/>
      <w:szCs w:val="24"/>
    </w:rPr>
    <w:tblPr>
      <w:tblStyleColBandSize w:val="1"/>
      <w:tblBorders>
        <w:top w:val="single" w:color="6B3077" w:themeColor="accent1" w:sz="4" w:space="0"/>
        <w:left w:val="single" w:color="6B3077" w:themeColor="accent1" w:sz="4" w:space="0"/>
        <w:bottom w:val="single" w:color="6B3077" w:themeColor="accent1" w:sz="4" w:space="0"/>
        <w:right w:val="single" w:color="6B3077" w:themeColor="accent1" w:sz="4" w:space="0"/>
        <w:insideH w:val="single" w:color="6B3077" w:themeColor="accent1" w:sz="4" w:space="0"/>
        <w:insideV w:val="single" w:color="6B3077" w:themeColor="accent1" w:sz="4" w:space="0"/>
      </w:tblBorders>
    </w:tblPr>
    <w:tblStylePr w:type="firstRow">
      <w:rPr>
        <w:b/>
        <w:i w:val="0"/>
        <w:color w:val="FFFFFF" w:themeColor="background1"/>
      </w:rPr>
      <w:tblPr/>
      <w:trPr>
        <w:cantSplit/>
        <w:tblHeader/>
      </w:trPr>
      <w:tcPr>
        <w:tcBorders>
          <w:top w:val="single" w:color="6B3077" w:themeColor="accent1" w:sz="4" w:space="0"/>
          <w:left w:val="single" w:color="6B3077" w:themeColor="accent1" w:sz="4" w:space="0"/>
          <w:bottom w:val="single" w:color="6B3077" w:themeColor="accent1" w:sz="4" w:space="0"/>
          <w:right w:val="single" w:color="6B3077" w:themeColor="accent1" w:sz="4" w:space="0"/>
          <w:insideH w:val="single" w:color="6B3077" w:themeColor="accent1" w:sz="4" w:space="0"/>
          <w:insideV w:val="single" w:color="6B3077" w:themeColor="accent1" w:sz="4" w:space="0"/>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styleId="AEMO-Table4" w:customStyle="1">
    <w:name w:val="AEMO - Table 4"/>
    <w:basedOn w:val="TableNormal"/>
    <w:uiPriority w:val="99"/>
    <w:rsid w:val="00BC2061"/>
    <w:pPr>
      <w:spacing w:after="0" w:line="240" w:lineRule="auto"/>
    </w:pPr>
    <w:rPr>
      <w:sz w:val="24"/>
      <w:szCs w:val="24"/>
    </w:rPr>
    <w:tblPr>
      <w:tblStyleColBandSize w:val="1"/>
      <w:tblBorders>
        <w:insideH w:val="single" w:color="FFFFFF" w:themeColor="background1" w:sz="4" w:space="0"/>
        <w:insideV w:val="single" w:color="FFFFFF" w:themeColor="background1" w:sz="4" w:space="0"/>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styleId="Heading-Nonumber" w:customStyle="1">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styleId="BreakoutBoxHeading" w:customStyle="1">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styleId="FooterChar" w:customStyle="1">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styleId="FootnoteTextChar" w:customStyle="1">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styleId="Heading1Char" w:customStyle="1">
    <w:name w:val="Heading 1 Char"/>
    <w:basedOn w:val="DefaultParagraphFont"/>
    <w:link w:val="Heading1"/>
    <w:uiPriority w:val="9"/>
    <w:rsid w:val="00D573ED"/>
    <w:rPr>
      <w:rFonts w:asciiTheme="majorHAnsi" w:hAnsiTheme="majorHAnsi" w:eastAsiaTheme="majorEastAsia" w:cstheme="majorBidi"/>
      <w:b/>
      <w:color w:val="6B3077" w:themeColor="accent1"/>
      <w:sz w:val="48"/>
      <w:szCs w:val="32"/>
    </w:rPr>
  </w:style>
  <w:style w:type="character" w:styleId="Heading2Char" w:customStyle="1">
    <w:name w:val="Heading 2 Char"/>
    <w:basedOn w:val="DefaultParagraphFont"/>
    <w:link w:val="Heading2"/>
    <w:uiPriority w:val="9"/>
    <w:rsid w:val="005A0526"/>
    <w:rPr>
      <w:rFonts w:asciiTheme="majorHAnsi" w:hAnsiTheme="majorHAnsi" w:eastAsiaTheme="majorEastAsia" w:cstheme="majorBidi"/>
      <w:b/>
      <w:color w:val="A3519B" w:themeColor="accent2"/>
      <w:sz w:val="28"/>
      <w:szCs w:val="26"/>
    </w:rPr>
  </w:style>
  <w:style w:type="character" w:styleId="Heading3Char" w:customStyle="1">
    <w:name w:val="Heading 3 Char"/>
    <w:basedOn w:val="DefaultParagraphFont"/>
    <w:link w:val="Heading3"/>
    <w:uiPriority w:val="9"/>
    <w:rsid w:val="00C303E0"/>
    <w:rPr>
      <w:rFonts w:asciiTheme="majorHAnsi" w:hAnsiTheme="majorHAnsi" w:eastAsiaTheme="majorEastAsia" w:cstheme="majorBidi"/>
      <w:b/>
      <w:color w:val="A3519B" w:themeColor="accent2"/>
      <w:szCs w:val="28"/>
    </w:rPr>
  </w:style>
  <w:style w:type="character" w:styleId="Heading4Char" w:customStyle="1">
    <w:name w:val="Heading 4 Char"/>
    <w:basedOn w:val="DefaultParagraphFont"/>
    <w:link w:val="Heading4"/>
    <w:uiPriority w:val="9"/>
    <w:rsid w:val="00132AE8"/>
    <w:rPr>
      <w:rFonts w:asciiTheme="majorHAnsi" w:hAnsiTheme="majorHAnsi" w:eastAsiaTheme="majorEastAsia" w:cstheme="majorBidi"/>
      <w:iCs/>
      <w:color w:val="6B3077" w:themeColor="accent1"/>
    </w:rPr>
  </w:style>
  <w:style w:type="character" w:styleId="Heading5Char" w:customStyle="1">
    <w:name w:val="Heading 5 Char"/>
    <w:basedOn w:val="DefaultParagraphFont"/>
    <w:link w:val="Heading5"/>
    <w:uiPriority w:val="9"/>
    <w:rsid w:val="00C303E0"/>
    <w:rPr>
      <w:rFonts w:asciiTheme="majorHAnsi" w:hAnsiTheme="majorHAnsi" w:eastAsiaTheme="majorEastAsia" w:cstheme="majorBidi"/>
      <w:iCs/>
      <w:sz w:val="20"/>
      <w:szCs w:val="20"/>
    </w:rPr>
  </w:style>
  <w:style w:type="character" w:styleId="Heading6Char" w:customStyle="1">
    <w:name w:val="Heading 6 Char"/>
    <w:basedOn w:val="DefaultParagraphFont"/>
    <w:link w:val="Heading6"/>
    <w:uiPriority w:val="9"/>
    <w:rsid w:val="00C303E0"/>
    <w:rPr>
      <w:rFonts w:asciiTheme="majorHAnsi" w:hAnsiTheme="majorHAnsi" w:eastAsiaTheme="majorEastAsia" w:cstheme="majorBidi"/>
      <w:i/>
      <w:color w:val="424242" w:themeColor="text1"/>
      <w:sz w:val="20"/>
      <w:szCs w:val="20"/>
    </w:rPr>
  </w:style>
  <w:style w:type="character" w:styleId="Heading7Char" w:customStyle="1">
    <w:name w:val="Heading 7 Char"/>
    <w:basedOn w:val="DefaultParagraphFont"/>
    <w:link w:val="Heading7"/>
    <w:uiPriority w:val="9"/>
    <w:semiHidden/>
    <w:rsid w:val="00F27D76"/>
    <w:rPr>
      <w:rFonts w:asciiTheme="majorHAnsi" w:hAnsiTheme="majorHAnsi" w:eastAsiaTheme="majorEastAsia" w:cstheme="majorBidi"/>
      <w:i/>
      <w:iCs/>
      <w:color w:val="34183B" w:themeColor="accent1" w:themeShade="7F"/>
      <w:sz w:val="20"/>
    </w:rPr>
  </w:style>
  <w:style w:type="character" w:styleId="Heading8Char" w:customStyle="1">
    <w:name w:val="Heading 8 Char"/>
    <w:basedOn w:val="DefaultParagraphFont"/>
    <w:link w:val="Heading8"/>
    <w:uiPriority w:val="9"/>
    <w:semiHidden/>
    <w:rsid w:val="00F27D76"/>
    <w:rPr>
      <w:rFonts w:asciiTheme="majorHAnsi" w:hAnsiTheme="majorHAnsi" w:eastAsiaTheme="majorEastAsia" w:cstheme="majorBidi"/>
      <w:color w:val="5E5E5E" w:themeColor="text1" w:themeTint="D8"/>
      <w:sz w:val="21"/>
      <w:szCs w:val="21"/>
    </w:rPr>
  </w:style>
  <w:style w:type="character" w:styleId="Heading9Char" w:customStyle="1">
    <w:name w:val="Heading 9 Char"/>
    <w:basedOn w:val="DefaultParagraphFont"/>
    <w:link w:val="Heading9"/>
    <w:uiPriority w:val="9"/>
    <w:semiHidden/>
    <w:rsid w:val="00F27D76"/>
    <w:rPr>
      <w:rFonts w:asciiTheme="majorHAnsi" w:hAnsiTheme="majorHAnsi" w:eastAsiaTheme="majorEastAsia" w:cstheme="majorBidi"/>
      <w:i/>
      <w:iCs/>
      <w:color w:val="5E5E5E" w:themeColor="text1" w:themeTint="D8"/>
      <w:sz w:val="21"/>
      <w:szCs w:val="21"/>
    </w:rPr>
  </w:style>
  <w:style w:type="paragraph" w:styleId="HeadlineStatement" w:customStyle="1">
    <w:name w:val="Headline Statement"/>
    <w:basedOn w:val="BodyText"/>
    <w:qFormat/>
    <w:rsid w:val="00617831"/>
    <w:pPr>
      <w:spacing w:before="240"/>
    </w:pPr>
    <w:rPr>
      <w:rFonts w:asciiTheme="majorHAnsi" w:hAnsiTheme="majorHAnsi"/>
      <w:color w:val="6B3077" w:themeColor="accent1"/>
      <w:sz w:val="24"/>
    </w:rPr>
  </w:style>
  <w:style w:type="paragraph" w:styleId="StatementBullet" w:customStyle="1">
    <w:name w:val="Statement Bullet"/>
    <w:basedOn w:val="HeadlineStatement"/>
    <w:uiPriority w:val="19"/>
    <w:qFormat/>
    <w:rsid w:val="00617831"/>
    <w:pPr>
      <w:numPr>
        <w:numId w:val="2"/>
      </w:numPr>
      <w:spacing w:before="0" w:after="240"/>
      <w:ind w:left="284" w:hanging="284"/>
      <w:contextualSpacing/>
    </w:pPr>
  </w:style>
  <w:style w:type="numbering" w:styleId="CurrentList1" w:customStyle="1">
    <w:name w:val="Current List1"/>
    <w:uiPriority w:val="99"/>
    <w:rsid w:val="00617831"/>
    <w:pPr>
      <w:numPr>
        <w:numId w:val="3"/>
      </w:numPr>
    </w:pPr>
  </w:style>
  <w:style w:type="paragraph" w:styleId="ListBullet">
    <w:name w:val="List Bullet"/>
    <w:basedOn w:val="BodyText"/>
    <w:uiPriority w:val="99"/>
    <w:unhideWhenUsed/>
    <w:qFormat/>
    <w:rsid w:val="00C11070"/>
    <w:pPr>
      <w:tabs>
        <w:tab w:val="num" w:pos="360"/>
      </w:tabs>
      <w:spacing w:before="100" w:after="60"/>
      <w:ind w:left="360" w:hanging="3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styleId="AppendixHeading" w:customStyle="1">
    <w:name w:val="Appendix Heading"/>
    <w:basedOn w:val="Heading1"/>
    <w:next w:val="BodyText"/>
    <w:uiPriority w:val="99"/>
    <w:qFormat/>
    <w:rsid w:val="005A0526"/>
    <w:pPr>
      <w:numPr>
        <w:numId w:val="7"/>
      </w:numPr>
    </w:pPr>
  </w:style>
  <w:style w:type="paragraph" w:styleId="TableFigureFootnote" w:customStyle="1">
    <w:name w:val="Table/ Figure Footnote"/>
    <w:basedOn w:val="BodyText"/>
    <w:uiPriority w:val="4"/>
    <w:qFormat/>
    <w:rsid w:val="003D740B"/>
    <w:pPr>
      <w:spacing w:before="60" w:line="240" w:lineRule="auto"/>
      <w:contextualSpacing/>
    </w:pPr>
    <w:rPr>
      <w:sz w:val="15"/>
    </w:rPr>
  </w:style>
  <w:style w:type="paragraph" w:styleId="TableFigureFootnoteBullet" w:customStyle="1">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hAnsi="Arial" w:cs="Arial" w:eastAsiaTheme="minorEastAsia"/>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hAnsi="Arial" w:cs="Arial" w:eastAsiaTheme="minorEastAsia"/>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cs="Arial Unicode MS" w:eastAsiaTheme="minorEastAsia"/>
      <w:bCs/>
      <w:color w:val="424242" w:themeColor="text1"/>
      <w:sz w:val="20"/>
      <w:szCs w:val="20"/>
      <w:lang w:eastAsia="ko-KR"/>
    </w:rPr>
  </w:style>
  <w:style w:type="paragraph" w:styleId="TableFigureFoonoteBullet" w:customStyle="1">
    <w:name w:val="Table/ Figure Foonote Bullet"/>
    <w:basedOn w:val="TableFigureFootnote"/>
    <w:uiPriority w:val="5"/>
    <w:qFormat/>
    <w:rsid w:val="00084536"/>
    <w:pPr>
      <w:numPr>
        <w:numId w:val="6"/>
      </w:numPr>
      <w:ind w:left="170" w:hanging="170"/>
    </w:pPr>
    <w:rPr>
      <w:rFonts w:ascii="Arial" w:hAnsi="Arial" w:cs="Arial" w:eastAsiaTheme="minorEastAsia"/>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ppendixHeading2" w:customStyle="1">
    <w:name w:val="Appendix Heading 2"/>
    <w:basedOn w:val="Heading2"/>
    <w:next w:val="BodyText"/>
    <w:uiPriority w:val="99"/>
    <w:qFormat/>
    <w:rsid w:val="00BB50E2"/>
    <w:pPr>
      <w:numPr>
        <w:numId w:val="7"/>
      </w:numPr>
    </w:pPr>
  </w:style>
  <w:style w:type="paragraph" w:styleId="AppendixHeading3" w:customStyle="1">
    <w:name w:val="Appendix Heading 3"/>
    <w:basedOn w:val="Heading3"/>
    <w:next w:val="BodyText"/>
    <w:uiPriority w:val="99"/>
    <w:qFormat/>
    <w:rsid w:val="00C303E0"/>
    <w:pPr>
      <w:numPr>
        <w:numId w:val="7"/>
      </w:numPr>
    </w:pPr>
    <w:rPr>
      <w:szCs w:val="22"/>
    </w:rPr>
  </w:style>
  <w:style w:type="paragraph" w:styleId="Header-SectionHeading2" w:customStyle="1">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styleId="CaptionFigure" w:customStyle="1">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hAnsi="Century Gothic" w:cs="Arial Unicode MS" w:eastAsiaTheme="minorEastAsia"/>
      <w:i/>
      <w:iCs/>
      <w:color w:val="6B3077" w:themeColor="accent1"/>
      <w:sz w:val="18"/>
      <w:szCs w:val="18"/>
      <w:lang w:eastAsia="ko-KR"/>
    </w:rPr>
  </w:style>
  <w:style w:type="character" w:styleId="QuoteChar" w:customStyle="1">
    <w:name w:val="Quote Char"/>
    <w:basedOn w:val="DefaultParagraphFont"/>
    <w:link w:val="Quote"/>
    <w:uiPriority w:val="29"/>
    <w:rsid w:val="009D307A"/>
    <w:rPr>
      <w:rFonts w:ascii="Century Gothic" w:hAnsi="Century Gothic" w:cs="Arial Unicode MS" w:eastAsiaTheme="minorEastAsia"/>
      <w:i/>
      <w:iCs/>
      <w:color w:val="6B3077" w:themeColor="accent1"/>
      <w:sz w:val="18"/>
      <w:szCs w:val="18"/>
      <w:lang w:eastAsia="ko-KR"/>
    </w:rPr>
  </w:style>
  <w:style w:type="paragraph" w:styleId="Header-SectionHeading1" w:customStyle="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hAnsi="Arial" w:cs="Times New Roman" w:eastAsiaTheme="minorEastAsia"/>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hAnsi="Arial" w:cs="Times New Roman" w:eastAsiaTheme="majorEastAsia"/>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hAnsi="Arial" w:cs="Times New Roman" w:eastAsiaTheme="minorEastAsia"/>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hAnsi="Arial" w:cs="Arial Unicode MS" w:eastAsiaTheme="minorEastAsia"/>
      <w:bCs/>
      <w:color w:val="424242" w:themeColor="text1"/>
      <w:sz w:val="20"/>
      <w:szCs w:val="20"/>
      <w:lang w:eastAsia="ko-KR"/>
    </w:rPr>
  </w:style>
  <w:style w:type="paragraph" w:styleId="TOC-Heading2" w:customStyle="1">
    <w:name w:val="TOC - Heading 2"/>
    <w:next w:val="BodyText"/>
    <w:qFormat/>
    <w:rsid w:val="00DE7D80"/>
    <w:pPr>
      <w:spacing w:before="600" w:after="200" w:line="312" w:lineRule="auto"/>
    </w:pPr>
    <w:rPr>
      <w:rFonts w:asciiTheme="majorHAnsi" w:hAnsiTheme="majorHAnsi"/>
      <w:b/>
      <w:color w:val="A3519B" w:themeColor="accent2"/>
      <w:sz w:val="36"/>
    </w:rPr>
  </w:style>
  <w:style w:type="paragraph" w:styleId="Header-SectionHeading3" w:customStyle="1">
    <w:name w:val="Header - Section Heading 3"/>
    <w:basedOn w:val="Header-SectionHeading1"/>
    <w:rsid w:val="00033DD5"/>
    <w:rPr>
      <w:color w:val="7D7FAB"/>
    </w:rPr>
  </w:style>
  <w:style w:type="paragraph" w:styleId="Header-SectionHeading4" w:customStyle="1">
    <w:name w:val="Header - Section Heading 4"/>
    <w:basedOn w:val="Header-SectionHeading1"/>
    <w:rsid w:val="00033DD5"/>
    <w:rPr>
      <w:color w:val="A2D9E9"/>
    </w:rPr>
  </w:style>
  <w:style w:type="paragraph" w:styleId="Header-SectionHeading5" w:customStyle="1">
    <w:name w:val="Header - Section Heading 5"/>
    <w:basedOn w:val="Header-SectionHeading1"/>
    <w:rsid w:val="00033DD5"/>
    <w:rPr>
      <w:color w:val="40C1AC"/>
    </w:rPr>
  </w:style>
  <w:style w:type="paragraph" w:styleId="Header-SectionHeading6" w:customStyle="1">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styleId="ImportantNotice-Bullet" w:customStyle="1">
    <w:name w:val="Important Notice - Bullet"/>
    <w:basedOn w:val="ImportantNoticeBody"/>
    <w:rsid w:val="006F41AA"/>
    <w:pPr>
      <w:numPr>
        <w:numId w:val="11"/>
      </w:numPr>
      <w:ind w:left="170" w:hanging="170"/>
    </w:pPr>
  </w:style>
  <w:style w:type="paragraph" w:styleId="Style1" w:customStyle="1">
    <w:name w:val="Style1"/>
    <w:basedOn w:val="Heading5"/>
    <w:qFormat/>
    <w:rsid w:val="00132AE8"/>
    <w:rPr>
      <w:color w:val="A3519B" w:themeColor="accent2"/>
    </w:rPr>
  </w:style>
  <w:style w:type="paragraph" w:styleId="CaptionTable" w:customStyle="1">
    <w:name w:val="Caption Table"/>
    <w:basedOn w:val="Caption"/>
    <w:next w:val="TableText"/>
    <w:qFormat/>
    <w:rsid w:val="00C303E0"/>
    <w:pPr>
      <w:numPr>
        <w:numId w:val="13"/>
      </w:numPr>
      <w:ind w:left="992" w:hanging="992"/>
    </w:pPr>
  </w:style>
  <w:style w:type="numbering" w:styleId="CaptionTableList" w:customStyle="1">
    <w:name w:val="Caption Table List"/>
    <w:uiPriority w:val="99"/>
    <w:rsid w:val="00FA2AD3"/>
    <w:pPr>
      <w:numPr>
        <w:numId w:val="12"/>
      </w:numPr>
    </w:pPr>
  </w:style>
  <w:style w:type="paragraph" w:styleId="Default" w:customStyle="1">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styleId="CommentTextChar" w:customStyle="1">
    <w:name w:val="Comment Text Char"/>
    <w:basedOn w:val="DefaultParagraphFont"/>
    <w:link w:val="CommentText"/>
    <w:uiPriority w:val="99"/>
    <w:rsid w:val="00B03D80"/>
    <w:rPr>
      <w:sz w:val="20"/>
      <w:szCs w:val="20"/>
    </w:rPr>
  </w:style>
  <w:style w:type="character" w:styleId="normaltextrun" w:customStyle="1">
    <w:name w:val="normaltextrun"/>
    <w:basedOn w:val="DefaultParagraphFont"/>
    <w:rsid w:val="00B03D80"/>
  </w:style>
  <w:style w:type="character" w:styleId="eop" w:customStyle="1">
    <w:name w:val="eop"/>
    <w:basedOn w:val="DefaultParagraphFont"/>
    <w:rsid w:val="00B03D80"/>
  </w:style>
  <w:style w:type="character" w:styleId="tabchar" w:customStyle="1">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styleId="CommentSubjectChar" w:customStyle="1">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hAnsi="Times New Roman" w:eastAsia="Times New Roman" w:cs="Times New Roman"/>
      <w:color w:val="auto"/>
      <w:sz w:val="24"/>
      <w:szCs w:val="24"/>
      <w:lang w:eastAsia="en-AU"/>
    </w:rPr>
  </w:style>
  <w:style w:type="paragraph" w:styleId="MRLevel4" w:customStyle="1">
    <w:name w:val="MR Level 4"/>
    <w:uiPriority w:val="99"/>
    <w:qFormat/>
    <w:rsid w:val="00F97350"/>
    <w:pPr>
      <w:spacing w:before="120" w:after="120" w:line="300" w:lineRule="atLeast"/>
      <w:ind w:left="1701" w:hanging="709"/>
      <w:outlineLvl w:val="3"/>
    </w:pPr>
    <w:rPr>
      <w:rFonts w:ascii="Arial" w:hAnsi="Arial" w:eastAsia="Times New Roman"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color="B46CC3" w:themeColor="accent1" w:themeTint="99" w:sz="4" w:space="0"/>
        <w:left w:val="single" w:color="B46CC3" w:themeColor="accent1" w:themeTint="99" w:sz="4" w:space="0"/>
        <w:bottom w:val="single" w:color="B46CC3" w:themeColor="accent1" w:themeTint="99" w:sz="4" w:space="0"/>
        <w:right w:val="single" w:color="B46CC3" w:themeColor="accent1" w:themeTint="99" w:sz="4" w:space="0"/>
        <w:insideH w:val="single" w:color="B46CC3" w:themeColor="accent1" w:themeTint="99" w:sz="4" w:space="0"/>
        <w:insideV w:val="single" w:color="B46C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color="B46CC3" w:themeColor="accent1" w:themeTint="99" w:sz="4" w:space="0"/>
        </w:tcBorders>
      </w:tcPr>
    </w:tblStylePr>
    <w:tblStylePr w:type="nwCell">
      <w:tblPr/>
      <w:tcPr>
        <w:tcBorders>
          <w:bottom w:val="single" w:color="B46CC3" w:themeColor="accent1" w:themeTint="99" w:sz="4" w:space="0"/>
        </w:tcBorders>
      </w:tcPr>
    </w:tblStylePr>
    <w:tblStylePr w:type="seCell">
      <w:tblPr/>
      <w:tcPr>
        <w:tcBorders>
          <w:top w:val="single" w:color="B46CC3" w:themeColor="accent1" w:themeTint="99" w:sz="4" w:space="0"/>
        </w:tcBorders>
      </w:tcPr>
    </w:tblStylePr>
    <w:tblStylePr w:type="swCell">
      <w:tblPr/>
      <w:tcPr>
        <w:tcBorders>
          <w:top w:val="single" w:color="B46CC3" w:themeColor="accent1" w:themeTint="99" w:sz="4" w:space="0"/>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DBE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3519B"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3519B"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3519B"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styleId="AEMO2" w:customStyle="1">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EEEF0" w:themeFill="background2"/>
    </w:tcPr>
    <w:tblStylePr w:type="firstRow">
      <w:rPr>
        <w:rFonts w:asciiTheme="majorHAnsi" w:hAnsiTheme="majorHAnsi"/>
        <w:b/>
        <w:sz w:val="16"/>
      </w:rPr>
      <w:tblPr/>
      <w:trPr>
        <w:cantSplit/>
        <w:tblHeader/>
      </w:trPr>
      <w:tcPr>
        <w:tc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color="B46CC3" w:themeColor="accent1" w:themeTint="99" w:sz="4" w:space="0"/>
        <w:bottom w:val="single" w:color="B46CC3" w:themeColor="accent1" w:themeTint="99" w:sz="4" w:space="0"/>
        <w:insideH w:val="single" w:color="B46C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color="A3519B" w:themeColor="accent2" w:sz="4" w:space="0"/>
        <w:left w:val="single" w:color="A3519B" w:themeColor="accent2" w:sz="4" w:space="0"/>
        <w:bottom w:val="single" w:color="A3519B" w:themeColor="accent2" w:sz="4" w:space="0"/>
        <w:right w:val="single" w:color="A3519B" w:themeColor="accent2" w:sz="4" w:space="0"/>
      </w:tblBorders>
    </w:tblPr>
    <w:tblStylePr w:type="firstRow">
      <w:rPr>
        <w:b/>
        <w:bCs/>
        <w:color w:val="FFFFFF" w:themeColor="background1"/>
      </w:rPr>
      <w:tblPr/>
      <w:tcPr>
        <w:shd w:val="clear" w:color="auto" w:fill="A3519B" w:themeFill="accent2"/>
      </w:tcPr>
    </w:tblStylePr>
    <w:tblStylePr w:type="lastRow">
      <w:rPr>
        <w:b/>
        <w:bCs/>
      </w:rPr>
      <w:tblPr/>
      <w:tcPr>
        <w:tcBorders>
          <w:top w:val="double" w:color="A3519B"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3519B" w:themeColor="accent2" w:sz="4" w:space="0"/>
          <w:right w:val="single" w:color="A3519B" w:themeColor="accent2" w:sz="4" w:space="0"/>
        </w:tcBorders>
      </w:tcPr>
    </w:tblStylePr>
    <w:tblStylePr w:type="band1Horz">
      <w:tblPr/>
      <w:tcPr>
        <w:tcBorders>
          <w:top w:val="single" w:color="A3519B" w:themeColor="accent2" w:sz="4" w:space="0"/>
          <w:bottom w:val="single" w:color="A3519B"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3519B" w:themeColor="accent2" w:sz="4" w:space="0"/>
          <w:left w:val="nil"/>
        </w:tcBorders>
      </w:tcPr>
    </w:tblStylePr>
    <w:tblStylePr w:type="swCell">
      <w:tblPr/>
      <w:tcPr>
        <w:tcBorders>
          <w:top w:val="double" w:color="A3519B" w:themeColor="accent2" w:sz="4" w:space="0"/>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color="CA94C4" w:themeColor="accent2" w:themeTint="99" w:sz="4" w:space="0"/>
        <w:left w:val="single" w:color="CA94C4" w:themeColor="accent2" w:themeTint="99" w:sz="4" w:space="0"/>
        <w:bottom w:val="single" w:color="CA94C4" w:themeColor="accent2" w:themeTint="99" w:sz="4" w:space="0"/>
        <w:right w:val="single" w:color="CA94C4" w:themeColor="accent2" w:themeTint="99" w:sz="4" w:space="0"/>
        <w:insideH w:val="single" w:color="CA94C4" w:themeColor="accent2" w:themeTint="99" w:sz="4" w:space="0"/>
      </w:tblBorders>
    </w:tblPr>
    <w:tblStylePr w:type="firstRow">
      <w:rPr>
        <w:b/>
        <w:bCs/>
        <w:color w:val="FFFFFF" w:themeColor="background1"/>
      </w:rPr>
      <w:tblPr/>
      <w:tcPr>
        <w:tcBorders>
          <w:top w:val="single" w:color="A3519B" w:themeColor="accent2" w:sz="4" w:space="0"/>
          <w:left w:val="single" w:color="A3519B" w:themeColor="accent2" w:sz="4" w:space="0"/>
          <w:bottom w:val="single" w:color="A3519B" w:themeColor="accent2" w:sz="4" w:space="0"/>
          <w:right w:val="single" w:color="A3519B" w:themeColor="accent2" w:sz="4" w:space="0"/>
          <w:insideH w:val="nil"/>
        </w:tcBorders>
        <w:shd w:val="clear" w:color="auto" w:fill="A3519B" w:themeFill="accent2"/>
      </w:tcPr>
    </w:tblStylePr>
    <w:tblStylePr w:type="lastRow">
      <w:rPr>
        <w:b/>
        <w:bCs/>
      </w:rPr>
      <w:tblPr/>
      <w:tcPr>
        <w:tcBorders>
          <w:top w:val="double" w:color="CA94C4" w:themeColor="accent2" w:themeTint="99" w:sz="4" w:space="0"/>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styleId="MRLevel5" w:customStyle="1">
    <w:name w:val="MR Level 5"/>
    <w:uiPriority w:val="99"/>
    <w:qFormat/>
    <w:rsid w:val="00382D7F"/>
    <w:pPr>
      <w:spacing w:before="120" w:after="120" w:line="300" w:lineRule="atLeast"/>
      <w:ind w:left="2410" w:hanging="709"/>
      <w:outlineLvl w:val="4"/>
    </w:pPr>
    <w:rPr>
      <w:rFonts w:ascii="Arial" w:hAnsi="Arial" w:eastAsia="Times New Roman" w:cs="Arial"/>
      <w:color w:val="000000"/>
      <w:lang w:eastAsia="en-AU"/>
    </w:rPr>
  </w:style>
  <w:style w:type="paragraph" w:styleId="MRLevel3" w:customStyle="1">
    <w:name w:val="MR Level 3"/>
    <w:link w:val="MRLevel3Char"/>
    <w:qFormat/>
    <w:rsid w:val="00382D7F"/>
    <w:pPr>
      <w:spacing w:before="240" w:after="120" w:line="300" w:lineRule="atLeast"/>
      <w:ind w:left="992" w:hanging="992"/>
      <w:outlineLvl w:val="2"/>
    </w:pPr>
    <w:rPr>
      <w:rFonts w:ascii="Arial" w:hAnsi="Arial" w:eastAsia="Times New Roman" w:cs="Times New Roman"/>
      <w:color w:val="000000"/>
      <w:szCs w:val="24"/>
      <w:lang w:val="en-GB" w:eastAsia="en-AU"/>
    </w:rPr>
  </w:style>
  <w:style w:type="paragraph" w:styleId="MRLevel4continued" w:customStyle="1">
    <w:name w:val="MR Level 4 continued"/>
    <w:qFormat/>
    <w:rsid w:val="00382D7F"/>
    <w:pPr>
      <w:spacing w:before="120" w:after="120" w:line="300" w:lineRule="atLeast"/>
      <w:ind w:left="1701"/>
    </w:pPr>
    <w:rPr>
      <w:rFonts w:ascii="Arial" w:hAnsi="Arial" w:eastAsia="Times New Roman" w:cs="Arial"/>
      <w:color w:val="000000"/>
      <w:lang w:eastAsia="en-AU"/>
    </w:rPr>
  </w:style>
  <w:style w:type="character" w:styleId="MRLevel3Char" w:customStyle="1">
    <w:name w:val="MR Level 3 Char"/>
    <w:basedOn w:val="DefaultParagraphFont"/>
    <w:link w:val="MRLevel3"/>
    <w:rsid w:val="00382D7F"/>
    <w:rPr>
      <w:rFonts w:ascii="Arial" w:hAnsi="Arial" w:eastAsia="Times New Roman" w:cs="Times New Roman"/>
      <w:color w:val="000000"/>
      <w:szCs w:val="24"/>
      <w:lang w:val="en-GB" w:eastAsia="en-AU"/>
    </w:rPr>
  </w:style>
  <w:style w:type="paragraph" w:styleId="paragraph" w:customStyle="1">
    <w:name w:val="paragraph"/>
    <w:basedOn w:val="Normal"/>
    <w:rsid w:val="001F2C8E"/>
    <w:pPr>
      <w:spacing w:before="100" w:beforeAutospacing="1" w:after="100" w:afterAutospacing="1" w:line="240" w:lineRule="auto"/>
    </w:pPr>
    <w:rPr>
      <w:rFonts w:ascii="Times New Roman" w:hAnsi="Times New Roman" w:eastAsia="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857352265">
      <w:bodyDiv w:val="1"/>
      <w:marLeft w:val="0"/>
      <w:marRight w:val="0"/>
      <w:marTop w:val="0"/>
      <w:marBottom w:val="0"/>
      <w:divBdr>
        <w:top w:val="none" w:sz="0" w:space="0" w:color="auto"/>
        <w:left w:val="none" w:sz="0" w:space="0" w:color="auto"/>
        <w:bottom w:val="none" w:sz="0" w:space="0" w:color="auto"/>
        <w:right w:val="none" w:sz="0" w:space="0" w:color="auto"/>
      </w:divBdr>
      <w:divsChild>
        <w:div w:id="176311536">
          <w:marLeft w:val="1008"/>
          <w:marRight w:val="0"/>
          <w:marTop w:val="200"/>
          <w:marBottom w:val="0"/>
          <w:divBdr>
            <w:top w:val="none" w:sz="0" w:space="0" w:color="auto"/>
            <w:left w:val="none" w:sz="0" w:space="0" w:color="auto"/>
            <w:bottom w:val="none" w:sz="0" w:space="0" w:color="auto"/>
            <w:right w:val="none" w:sz="0" w:space="0" w:color="auto"/>
          </w:divBdr>
        </w:div>
        <w:div w:id="427506061">
          <w:marLeft w:val="1008"/>
          <w:marRight w:val="0"/>
          <w:marTop w:val="200"/>
          <w:marBottom w:val="0"/>
          <w:divBdr>
            <w:top w:val="none" w:sz="0" w:space="0" w:color="auto"/>
            <w:left w:val="none" w:sz="0" w:space="0" w:color="auto"/>
            <w:bottom w:val="none" w:sz="0" w:space="0" w:color="auto"/>
            <w:right w:val="none" w:sz="0" w:space="0" w:color="auto"/>
          </w:divBdr>
        </w:div>
      </w:divsChild>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microsoft.com/office/2018/08/relationships/commentsExtensible" Target="commentsExtensible.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chart" Target="charts/chart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aemo.com.au/-/media/files/electricity/wem/procedures/2017/sc_supplementary-reserve-capacity---clean---18apr2017.pdf?la=en&amp;hash=213FE66575961F7AAF953DC916C4B6C7" TargetMode="External"/><Relationship Id="rId1" Type="http://schemas.openxmlformats.org/officeDocument/2006/relationships/hyperlink" Target="https://www.erawa.com.au/cproot/22440/2/AAI---Attachment-6.3---Estimation-of-value-of-customer-reliability-for-Western-Power-s-network.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sharepoint.com/sites/WAFutureSystemDesign/Shared%20Documents/1.%20Projects/220901-NCESS-Flexible-Reliability/02%20-%20Working%20Files/Modelling/221101-Reliability%20Shortfalls-RBP-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(700)'!$A$118:$A$131</cx:f>
        <cx:lvl ptCount="14">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RCR reflecting Reforms</cx:pt>
          <cx:pt idx="11">Forecast Capacity Shortfall</cx:pt>
          <cx:pt idx="12">Outage Risks</cx:pt>
          <cx:pt idx="13">Forecast Capacity Shortfall</cx:pt>
        </cx:lvl>
      </cx:strDim>
      <cx:numDim type="val">
        <cx:f>'Shortfall Calculations (700)'!$D$118:$D$131</cx:f>
        <cx:lvl ptCount="14" formatCode="0">
          <cx:pt idx="0">4421</cx:pt>
          <cx:pt idx="1">386</cx:pt>
          <cx:pt idx="2">4807</cx:pt>
          <cx:pt idx="3">-75</cx:pt>
          <cx:pt idx="4">-273.39999999999998</cx:pt>
          <cx:pt idx="5">-38.400441357927065</cx:pt>
          <cx:pt idx="6">88.694929999999999</cx:pt>
          <cx:pt idx="7">4508.8944886420732</cx:pt>
          <cx:pt idx="8">4526</cx:pt>
          <cx:pt idx="9">31.02585225806439</cx:pt>
          <cx:pt idx="10">4556.8258522580645</cx:pt>
          <cx:pt idx="11">-47.931363615991359</cx:pt>
          <cx:pt idx="12">-682</cx:pt>
          <cx:pt idx="13">729.93136361599136</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0">
            <cx:spPr>
              <a:solidFill>
                <a:srgbClr val="40C1AC">
                  <a:lumMod val="75000"/>
                </a:srgbClr>
              </a:solidFill>
            </cx:spPr>
          </cx:dataPt>
          <cx:dataPt idx="13">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900"/>
                </a:pPr>
                <a:endParaRPr lang="en-US" sz="900" b="0" i="0" u="none" strike="noStrike" baseline="0">
                  <a:solidFill>
                    <a:srgbClr val="424242">
                      <a:lumMod val="65000"/>
                      <a:lumOff val="35000"/>
                    </a:srgbClr>
                  </a:solidFill>
                  <a:latin typeface="Arial Nova"/>
                </a:endParaRPr>
              </a:p>
            </cx:txPr>
            <cx:visibility seriesName="0" categoryName="0" value="1"/>
          </cx:dataLabels>
          <cx:dataId val="0"/>
          <cx:layoutPr>
            <cx:visibility connectorLines="1"/>
            <cx:subtotals>
              <cx:idx val="0"/>
              <cx:idx val="2"/>
              <cx:idx val="7"/>
              <cx:idx val="8"/>
              <cx:idx val="10"/>
            </cx:subtotals>
          </cx:layoutPr>
        </cx:series>
      </cx:plotAreaRegion>
      <cx:axis id="0">
        <cx:catScaling gapWidth="0.5"/>
        <cx:tickLabels/>
        <cx:txPr>
          <a:bodyPr vertOverflow="overflow" horzOverflow="overflow" wrap="square" lIns="0" tIns="0" rIns="0" bIns="0"/>
          <a:lstStyle/>
          <a:p>
            <a:pPr algn="ctr" rtl="0">
              <a:defRPr sz="9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900"/>
          </a:p>
        </cx:txPr>
      </cx:axis>
      <cx:axis id="1">
        <cx:valScaling min="3700"/>
        <cx:title>
          <cx:tx>
            <cx:txData>
              <cx:v>MW</cx:v>
            </cx:txData>
          </cx:tx>
          <cx:txPr>
            <a:bodyPr spcFirstLastPara="1" vertOverflow="ellipsis" horzOverflow="overflow" wrap="square" lIns="0" tIns="0" rIns="0" bIns="0" anchor="ctr" anchorCtr="1"/>
            <a:lstStyle/>
            <a:p>
              <a:pPr algn="ctr" rtl="0">
                <a:defRPr/>
              </a:pPr>
              <a:r>
                <a:rPr lang="en-US" sz="9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9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9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01"/>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853"/>
        </a:xfrm>
        <a:custGeom>
          <a:avLst/>
          <a:gdLst/>
          <a:ahLst/>
          <a:cxnLst/>
          <a:rect l="0" t="0" r="0" b="0"/>
          <a:pathLst>
            <a:path>
              <a:moveTo>
                <a:pt x="0" y="0"/>
              </a:moveTo>
              <a:lnTo>
                <a:pt x="0" y="84322"/>
              </a:lnTo>
              <a:lnTo>
                <a:pt x="2386042" y="84322"/>
              </a:lnTo>
              <a:lnTo>
                <a:pt x="2386042" y="1588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01"/>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01"/>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01"/>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01"/>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853"/>
        </a:xfrm>
        <a:custGeom>
          <a:avLst/>
          <a:gdLst/>
          <a:ahLst/>
          <a:cxnLst/>
          <a:rect l="0" t="0" r="0" b="0"/>
          <a:pathLst>
            <a:path>
              <a:moveTo>
                <a:pt x="45720" y="0"/>
              </a:moveTo>
              <a:lnTo>
                <a:pt x="45720" y="84322"/>
              </a:lnTo>
              <a:lnTo>
                <a:pt x="51069" y="84322"/>
              </a:lnTo>
              <a:lnTo>
                <a:pt x="51069" y="1588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063"/>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063"/>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063"/>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15"/>
        </a:xfrm>
        <a:custGeom>
          <a:avLst/>
          <a:gdLst/>
          <a:ahLst/>
          <a:cxnLst/>
          <a:rect l="0" t="0" r="0" b="0"/>
          <a:pathLst>
            <a:path>
              <a:moveTo>
                <a:pt x="2829897" y="0"/>
              </a:moveTo>
              <a:lnTo>
                <a:pt x="2829897" y="82384"/>
              </a:lnTo>
              <a:lnTo>
                <a:pt x="0" y="82384"/>
              </a:lnTo>
              <a:lnTo>
                <a:pt x="0" y="156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11"/>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23"/>
        <a:ext cx="739792" cy="179528"/>
      </dsp:txXfrm>
    </dsp:sp>
    <dsp:sp modelId="{559EE786-39F9-4576-9A61-9A2601F52878}">
      <dsp:nvSpPr>
        <dsp:cNvPr id="0" name=""/>
        <dsp:cNvSpPr/>
      </dsp:nvSpPr>
      <dsp:spPr>
        <a:xfrm>
          <a:off x="429310" y="707860"/>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758"/>
        <a:ext cx="2118784" cy="312369"/>
      </dsp:txXfrm>
    </dsp:sp>
    <dsp:sp modelId="{267C7198-3BD5-481D-8EE3-6B2C329160A6}">
      <dsp:nvSpPr>
        <dsp:cNvPr id="0" name=""/>
        <dsp:cNvSpPr/>
      </dsp:nvSpPr>
      <dsp:spPr>
        <a:xfrm>
          <a:off x="429310" y="1147125"/>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07"/>
        <a:ext cx="2113514" cy="426668"/>
      </dsp:txXfrm>
    </dsp:sp>
    <dsp:sp modelId="{5B77650A-0251-46DC-BEB8-DA1B3C748D13}">
      <dsp:nvSpPr>
        <dsp:cNvPr id="0" name=""/>
        <dsp:cNvSpPr/>
      </dsp:nvSpPr>
      <dsp:spPr>
        <a:xfrm>
          <a:off x="429310" y="1689038"/>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5985"/>
        <a:ext cx="2118686" cy="313257"/>
      </dsp:txXfrm>
    </dsp:sp>
    <dsp:sp modelId="{892F44A6-31E7-4EA7-99DC-D21AFD8584A8}">
      <dsp:nvSpPr>
        <dsp:cNvPr id="0" name=""/>
        <dsp:cNvSpPr/>
      </dsp:nvSpPr>
      <dsp:spPr>
        <a:xfrm>
          <a:off x="2832909" y="369049"/>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761"/>
        <a:ext cx="940402" cy="179528"/>
      </dsp:txXfrm>
    </dsp:sp>
    <dsp:sp modelId="{997DC17B-A966-4010-9788-029123835636}">
      <dsp:nvSpPr>
        <dsp:cNvPr id="0" name=""/>
        <dsp:cNvSpPr/>
      </dsp:nvSpPr>
      <dsp:spPr>
        <a:xfrm>
          <a:off x="3072865" y="707860"/>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683"/>
        <a:ext cx="1569357" cy="403402"/>
      </dsp:txXfrm>
    </dsp:sp>
    <dsp:sp modelId="{28CF2E9B-4E86-4D96-85C2-CCBE71C94D69}">
      <dsp:nvSpPr>
        <dsp:cNvPr id="0" name=""/>
        <dsp:cNvSpPr/>
      </dsp:nvSpPr>
      <dsp:spPr>
        <a:xfrm>
          <a:off x="3072865" y="1248009"/>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226"/>
        <a:ext cx="1584130" cy="355218"/>
      </dsp:txXfrm>
    </dsp:sp>
    <dsp:sp modelId="{DABCAACA-3BFB-49D1-A554-6D4393C1F73F}">
      <dsp:nvSpPr>
        <dsp:cNvPr id="0" name=""/>
        <dsp:cNvSpPr/>
      </dsp:nvSpPr>
      <dsp:spPr>
        <a:xfrm>
          <a:off x="3068351" y="1695359"/>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5971"/>
        <a:ext cx="1612565" cy="381005"/>
      </dsp:txXfrm>
    </dsp:sp>
    <dsp:sp modelId="{F3DE7D09-099F-41B1-84A5-CA59F51769FA}">
      <dsp:nvSpPr>
        <dsp:cNvPr id="0" name=""/>
        <dsp:cNvSpPr/>
      </dsp:nvSpPr>
      <dsp:spPr>
        <a:xfrm>
          <a:off x="3083314" y="2161459"/>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584"/>
        <a:ext cx="1601876" cy="372013"/>
      </dsp:txXfrm>
    </dsp:sp>
    <dsp:sp modelId="{494B1EA4-9F6A-4918-8C2F-E128F58780CD}">
      <dsp:nvSpPr>
        <dsp:cNvPr id="0" name=""/>
        <dsp:cNvSpPr/>
      </dsp:nvSpPr>
      <dsp:spPr>
        <a:xfrm>
          <a:off x="5246314" y="369049"/>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761"/>
        <a:ext cx="874978" cy="179528"/>
      </dsp:txXfrm>
    </dsp:sp>
    <dsp:sp modelId="{D0B58289-F0B6-4C2E-B269-254655CA0F91}">
      <dsp:nvSpPr>
        <dsp:cNvPr id="0" name=""/>
        <dsp:cNvSpPr/>
      </dsp:nvSpPr>
      <dsp:spPr>
        <a:xfrm>
          <a:off x="5409252" y="707860"/>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026"/>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5.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2.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3.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customXml/itemProps4.xml><?xml version="1.0" encoding="utf-8"?>
<ds:datastoreItem xmlns:ds="http://schemas.openxmlformats.org/officeDocument/2006/customXml" ds:itemID="{2665EA88-41E4-488A-96A7-9E34947EF048}">
  <ds:schemaRefs>
    <ds:schemaRef ds:uri="http://schemas.microsoft.com/office/2006/metadata/properties"/>
    <ds:schemaRef ds:uri="http://schemas.microsoft.com/office/infopath/2007/PartnerControls"/>
    <ds:schemaRef ds:uri="5d1a2284-45bc-4927-a9f9-e51f9f17c21a"/>
  </ds:schemaRefs>
</ds:datastoreItem>
</file>

<file path=customXml/itemProps5.xml><?xml version="1.0" encoding="utf-8"?>
<ds:datastoreItem xmlns:ds="http://schemas.openxmlformats.org/officeDocument/2006/customXml" ds:itemID="{041BD1A3-C3CD-4B11-80C7-8559CB047292}"/>
</file>

<file path=docProps/app.xml><?xml version="1.0" encoding="utf-8"?>
<Properties xmlns="http://schemas.openxmlformats.org/officeDocument/2006/extended-properties" xmlns:vt="http://schemas.openxmlformats.org/officeDocument/2006/docPropsVTypes">
  <Template>AEMO report_general.dotx</Template>
  <TotalTime>98</TotalTime>
  <Pages>1</Pages>
  <Words>3578</Words>
  <Characters>20400</Characters>
  <Application>Microsoft Office Word</Application>
  <DocSecurity>4</DocSecurity>
  <Lines>170</Lines>
  <Paragraphs>47</Paragraphs>
  <ScaleCrop>false</ScaleCrop>
  <Company/>
  <LinksUpToDate>false</LinksUpToDate>
  <CharactersWithSpaces>23931</CharactersWithSpaces>
  <SharedDoc>false</SharedDoc>
  <HLinks>
    <vt:vector size="102" baseType="variant">
      <vt:variant>
        <vt:i4>1245232</vt:i4>
      </vt:variant>
      <vt:variant>
        <vt:i4>92</vt:i4>
      </vt:variant>
      <vt:variant>
        <vt:i4>0</vt:i4>
      </vt:variant>
      <vt:variant>
        <vt:i4>5</vt:i4>
      </vt:variant>
      <vt:variant>
        <vt:lpwstr/>
      </vt:variant>
      <vt:variant>
        <vt:lpwstr>_Toc121333364</vt:lpwstr>
      </vt:variant>
      <vt:variant>
        <vt:i4>1245232</vt:i4>
      </vt:variant>
      <vt:variant>
        <vt:i4>86</vt:i4>
      </vt:variant>
      <vt:variant>
        <vt:i4>0</vt:i4>
      </vt:variant>
      <vt:variant>
        <vt:i4>5</vt:i4>
      </vt:variant>
      <vt:variant>
        <vt:lpwstr/>
      </vt:variant>
      <vt:variant>
        <vt:lpwstr>_Toc121333363</vt:lpwstr>
      </vt:variant>
      <vt:variant>
        <vt:i4>1245232</vt:i4>
      </vt:variant>
      <vt:variant>
        <vt:i4>80</vt:i4>
      </vt:variant>
      <vt:variant>
        <vt:i4>0</vt:i4>
      </vt:variant>
      <vt:variant>
        <vt:i4>5</vt:i4>
      </vt:variant>
      <vt:variant>
        <vt:lpwstr/>
      </vt:variant>
      <vt:variant>
        <vt:lpwstr>_Toc121333362</vt:lpwstr>
      </vt:variant>
      <vt:variant>
        <vt:i4>1245232</vt:i4>
      </vt:variant>
      <vt:variant>
        <vt:i4>71</vt:i4>
      </vt:variant>
      <vt:variant>
        <vt:i4>0</vt:i4>
      </vt:variant>
      <vt:variant>
        <vt:i4>5</vt:i4>
      </vt:variant>
      <vt:variant>
        <vt:lpwstr/>
      </vt:variant>
      <vt:variant>
        <vt:lpwstr>_Toc121333361</vt:lpwstr>
      </vt:variant>
      <vt:variant>
        <vt:i4>1245232</vt:i4>
      </vt:variant>
      <vt:variant>
        <vt:i4>65</vt:i4>
      </vt:variant>
      <vt:variant>
        <vt:i4>0</vt:i4>
      </vt:variant>
      <vt:variant>
        <vt:i4>5</vt:i4>
      </vt:variant>
      <vt:variant>
        <vt:lpwstr/>
      </vt:variant>
      <vt:variant>
        <vt:lpwstr>_Toc121333360</vt:lpwstr>
      </vt:variant>
      <vt:variant>
        <vt:i4>1835058</vt:i4>
      </vt:variant>
      <vt:variant>
        <vt:i4>56</vt:i4>
      </vt:variant>
      <vt:variant>
        <vt:i4>0</vt:i4>
      </vt:variant>
      <vt:variant>
        <vt:i4>5</vt:i4>
      </vt:variant>
      <vt:variant>
        <vt:lpwstr/>
      </vt:variant>
      <vt:variant>
        <vt:lpwstr>_Toc121978582</vt:lpwstr>
      </vt:variant>
      <vt:variant>
        <vt:i4>1835058</vt:i4>
      </vt:variant>
      <vt:variant>
        <vt:i4>50</vt:i4>
      </vt:variant>
      <vt:variant>
        <vt:i4>0</vt:i4>
      </vt:variant>
      <vt:variant>
        <vt:i4>5</vt:i4>
      </vt:variant>
      <vt:variant>
        <vt:lpwstr/>
      </vt:variant>
      <vt:variant>
        <vt:lpwstr>_Toc121978581</vt:lpwstr>
      </vt:variant>
      <vt:variant>
        <vt:i4>1835058</vt:i4>
      </vt:variant>
      <vt:variant>
        <vt:i4>44</vt:i4>
      </vt:variant>
      <vt:variant>
        <vt:i4>0</vt:i4>
      </vt:variant>
      <vt:variant>
        <vt:i4>5</vt:i4>
      </vt:variant>
      <vt:variant>
        <vt:lpwstr/>
      </vt:variant>
      <vt:variant>
        <vt:lpwstr>_Toc121978580</vt:lpwstr>
      </vt:variant>
      <vt:variant>
        <vt:i4>1245234</vt:i4>
      </vt:variant>
      <vt:variant>
        <vt:i4>38</vt:i4>
      </vt:variant>
      <vt:variant>
        <vt:i4>0</vt:i4>
      </vt:variant>
      <vt:variant>
        <vt:i4>5</vt:i4>
      </vt:variant>
      <vt:variant>
        <vt:lpwstr/>
      </vt:variant>
      <vt:variant>
        <vt:lpwstr>_Toc121978579</vt:lpwstr>
      </vt:variant>
      <vt:variant>
        <vt:i4>1245234</vt:i4>
      </vt:variant>
      <vt:variant>
        <vt:i4>32</vt:i4>
      </vt:variant>
      <vt:variant>
        <vt:i4>0</vt:i4>
      </vt:variant>
      <vt:variant>
        <vt:i4>5</vt:i4>
      </vt:variant>
      <vt:variant>
        <vt:lpwstr/>
      </vt:variant>
      <vt:variant>
        <vt:lpwstr>_Toc121978578</vt:lpwstr>
      </vt:variant>
      <vt:variant>
        <vt:i4>1245234</vt:i4>
      </vt:variant>
      <vt:variant>
        <vt:i4>26</vt:i4>
      </vt:variant>
      <vt:variant>
        <vt:i4>0</vt:i4>
      </vt:variant>
      <vt:variant>
        <vt:i4>5</vt:i4>
      </vt:variant>
      <vt:variant>
        <vt:lpwstr/>
      </vt:variant>
      <vt:variant>
        <vt:lpwstr>_Toc121978577</vt:lpwstr>
      </vt:variant>
      <vt:variant>
        <vt:i4>1245234</vt:i4>
      </vt:variant>
      <vt:variant>
        <vt:i4>20</vt:i4>
      </vt:variant>
      <vt:variant>
        <vt:i4>0</vt:i4>
      </vt:variant>
      <vt:variant>
        <vt:i4>5</vt:i4>
      </vt:variant>
      <vt:variant>
        <vt:lpwstr/>
      </vt:variant>
      <vt:variant>
        <vt:lpwstr>_Toc121978576</vt:lpwstr>
      </vt:variant>
      <vt:variant>
        <vt:i4>1245234</vt:i4>
      </vt:variant>
      <vt:variant>
        <vt:i4>14</vt:i4>
      </vt:variant>
      <vt:variant>
        <vt:i4>0</vt:i4>
      </vt:variant>
      <vt:variant>
        <vt:i4>5</vt:i4>
      </vt:variant>
      <vt:variant>
        <vt:lpwstr/>
      </vt:variant>
      <vt:variant>
        <vt:lpwstr>_Toc121978575</vt:lpwstr>
      </vt:variant>
      <vt:variant>
        <vt:i4>1245234</vt:i4>
      </vt:variant>
      <vt:variant>
        <vt:i4>8</vt:i4>
      </vt:variant>
      <vt:variant>
        <vt:i4>0</vt:i4>
      </vt:variant>
      <vt:variant>
        <vt:i4>5</vt:i4>
      </vt:variant>
      <vt:variant>
        <vt:lpwstr/>
      </vt:variant>
      <vt:variant>
        <vt:lpwstr>_Toc121978574</vt:lpwstr>
      </vt:variant>
      <vt:variant>
        <vt:i4>1245234</vt:i4>
      </vt:variant>
      <vt:variant>
        <vt:i4>2</vt:i4>
      </vt:variant>
      <vt:variant>
        <vt:i4>0</vt:i4>
      </vt:variant>
      <vt:variant>
        <vt:i4>5</vt:i4>
      </vt:variant>
      <vt:variant>
        <vt:lpwstr/>
      </vt:variant>
      <vt:variant>
        <vt:lpwstr>_Toc121978573</vt:lpwstr>
      </vt:variant>
      <vt:variant>
        <vt:i4>4128862</vt:i4>
      </vt:variant>
      <vt:variant>
        <vt:i4>3</vt:i4>
      </vt:variant>
      <vt:variant>
        <vt:i4>0</vt:i4>
      </vt:variant>
      <vt:variant>
        <vt:i4>5</vt:i4>
      </vt:variant>
      <vt:variant>
        <vt:lpwstr>https://aemo.com.au/-/media/files/electricity/wem/procedures/2017/sc_supplementary-reserve-capacity---clean---18apr2017.pdf?la=en&amp;hash=213FE66575961F7AAF953DC916C4B6C7</vt:lpwstr>
      </vt:variant>
      <vt:variant>
        <vt:lpwstr/>
      </vt:variant>
      <vt:variant>
        <vt:i4>3735672</vt:i4>
      </vt:variant>
      <vt:variant>
        <vt:i4>0</vt:i4>
      </vt:variant>
      <vt:variant>
        <vt:i4>0</vt:i4>
      </vt:variant>
      <vt:variant>
        <vt:i4>5</vt:i4>
      </vt:variant>
      <vt:variant>
        <vt:lpwstr>https://www.erawa.com.au/cproot/22440/2/AAI---Attachment-6.3---Estimation-of-value-of-customer-reliability-for-Western-Power-s-network.pdf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44</cp:revision>
  <cp:lastPrinted>2022-12-10T16:32:00Z</cp:lastPrinted>
  <dcterms:created xsi:type="dcterms:W3CDTF">2022-12-14T19:19:00Z</dcterms:created>
  <dcterms:modified xsi:type="dcterms:W3CDTF">2022-12-15T14:37:00Z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