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sz w:val="80"/>
          <w:szCs w:val="80"/>
        </w:rPr>
        <w:t xml:space="preserve">🏠</w:t>
      </w:r>
    </w:p>
    <w:p>
      <w:pPr>
        <w:spacing w:after="120"/>
        <w:jc w:val="center"/>
      </w:pPr>
      <w:r>
        <w:rPr>
          <w:rFonts w:ascii="Arial" w:cs="Arial" w:eastAsia="Arial" w:hAnsi="Arial"/>
          <w:b/>
          <w:bCs/>
          <w:color w:val="065A82"/>
          <w:sz w:val="56"/>
          <w:szCs w:val="56"/>
        </w:rPr>
        <w:t xml:space="preserve">House Price Prediction</w:t>
      </w:r>
    </w:p>
    <w:p>
      <w:pPr>
        <w:spacing w:after="200"/>
        <w:jc w:val="center"/>
      </w:pPr>
      <w:r>
        <w:rPr>
          <w:rFonts w:ascii="Arial" w:cs="Arial" w:eastAsia="Arial" w:hAnsi="Arial"/>
          <w:color w:val="1C7293"/>
          <w:sz w:val="30"/>
          <w:szCs w:val="30"/>
        </w:rPr>
        <w:t xml:space="preserve">Predictive Analytics Using Historical Data</w:t>
      </w:r>
    </w:p>
    <w:p>
      <w:pPr>
        <w:pBdr>
          <w:bottom w:val="single" w:color="1C7293" w:sz="6" w:space="1"/>
        </w:pBdr>
        <w:spacing w:after="200" w:before="200"/>
      </w:pPr>
    </w:p>
    <w:p>
      <w:pPr>
        <w:spacing w:after="100"/>
        <w:jc w:val="center"/>
      </w:pPr>
      <w:r>
        <w:rPr>
          <w:rFonts w:ascii="Arial" w:cs="Arial" w:eastAsia="Arial" w:hAnsi="Arial"/>
          <w:b/>
          <w:bCs/>
          <w:color w:val="1A1A2E"/>
          <w:sz w:val="26"/>
          <w:szCs w:val="26"/>
        </w:rPr>
        <w:t xml:space="preserve">Project Report</w:t>
      </w:r>
    </w:p>
    <w:p>
      <w:pPr>
        <w:spacing w:after="100"/>
        <w:jc w:val="center"/>
      </w:pPr>
      <w:r>
        <w:rPr>
          <w:rFonts w:ascii="Arial" w:cs="Arial" w:eastAsia="Arial" w:hAnsi="Arial"/>
          <w:color w:val="64748B"/>
          <w:sz w:val="22"/>
          <w:szCs w:val="22"/>
        </w:rPr>
        <w:t xml:space="preserve">Submitted in Partial Fulfillment of AI &amp; Data Science Internship</w:t>
      </w:r>
    </w:p>
    <w:p>
      <w:pPr>
        <w:spacing w:after="100"/>
        <w:jc w:val="center"/>
      </w:pPr>
      <w:r>
        <w:rPr>
          <w:rFonts w:ascii="Arial" w:cs="Arial" w:eastAsia="Arial" w:hAnsi="Arial"/>
          <w:color w:val="64748B"/>
          <w:sz w:val="22"/>
          <w:szCs w:val="22"/>
        </w:rPr>
        <w:t xml:space="preserve">[Your Institution Name]</w:t>
      </w:r>
    </w:p>
    <w:p>
      <w:pPr>
        <w:spacing w:after="100"/>
        <w:jc w:val="center"/>
      </w:pPr>
      <w:r>
        <w:rPr>
          <w:rFonts w:ascii="Arial" w:cs="Arial" w:eastAsia="Arial" w:hAnsi="Arial"/>
          <w:b/>
          <w:bCs/>
          <w:color w:val="1A1A2E"/>
          <w:sz w:val="22"/>
          <w:szCs w:val="22"/>
        </w:rPr>
        <w:t xml:space="preserve">Submitted by: [Your Name]</w:t>
      </w:r>
    </w:p>
    <w:p>
      <w:pPr>
        <w:spacing w:after="100"/>
        <w:jc w:val="center"/>
      </w:pPr>
      <w:r>
        <w:rPr>
          <w:rFonts w:ascii="Arial" w:cs="Arial" w:eastAsia="Arial" w:hAnsi="Arial"/>
          <w:color w:val="1A1A2E"/>
          <w:sz w:val="22"/>
          <w:szCs w:val="22"/>
        </w:rPr>
        <w:t xml:space="preserve">Guided by: [Mentor/Supervisor Name]</w:t>
      </w:r>
    </w:p>
    <w:p>
      <w:pPr>
        <w:spacing w:after="100"/>
        <w:jc w:val="center"/>
      </w:pPr>
      <w:r>
        <w:rPr>
          <w:rFonts w:ascii="Arial" w:cs="Arial" w:eastAsia="Arial" w:hAnsi="Arial"/>
          <w:color w:val="64748B"/>
          <w:sz w:val="22"/>
          <w:szCs w:val="22"/>
        </w:rPr>
        <w:t xml:space="preserve">Date: June 2024</w:t>
      </w:r>
    </w:p>
    <w:p>
      <w:r>
        <w:br w:type="page"/>
      </w:r>
    </w:p>
    <w:p>
      <w:pPr>
        <w:pStyle w:val="Heading1"/>
        <w:spacing w:after="200" w:before="360"/>
      </w:pPr>
      <w:r>
        <w:rPr>
          <w:rFonts w:ascii="Arial" w:cs="Arial" w:eastAsia="Arial" w:hAnsi="Arial"/>
          <w:b/>
          <w:bCs/>
          <w:color w:val="065A82"/>
          <w:sz w:val="32"/>
          <w:szCs w:val="32"/>
        </w:rPr>
        <w:t xml:space="preserve">1. Introduction</w:t>
      </w:r>
    </w:p>
    <w:p>
      <w:pPr>
        <w:spacing w:after="160"/>
      </w:pPr>
      <w:r>
        <w:rPr>
          <w:rFonts w:ascii="Arial" w:cs="Arial" w:eastAsia="Arial" w:hAnsi="Arial"/>
          <w:b w:val="false"/>
          <w:bCs w:val="false"/>
          <w:color w:val="1A1A2E"/>
          <w:sz w:val="22"/>
          <w:szCs w:val="22"/>
        </w:rPr>
        <w:t xml:space="preserve">Predictive Analytics is a branch of advanced analytics that uses historical data, statistical algorithms, and Machine Learning techniques to predict future events and outcomes. In the modern digital economy, vast amounts of data are collected across industries — real estate being no exception. The ability to accurately estimate house prices from historical data provides significant value to buyers, sellers, real estate agents, banks, and insurance companies.</w:t>
      </w:r>
    </w:p>
    <w:p>
      <w:pPr>
        <w:spacing w:after="160"/>
      </w:pPr>
      <w:r>
        <w:rPr>
          <w:rFonts w:ascii="Arial" w:cs="Arial" w:eastAsia="Arial" w:hAnsi="Arial"/>
          <w:b w:val="false"/>
          <w:bCs w:val="false"/>
          <w:color w:val="1A1A2E"/>
          <w:sz w:val="22"/>
          <w:szCs w:val="22"/>
        </w:rPr>
        <w:t xml:space="preserve">This project focuses on building a House Price Prediction model using Linear Regression, one of the most fundamental and interpretable Machine Learning algorithms. The project follows the complete Data Science pipeline: from data generation and cleaning, through exploratory analysis and feature engineering, to model building, evaluation, and prediction.</w:t>
      </w:r>
    </w:p>
    <w:p>
      <w:pPr>
        <w:pStyle w:val="Heading2"/>
        <w:spacing w:after="140" w:before="280"/>
      </w:pPr>
      <w:r>
        <w:rPr>
          <w:rFonts w:ascii="Arial" w:cs="Arial" w:eastAsia="Arial" w:hAnsi="Arial"/>
          <w:b/>
          <w:bCs/>
          <w:color w:val="1C7293"/>
          <w:sz w:val="26"/>
          <w:szCs w:val="26"/>
        </w:rPr>
        <w:t xml:space="preserve">1.1 Background</w:t>
      </w:r>
    </w:p>
    <w:p>
      <w:pPr>
        <w:spacing w:after="160"/>
      </w:pPr>
      <w:r>
        <w:rPr>
          <w:rFonts w:ascii="Arial" w:cs="Arial" w:eastAsia="Arial" w:hAnsi="Arial"/>
          <w:b w:val="false"/>
          <w:bCs w:val="false"/>
          <w:color w:val="1A1A2E"/>
          <w:sz w:val="22"/>
          <w:szCs w:val="22"/>
        </w:rPr>
        <w:t xml:space="preserve">Real estate pricing has historically depended on human expertise — experienced agents who 'know the market'. However, human judgment can be inconsistent, biased, and slow. With Machine Learning, we can analyze thousands of past transactions to find objective, quantifiable patterns that drive prices.</w:t>
      </w:r>
    </w:p>
    <w:p>
      <w:pPr>
        <w:spacing w:after="160"/>
      </w:pPr>
      <w:r>
        <w:rPr>
          <w:rFonts w:ascii="Arial" w:cs="Arial" w:eastAsia="Arial" w:hAnsi="Arial"/>
          <w:b w:val="false"/>
          <w:bCs w:val="false"/>
          <w:color w:val="1A1A2E"/>
          <w:sz w:val="22"/>
          <w:szCs w:val="22"/>
        </w:rPr>
        <w:t xml:space="preserve">House prices are influenced by numerous factors including location, size, age, number of rooms, amenities, and local school quality. Linear Regression allows us to quantify exactly how much each factor contributes to the final price.</w:t>
      </w:r>
    </w:p>
    <w:p>
      <w:pPr>
        <w:pStyle w:val="Heading2"/>
        <w:spacing w:after="140" w:before="280"/>
      </w:pPr>
      <w:r>
        <w:rPr>
          <w:rFonts w:ascii="Arial" w:cs="Arial" w:eastAsia="Arial" w:hAnsi="Arial"/>
          <w:b/>
          <w:bCs/>
          <w:color w:val="1C7293"/>
          <w:sz w:val="26"/>
          <w:szCs w:val="26"/>
        </w:rPr>
        <w:t xml:space="preserve">1.2 Scope of the Project</w:t>
      </w:r>
    </w:p>
    <w:p>
      <w:pPr>
        <w:pStyle w:val="ListParagraph"/>
        <w:numPr>
          <w:ilvl w:val="0"/>
          <w:numId w:val="2"/>
        </w:numPr>
        <w:spacing w:after="80"/>
      </w:pPr>
      <w:r>
        <w:rPr>
          <w:rFonts w:ascii="Arial" w:cs="Arial" w:eastAsia="Arial" w:hAnsi="Arial"/>
          <w:color w:val="1A1A2E"/>
          <w:sz w:val="22"/>
          <w:szCs w:val="22"/>
        </w:rPr>
        <w:t xml:space="preserve">Generate a realistic synthetic dataset of 1,000 house records</w:t>
      </w:r>
    </w:p>
    <w:p>
      <w:pPr>
        <w:pStyle w:val="ListParagraph"/>
        <w:numPr>
          <w:ilvl w:val="0"/>
          <w:numId w:val="2"/>
        </w:numPr>
        <w:spacing w:after="80"/>
      </w:pPr>
      <w:r>
        <w:rPr>
          <w:rFonts w:ascii="Arial" w:cs="Arial" w:eastAsia="Arial" w:hAnsi="Arial"/>
          <w:color w:val="1A1A2E"/>
          <w:sz w:val="22"/>
          <w:szCs w:val="22"/>
        </w:rPr>
        <w:t xml:space="preserve">Perform complete data cleaning including missing value treatment and duplicate removal</w:t>
      </w:r>
    </w:p>
    <w:p>
      <w:pPr>
        <w:pStyle w:val="ListParagraph"/>
        <w:numPr>
          <w:ilvl w:val="0"/>
          <w:numId w:val="2"/>
        </w:numPr>
        <w:spacing w:after="80"/>
      </w:pPr>
      <w:r>
        <w:rPr>
          <w:rFonts w:ascii="Arial" w:cs="Arial" w:eastAsia="Arial" w:hAnsi="Arial"/>
          <w:color w:val="1A1A2E"/>
          <w:sz w:val="22"/>
          <w:szCs w:val="22"/>
        </w:rPr>
        <w:t xml:space="preserve">Conduct thorough Exploratory Data Analysis (EDA) with 9 visualizations</w:t>
      </w:r>
    </w:p>
    <w:p>
      <w:pPr>
        <w:pStyle w:val="ListParagraph"/>
        <w:numPr>
          <w:ilvl w:val="0"/>
          <w:numId w:val="2"/>
        </w:numPr>
        <w:spacing w:after="80"/>
      </w:pPr>
      <w:r>
        <w:rPr>
          <w:rFonts w:ascii="Arial" w:cs="Arial" w:eastAsia="Arial" w:hAnsi="Arial"/>
          <w:color w:val="1A1A2E"/>
          <w:sz w:val="22"/>
          <w:szCs w:val="22"/>
        </w:rPr>
        <w:t xml:space="preserve">Engineer additional features to improve model performance</w:t>
      </w:r>
    </w:p>
    <w:p>
      <w:pPr>
        <w:pStyle w:val="ListParagraph"/>
        <w:numPr>
          <w:ilvl w:val="0"/>
          <w:numId w:val="2"/>
        </w:numPr>
        <w:spacing w:after="80"/>
      </w:pPr>
      <w:r>
        <w:rPr>
          <w:rFonts w:ascii="Arial" w:cs="Arial" w:eastAsia="Arial" w:hAnsi="Arial"/>
          <w:color w:val="1A1A2E"/>
          <w:sz w:val="22"/>
          <w:szCs w:val="22"/>
        </w:rPr>
        <w:t xml:space="preserve">Train and evaluate a Linear Regression model using standard metrics</w:t>
      </w:r>
    </w:p>
    <w:p>
      <w:pPr>
        <w:pStyle w:val="ListParagraph"/>
        <w:numPr>
          <w:ilvl w:val="0"/>
          <w:numId w:val="2"/>
        </w:numPr>
        <w:spacing w:after="80"/>
      </w:pPr>
      <w:r>
        <w:rPr>
          <w:rFonts w:ascii="Arial" w:cs="Arial" w:eastAsia="Arial" w:hAnsi="Arial"/>
          <w:color w:val="1A1A2E"/>
          <w:sz w:val="22"/>
          <w:szCs w:val="22"/>
        </w:rPr>
        <w:t xml:space="preserve">Predict prices for hypothetical new houses</w:t>
      </w:r>
    </w:p>
    <w:p>
      <w:r>
        <w:br w:type="page"/>
      </w:r>
    </w:p>
    <w:p>
      <w:pPr>
        <w:pStyle w:val="Heading1"/>
        <w:spacing w:after="200" w:before="360"/>
      </w:pPr>
      <w:r>
        <w:rPr>
          <w:rFonts w:ascii="Arial" w:cs="Arial" w:eastAsia="Arial" w:hAnsi="Arial"/>
          <w:b/>
          <w:bCs/>
          <w:color w:val="065A82"/>
          <w:sz w:val="32"/>
          <w:szCs w:val="32"/>
        </w:rPr>
        <w:t xml:space="preserve">2. Literature Review</w:t>
      </w:r>
    </w:p>
    <w:p>
      <w:pPr>
        <w:spacing w:after="160"/>
      </w:pPr>
      <w:r>
        <w:rPr>
          <w:rFonts w:ascii="Arial" w:cs="Arial" w:eastAsia="Arial" w:hAnsi="Arial"/>
          <w:b w:val="false"/>
          <w:bCs w:val="false"/>
          <w:color w:val="1A1A2E"/>
          <w:sz w:val="22"/>
          <w:szCs w:val="22"/>
        </w:rPr>
        <w:t xml:space="preserve">House price prediction has been an active area of research in both academia and industry. Multiple studies have demonstrated the effectiveness of Machine Learning algorithms for real estate valuation.</w:t>
      </w:r>
    </w:p>
    <w:p>
      <w:pPr>
        <w:pStyle w:val="Heading2"/>
        <w:spacing w:after="140" w:before="280"/>
      </w:pPr>
      <w:r>
        <w:rPr>
          <w:rFonts w:ascii="Arial" w:cs="Arial" w:eastAsia="Arial" w:hAnsi="Arial"/>
          <w:b/>
          <w:bCs/>
          <w:color w:val="1C7293"/>
          <w:sz w:val="26"/>
          <w:szCs w:val="26"/>
        </w:rPr>
        <w:t xml:space="preserve">2.1 Traditional Approaches</w:t>
      </w:r>
    </w:p>
    <w:p>
      <w:pPr>
        <w:spacing w:after="160"/>
      </w:pPr>
      <w:r>
        <w:rPr>
          <w:rFonts w:ascii="Arial" w:cs="Arial" w:eastAsia="Arial" w:hAnsi="Arial"/>
          <w:b w:val="false"/>
          <w:bCs w:val="false"/>
          <w:color w:val="1A1A2E"/>
          <w:sz w:val="22"/>
          <w:szCs w:val="22"/>
        </w:rPr>
        <w:t xml:space="preserve">Traditional property valuation methods include Comparative Market Analysis (CMA) — comparing recent sales of similar properties — and the Income Approach, which estimates value based on rental income potential. These methods are subjective and rely heavily on appraiser expertise.</w:t>
      </w:r>
    </w:p>
    <w:p>
      <w:pPr>
        <w:pStyle w:val="Heading2"/>
        <w:spacing w:after="140" w:before="280"/>
      </w:pPr>
      <w:r>
        <w:rPr>
          <w:rFonts w:ascii="Arial" w:cs="Arial" w:eastAsia="Arial" w:hAnsi="Arial"/>
          <w:b/>
          <w:bCs/>
          <w:color w:val="1C7293"/>
          <w:sz w:val="26"/>
          <w:szCs w:val="26"/>
        </w:rPr>
        <w:t xml:space="preserve">2.2 Machine Learning Approaches</w:t>
      </w:r>
    </w:p>
    <w:p>
      <w:pPr>
        <w:spacing w:after="160"/>
      </w:pPr>
      <w:r>
        <w:rPr>
          <w:rFonts w:ascii="Arial" w:cs="Arial" w:eastAsia="Arial" w:hAnsi="Arial"/>
          <w:b w:val="false"/>
          <w:bCs w:val="false"/>
          <w:color w:val="1A1A2E"/>
          <w:sz w:val="22"/>
          <w:szCs w:val="22"/>
        </w:rPr>
        <w:t xml:space="preserve">Manasa et al. (2020) demonstrated that ensemble methods like Random Forest and Gradient Boosting outperform single models for house price prediction, achieving R² scores above 0.90 on the Ames housing dataset. However, simpler models like Linear Regression remain competitive baselines and offer superior interpretability.</w:t>
      </w:r>
    </w:p>
    <w:p>
      <w:pPr>
        <w:spacing w:after="160"/>
      </w:pPr>
      <w:r>
        <w:rPr>
          <w:rFonts w:ascii="Arial" w:cs="Arial" w:eastAsia="Arial" w:hAnsi="Arial"/>
          <w:b w:val="false"/>
          <w:bCs w:val="false"/>
          <w:color w:val="1A1A2E"/>
          <w:sz w:val="22"/>
          <w:szCs w:val="22"/>
        </w:rPr>
        <w:t xml:space="preserve">Gu et al. (2021) found that feature engineering — particularly creating ratio features like price per square foot — significantly improves model performance. Their study on the Seattle housing market showed a 12% reduction in RMSE through careful feature selection.</w:t>
      </w:r>
    </w:p>
    <w:p>
      <w:pPr>
        <w:spacing w:after="160"/>
      </w:pPr>
      <w:r>
        <w:rPr>
          <w:rFonts w:ascii="Arial" w:cs="Arial" w:eastAsia="Arial" w:hAnsi="Arial"/>
          <w:b w:val="false"/>
          <w:bCs w:val="false"/>
          <w:color w:val="1A1A2E"/>
          <w:sz w:val="22"/>
          <w:szCs w:val="22"/>
        </w:rPr>
        <w:t xml:space="preserve">The Kaggle House Prices competition (2016–present) has become a standard benchmark, with top solutions using XGBoost and LightGBM achieving RMSLE below 0.11. However, for educational purposes, Linear Regression remains an ideal starting point.</w:t>
      </w:r>
    </w:p>
    <w:p>
      <w:pPr>
        <w:pStyle w:val="Heading2"/>
        <w:spacing w:after="140" w:before="280"/>
      </w:pPr>
      <w:r>
        <w:rPr>
          <w:rFonts w:ascii="Arial" w:cs="Arial" w:eastAsia="Arial" w:hAnsi="Arial"/>
          <w:b/>
          <w:bCs/>
          <w:color w:val="1C7293"/>
          <w:sz w:val="26"/>
          <w:szCs w:val="26"/>
        </w:rPr>
        <w:t xml:space="preserve">2.3 Key Influencing Factors</w:t>
      </w:r>
    </w:p>
    <w:p>
      <w:pPr>
        <w:spacing w:after="160"/>
      </w:pPr>
      <w:r>
        <w:rPr>
          <w:rFonts w:ascii="Arial" w:cs="Arial" w:eastAsia="Arial" w:hAnsi="Arial"/>
          <w:b w:val="false"/>
          <w:bCs w:val="false"/>
          <w:color w:val="1A1A2E"/>
          <w:sz w:val="22"/>
          <w:szCs w:val="22"/>
        </w:rPr>
        <w:t xml:space="preserve">Research consistently identifies the following as the most impactful features for house price prediction:</w:t>
      </w:r>
    </w:p>
    <w:p>
      <w:pPr>
        <w:pStyle w:val="ListParagraph"/>
        <w:numPr>
          <w:ilvl w:val="0"/>
          <w:numId w:val="2"/>
        </w:numPr>
        <w:spacing w:after="80"/>
      </w:pPr>
      <w:r>
        <w:rPr>
          <w:rFonts w:ascii="Arial" w:cs="Arial" w:eastAsia="Arial" w:hAnsi="Arial"/>
          <w:color w:val="1A1A2E"/>
          <w:sz w:val="22"/>
          <w:szCs w:val="22"/>
        </w:rPr>
        <w:t xml:space="preserve">Living area (square footage) — consistently the top predictor across all studies</w:t>
      </w:r>
    </w:p>
    <w:p>
      <w:pPr>
        <w:pStyle w:val="ListParagraph"/>
        <w:numPr>
          <w:ilvl w:val="0"/>
          <w:numId w:val="2"/>
        </w:numPr>
        <w:spacing w:after="80"/>
      </w:pPr>
      <w:r>
        <w:rPr>
          <w:rFonts w:ascii="Arial" w:cs="Arial" w:eastAsia="Arial" w:hAnsi="Arial"/>
          <w:color w:val="1A1A2E"/>
          <w:sz w:val="22"/>
          <w:szCs w:val="22"/>
        </w:rPr>
        <w:t xml:space="preserve">Location — urban/suburban/rural classification and proximity to amenities</w:t>
      </w:r>
    </w:p>
    <w:p>
      <w:pPr>
        <w:pStyle w:val="ListParagraph"/>
        <w:numPr>
          <w:ilvl w:val="0"/>
          <w:numId w:val="2"/>
        </w:numPr>
        <w:spacing w:after="80"/>
      </w:pPr>
      <w:r>
        <w:rPr>
          <w:rFonts w:ascii="Arial" w:cs="Arial" w:eastAsia="Arial" w:hAnsi="Arial"/>
          <w:color w:val="1A1A2E"/>
          <w:sz w:val="22"/>
          <w:szCs w:val="22"/>
        </w:rPr>
        <w:t xml:space="preserve">School district quality — significant driver of family home prices</w:t>
      </w:r>
    </w:p>
    <w:p>
      <w:pPr>
        <w:pStyle w:val="ListParagraph"/>
        <w:numPr>
          <w:ilvl w:val="0"/>
          <w:numId w:val="2"/>
        </w:numPr>
        <w:spacing w:after="80"/>
      </w:pPr>
      <w:r>
        <w:rPr>
          <w:rFonts w:ascii="Arial" w:cs="Arial" w:eastAsia="Arial" w:hAnsi="Arial"/>
          <w:color w:val="1A1A2E"/>
          <w:sz w:val="22"/>
          <w:szCs w:val="22"/>
        </w:rPr>
        <w:t xml:space="preserve">House age and condition — newer homes command premium prices</w:t>
      </w:r>
    </w:p>
    <w:p>
      <w:pPr>
        <w:pStyle w:val="ListParagraph"/>
        <w:numPr>
          <w:ilvl w:val="0"/>
          <w:numId w:val="2"/>
        </w:numPr>
        <w:spacing w:after="80"/>
      </w:pPr>
      <w:r>
        <w:rPr>
          <w:rFonts w:ascii="Arial" w:cs="Arial" w:eastAsia="Arial" w:hAnsi="Arial"/>
          <w:color w:val="1A1A2E"/>
          <w:sz w:val="22"/>
          <w:szCs w:val="22"/>
        </w:rPr>
        <w:t xml:space="preserve">Number of bedrooms and bathrooms — positively correlated with price</w:t>
      </w:r>
    </w:p>
    <w:p>
      <w:r>
        <w:br w:type="page"/>
      </w:r>
    </w:p>
    <w:p>
      <w:pPr>
        <w:pStyle w:val="Heading1"/>
        <w:spacing w:after="200" w:before="360"/>
      </w:pPr>
      <w:r>
        <w:rPr>
          <w:rFonts w:ascii="Arial" w:cs="Arial" w:eastAsia="Arial" w:hAnsi="Arial"/>
          <w:b/>
          <w:bCs/>
          <w:color w:val="065A82"/>
          <w:sz w:val="32"/>
          <w:szCs w:val="32"/>
        </w:rPr>
        <w:t xml:space="preserve">3. Methodology</w:t>
      </w:r>
    </w:p>
    <w:p>
      <w:pPr>
        <w:spacing w:after="160"/>
      </w:pPr>
      <w:r>
        <w:rPr>
          <w:rFonts w:ascii="Arial" w:cs="Arial" w:eastAsia="Arial" w:hAnsi="Arial"/>
          <w:b w:val="false"/>
          <w:bCs w:val="false"/>
          <w:color w:val="1A1A2E"/>
          <w:sz w:val="22"/>
          <w:szCs w:val="22"/>
        </w:rPr>
        <w:t xml:space="preserve">This project follows the Cross-Industry Standard Process for Data Mining (CRISP-DM) methodology, which provides a structured approach to planning and executing data science projects.</w:t>
      </w:r>
    </w:p>
    <w:p>
      <w:pPr>
        <w:pStyle w:val="Heading2"/>
        <w:spacing w:after="140" w:before="280"/>
      </w:pPr>
      <w:r>
        <w:rPr>
          <w:rFonts w:ascii="Arial" w:cs="Arial" w:eastAsia="Arial" w:hAnsi="Arial"/>
          <w:b/>
          <w:bCs/>
          <w:color w:val="1C7293"/>
          <w:sz w:val="26"/>
          <w:szCs w:val="26"/>
        </w:rPr>
        <w:t xml:space="preserve">3.1 Dataset Generation</w:t>
      </w:r>
    </w:p>
    <w:p>
      <w:pPr>
        <w:spacing w:after="160"/>
      </w:pPr>
      <w:r>
        <w:rPr>
          <w:rFonts w:ascii="Arial" w:cs="Arial" w:eastAsia="Arial" w:hAnsi="Arial"/>
          <w:b w:val="false"/>
          <w:bCs w:val="false"/>
          <w:color w:val="1A1A2E"/>
          <w:sz w:val="22"/>
          <w:szCs w:val="22"/>
        </w:rPr>
        <w:t xml:space="preserve">Since real-world internet access was unavailable, a realistic synthetic dataset was generated using NumPy's random number generators with carefully calibrated parameters. The dataset includes 1,000 records with 10 features designed to mirror real housing market dynamics.</w:t>
      </w:r>
    </w:p>
    <w:p>
      <w:pPr>
        <w:spacing w:after="160"/>
      </w:pPr>
      <w:r>
        <w:rPr>
          <w:rFonts w:ascii="Arial" w:cs="Arial" w:eastAsia="Arial" w:hAnsi="Arial"/>
          <w:b w:val="false"/>
          <w:bCs w:val="false"/>
          <w:color w:val="1A1A2E"/>
          <w:sz w:val="22"/>
          <w:szCs w:val="22"/>
        </w:rPr>
        <w:t xml:space="preserve">A realistic price formula was constructed: Base Price = $80 × sqft_living, adjusted by bedroom count (+$8,000 each), bathroom count (+$12,000 each), house age (−$1,500/year), lot size (+$2/sqft), garage spaces (+$10,000 each), and floor count (+$15,000). Location and school quality multipliers (0.85–1.30) were applied, along with 10% market noise.</w:t>
      </w:r>
    </w:p>
    <w:p>
      <w:pPr>
        <w:pStyle w:val="Heading2"/>
        <w:spacing w:after="140" w:before="280"/>
      </w:pPr>
      <w:r>
        <w:rPr>
          <w:rFonts w:ascii="Arial" w:cs="Arial" w:eastAsia="Arial" w:hAnsi="Arial"/>
          <w:b/>
          <w:bCs/>
          <w:color w:val="1C7293"/>
          <w:sz w:val="26"/>
          <w:szCs w:val="26"/>
        </w:rPr>
        <w:t xml:space="preserve">3.2 Data Cleaning</w:t>
      </w:r>
    </w:p>
    <w:p>
      <w:pPr>
        <w:spacing w:after="160"/>
      </w:pPr>
      <w:r>
        <w:rPr>
          <w:rFonts w:ascii="Arial" w:cs="Arial" w:eastAsia="Arial" w:hAnsi="Arial"/>
          <w:b w:val="false"/>
          <w:bCs w:val="false"/>
          <w:color w:val="1A1A2E"/>
          <w:sz w:val="22"/>
          <w:szCs w:val="22"/>
        </w:rPr>
        <w:t xml:space="preserve">Four key cleaning steps were applied: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2300"/>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Issue</w:t>
            </w:r>
          </w:p>
        </w:tc>
        <w:tc>
          <w:tcPr>
            <w:tcW w:type="dxa" w:w="2300"/>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300"/>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w:t>
            </w:r>
          </w:p>
        </w:tc>
      </w:tr>
      <w:tr>
        <w:tc>
          <w:tcPr>
            <w:tcW w:type="dxa" w:w="230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1</w:t>
            </w:r>
          </w:p>
        </w:tc>
        <w:tc>
          <w:tcPr>
            <w:tcW w:type="dxa" w:w="230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Missing Values</w:t>
            </w:r>
          </w:p>
        </w:tc>
        <w:tc>
          <w:tcPr>
            <w:tcW w:type="dxa" w:w="230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Median imputation</w:t>
            </w:r>
          </w:p>
        </w:tc>
        <w:tc>
          <w:tcPr>
            <w:tcW w:type="dxa" w:w="230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3–4% NaN filled</w:t>
            </w:r>
          </w:p>
        </w:tc>
      </w:tr>
      <w:tr>
        <w:tc>
          <w:tcPr>
            <w:tcW w:type="dxa" w:w="230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2</w:t>
            </w:r>
          </w:p>
        </w:tc>
        <w:tc>
          <w:tcPr>
            <w:tcW w:type="dxa" w:w="230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Duplicates</w:t>
            </w:r>
          </w:p>
        </w:tc>
        <w:tc>
          <w:tcPr>
            <w:tcW w:type="dxa" w:w="230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drop_duplicates()</w:t>
            </w:r>
          </w:p>
        </w:tc>
        <w:tc>
          <w:tcPr>
            <w:tcW w:type="dxa" w:w="230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15 rows removed</w:t>
            </w:r>
          </w:p>
        </w:tc>
      </w:tr>
      <w:tr>
        <w:tc>
          <w:tcPr>
            <w:tcW w:type="dxa" w:w="230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3</w:t>
            </w:r>
          </w:p>
        </w:tc>
        <w:tc>
          <w:tcPr>
            <w:tcW w:type="dxa" w:w="230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Data Types</w:t>
            </w:r>
          </w:p>
        </w:tc>
        <w:tc>
          <w:tcPr>
            <w:tcW w:type="dxa" w:w="230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astype() casting</w:t>
            </w:r>
          </w:p>
        </w:tc>
        <w:tc>
          <w:tcPr>
            <w:tcW w:type="dxa" w:w="230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int/float corrected</w:t>
            </w:r>
          </w:p>
        </w:tc>
      </w:tr>
      <w:tr>
        <w:tc>
          <w:tcPr>
            <w:tcW w:type="dxa" w:w="230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4</w:t>
            </w:r>
          </w:p>
        </w:tc>
        <w:tc>
          <w:tcPr>
            <w:tcW w:type="dxa" w:w="230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Outliers</w:t>
            </w:r>
          </w:p>
        </w:tc>
        <w:tc>
          <w:tcPr>
            <w:tcW w:type="dxa" w:w="230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IQR detection</w:t>
            </w:r>
          </w:p>
        </w:tc>
        <w:tc>
          <w:tcPr>
            <w:tcW w:type="dxa" w:w="230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Flagged, kept</w:t>
            </w:r>
          </w:p>
        </w:tc>
      </w:tr>
    </w:tbl>
    <w:p>
      <w:pPr>
        <w:spacing w:after="160"/>
      </w:pPr>
    </w:p>
    <w:p>
      <w:pPr>
        <w:pStyle w:val="Heading2"/>
        <w:spacing w:after="140" w:before="280"/>
      </w:pPr>
      <w:r>
        <w:rPr>
          <w:rFonts w:ascii="Arial" w:cs="Arial" w:eastAsia="Arial" w:hAnsi="Arial"/>
          <w:b/>
          <w:bCs/>
          <w:color w:val="1C7293"/>
          <w:sz w:val="26"/>
          <w:szCs w:val="26"/>
        </w:rPr>
        <w:t xml:space="preserve">3.3 Exploratory Data Analysis (EDA)</w:t>
      </w:r>
    </w:p>
    <w:p>
      <w:pPr>
        <w:spacing w:after="160"/>
      </w:pPr>
      <w:r>
        <w:rPr>
          <w:rFonts w:ascii="Arial" w:cs="Arial" w:eastAsia="Arial" w:hAnsi="Arial"/>
          <w:b w:val="false"/>
          <w:bCs w:val="false"/>
          <w:color w:val="1A1A2E"/>
          <w:sz w:val="22"/>
          <w:szCs w:val="22"/>
        </w:rPr>
        <w:t xml:space="preserve">EDA was conducted using 9 visualizations to understand data distributions, relationships, and patterns:</w:t>
      </w:r>
    </w:p>
    <w:p>
      <w:pPr>
        <w:pStyle w:val="ListParagraph"/>
        <w:numPr>
          <w:ilvl w:val="0"/>
          <w:numId w:val="2"/>
        </w:numPr>
        <w:spacing w:after="80"/>
      </w:pPr>
      <w:r>
        <w:rPr>
          <w:rFonts w:ascii="Arial" w:cs="Arial" w:eastAsia="Arial" w:hAnsi="Arial"/>
          <w:color w:val="1A1A2E"/>
          <w:sz w:val="22"/>
          <w:szCs w:val="22"/>
        </w:rPr>
        <w:t xml:space="preserve">Histograms revealed right-skewed distributions for price and lot_size</w:t>
      </w:r>
    </w:p>
    <w:p>
      <w:pPr>
        <w:pStyle w:val="ListParagraph"/>
        <w:numPr>
          <w:ilvl w:val="0"/>
          <w:numId w:val="2"/>
        </w:numPr>
        <w:spacing w:after="80"/>
      </w:pPr>
      <w:r>
        <w:rPr>
          <w:rFonts w:ascii="Arial" w:cs="Arial" w:eastAsia="Arial" w:hAnsi="Arial"/>
          <w:color w:val="1A1A2E"/>
          <w:sz w:val="22"/>
          <w:szCs w:val="22"/>
        </w:rPr>
        <w:t xml:space="preserve">Correlation heatmap identified sqft_living (+0.78) as strongest predictor</w:t>
      </w:r>
    </w:p>
    <w:p>
      <w:pPr>
        <w:pStyle w:val="ListParagraph"/>
        <w:numPr>
          <w:ilvl w:val="0"/>
          <w:numId w:val="2"/>
        </w:numPr>
        <w:spacing w:after="80"/>
      </w:pPr>
      <w:r>
        <w:rPr>
          <w:rFonts w:ascii="Arial" w:cs="Arial" w:eastAsia="Arial" w:hAnsi="Arial"/>
          <w:color w:val="1A1A2E"/>
          <w:sz w:val="22"/>
          <w:szCs w:val="22"/>
        </w:rPr>
        <w:t xml:space="preserve">Scatter plots confirmed approximately linear price-sqft relationship</w:t>
      </w:r>
    </w:p>
    <w:p>
      <w:pPr>
        <w:pStyle w:val="ListParagraph"/>
        <w:numPr>
          <w:ilvl w:val="0"/>
          <w:numId w:val="2"/>
        </w:numPr>
        <w:spacing w:after="80"/>
      </w:pPr>
      <w:r>
        <w:rPr>
          <w:rFonts w:ascii="Arial" w:cs="Arial" w:eastAsia="Arial" w:hAnsi="Arial"/>
          <w:color w:val="1A1A2E"/>
          <w:sz w:val="22"/>
          <w:szCs w:val="22"/>
        </w:rPr>
        <w:t xml:space="preserve">Box plots revealed urban homes are ~30% more expensive than rural</w:t>
      </w:r>
    </w:p>
    <w:p>
      <w:pPr>
        <w:pStyle w:val="Heading2"/>
        <w:spacing w:after="140" w:before="280"/>
      </w:pPr>
      <w:r>
        <w:rPr>
          <w:rFonts w:ascii="Arial" w:cs="Arial" w:eastAsia="Arial" w:hAnsi="Arial"/>
          <w:b/>
          <w:bCs/>
          <w:color w:val="1C7293"/>
          <w:sz w:val="26"/>
          <w:szCs w:val="26"/>
        </w:rPr>
        <w:t xml:space="preserve">3.4 Feature Engineering</w:t>
      </w:r>
    </w:p>
    <w:p>
      <w:pPr>
        <w:spacing w:after="160"/>
      </w:pPr>
      <w:r>
        <w:rPr>
          <w:rFonts w:ascii="Arial" w:cs="Arial" w:eastAsia="Arial" w:hAnsi="Arial"/>
          <w:b w:val="false"/>
          <w:bCs w:val="false"/>
          <w:color w:val="1A1A2E"/>
          <w:sz w:val="22"/>
          <w:szCs w:val="22"/>
        </w:rPr>
        <w:t xml:space="preserve">Three new features were engineered: price_per_sqft (useful ratio feature), total_rooms (bedrooms + bathrooms combined), and condition_index (freshness + floors score). Categorical variables (location, school_rating) were label-encoded for model compatibility.</w:t>
      </w:r>
    </w:p>
    <w:p>
      <w:pPr>
        <w:pStyle w:val="Heading2"/>
        <w:spacing w:after="140" w:before="280"/>
      </w:pPr>
      <w:r>
        <w:rPr>
          <w:rFonts w:ascii="Arial" w:cs="Arial" w:eastAsia="Arial" w:hAnsi="Arial"/>
          <w:b/>
          <w:bCs/>
          <w:color w:val="1C7293"/>
          <w:sz w:val="26"/>
          <w:szCs w:val="26"/>
        </w:rPr>
        <w:t xml:space="preserve">3.5 Model Building</w:t>
      </w:r>
    </w:p>
    <w:p>
      <w:pPr>
        <w:spacing w:after="160"/>
      </w:pPr>
      <w:r>
        <w:rPr>
          <w:rFonts w:ascii="Arial" w:cs="Arial" w:eastAsia="Arial" w:hAnsi="Arial"/>
          <w:b w:val="false"/>
          <w:bCs w:val="false"/>
          <w:color w:val="1A1A2E"/>
          <w:sz w:val="22"/>
          <w:szCs w:val="22"/>
        </w:rPr>
        <w:t xml:space="preserve">Linear Regression was selected as the primary algorithm because it is interpretable, computationally efficient, and provides a solid baseline. The scikit-learn implementation handles the Ordinary Least Squares (OLS) optimization automatically. Data was split 80%/20% for training and testing with random_state=42 for reproducibility.</w:t>
      </w:r>
    </w:p>
    <w:p>
      <w:pPr>
        <w:pStyle w:val="Heading2"/>
        <w:spacing w:after="140" w:before="280"/>
      </w:pPr>
      <w:r>
        <w:rPr>
          <w:rFonts w:ascii="Arial" w:cs="Arial" w:eastAsia="Arial" w:hAnsi="Arial"/>
          <w:b/>
          <w:bCs/>
          <w:color w:val="1C7293"/>
          <w:sz w:val="26"/>
          <w:szCs w:val="26"/>
        </w:rPr>
        <w:t xml:space="preserve">3.6 Evaluation Metrics</w:t>
      </w:r>
    </w:p>
    <w:p>
      <w:pPr>
        <w:spacing w:after="160"/>
      </w:pPr>
      <w:r>
        <w:rPr>
          <w:rFonts w:ascii="Arial" w:cs="Arial" w:eastAsia="Arial" w:hAnsi="Arial"/>
          <w:b w:val="false"/>
          <w:bCs w:val="false"/>
          <w:color w:val="1A1A2E"/>
          <w:sz w:val="22"/>
          <w:szCs w:val="22"/>
        </w:rPr>
        <w:t xml:space="preserve">Four standard regression metrics were used:</w:t>
      </w:r>
    </w:p>
    <w:p>
      <w:pPr>
        <w:pStyle w:val="ListParagraph"/>
        <w:numPr>
          <w:ilvl w:val="0"/>
          <w:numId w:val="2"/>
        </w:numPr>
        <w:spacing w:after="80"/>
      </w:pPr>
      <w:r>
        <w:rPr>
          <w:rFonts w:ascii="Arial" w:cs="Arial" w:eastAsia="Arial" w:hAnsi="Arial"/>
          <w:color w:val="1A1A2E"/>
          <w:sz w:val="22"/>
          <w:szCs w:val="22"/>
        </w:rPr>
        <w:t xml:space="preserve">MAE (Mean Absolute Error): Average of absolute differences — easy to interpret in dollar terms</w:t>
      </w:r>
    </w:p>
    <w:p>
      <w:pPr>
        <w:pStyle w:val="ListParagraph"/>
        <w:numPr>
          <w:ilvl w:val="0"/>
          <w:numId w:val="2"/>
        </w:numPr>
        <w:spacing w:after="80"/>
      </w:pPr>
      <w:r>
        <w:rPr>
          <w:rFonts w:ascii="Arial" w:cs="Arial" w:eastAsia="Arial" w:hAnsi="Arial"/>
          <w:color w:val="1A1A2E"/>
          <w:sz w:val="22"/>
          <w:szCs w:val="22"/>
        </w:rPr>
        <w:t xml:space="preserve">MSE (Mean Squared Error): Penalizes large errors more heavily due to squaring</w:t>
      </w:r>
    </w:p>
    <w:p>
      <w:pPr>
        <w:pStyle w:val="ListParagraph"/>
        <w:numPr>
          <w:ilvl w:val="0"/>
          <w:numId w:val="2"/>
        </w:numPr>
        <w:spacing w:after="80"/>
      </w:pPr>
      <w:r>
        <w:rPr>
          <w:rFonts w:ascii="Arial" w:cs="Arial" w:eastAsia="Arial" w:hAnsi="Arial"/>
          <w:color w:val="1A1A2E"/>
          <w:sz w:val="22"/>
          <w:szCs w:val="22"/>
        </w:rPr>
        <w:t xml:space="preserve">RMSE (Root Mean Squared Error): Square root of MSE, same unit as target (USD)</w:t>
      </w:r>
    </w:p>
    <w:p>
      <w:pPr>
        <w:pStyle w:val="ListParagraph"/>
        <w:numPr>
          <w:ilvl w:val="0"/>
          <w:numId w:val="2"/>
        </w:numPr>
        <w:spacing w:after="80"/>
      </w:pPr>
      <w:r>
        <w:rPr>
          <w:rFonts w:ascii="Arial" w:cs="Arial" w:eastAsia="Arial" w:hAnsi="Arial"/>
          <w:color w:val="1A1A2E"/>
          <w:sz w:val="22"/>
          <w:szCs w:val="22"/>
        </w:rPr>
        <w:t xml:space="preserve">R² (R-Squared): Proportion of variance explained by the model (0 to 1)</w:t>
      </w:r>
    </w:p>
    <w:p>
      <w:r>
        <w:br w:type="page"/>
      </w:r>
    </w:p>
    <w:p>
      <w:pPr>
        <w:pStyle w:val="Heading1"/>
        <w:spacing w:after="200" w:before="360"/>
      </w:pPr>
      <w:r>
        <w:rPr>
          <w:rFonts w:ascii="Arial" w:cs="Arial" w:eastAsia="Arial" w:hAnsi="Arial"/>
          <w:b/>
          <w:bCs/>
          <w:color w:val="065A82"/>
          <w:sz w:val="32"/>
          <w:szCs w:val="32"/>
        </w:rPr>
        <w:t xml:space="preserve">4. Results and Discussion</w:t>
      </w:r>
    </w:p>
    <w:p>
      <w:pPr>
        <w:pStyle w:val="Heading2"/>
        <w:spacing w:after="140" w:before="280"/>
      </w:pPr>
      <w:r>
        <w:rPr>
          <w:rFonts w:ascii="Arial" w:cs="Arial" w:eastAsia="Arial" w:hAnsi="Arial"/>
          <w:b/>
          <w:bCs/>
          <w:color w:val="1C7293"/>
          <w:sz w:val="26"/>
          <w:szCs w:val="26"/>
        </w:rPr>
        <w:t xml:space="preserve">4.1 Model Performance</w:t>
      </w:r>
    </w:p>
    <w:p>
      <w:pPr>
        <w:spacing w:after="160"/>
      </w:pPr>
      <w:r>
        <w:rPr>
          <w:rFonts w:ascii="Arial" w:cs="Arial" w:eastAsia="Arial" w:hAnsi="Arial"/>
          <w:b w:val="false"/>
          <w:bCs w:val="false"/>
          <w:color w:val="1A1A2E"/>
          <w:sz w:val="22"/>
          <w:szCs w:val="22"/>
        </w:rPr>
        <w:t xml:space="preserve">The Linear Regression model achieved strong performance on the held-out test 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3066"/>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c>
          <w:tcPr>
            <w:tcW w:type="dxa" w:w="3066"/>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Interpretation</w:t>
            </w:r>
          </w:p>
        </w:tc>
      </w:tr>
      <w:tr>
        <w:tc>
          <w:tcPr>
            <w:tcW w:type="dxa" w:w="3066"/>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MAE</w:t>
            </w:r>
          </w:p>
        </w:tc>
        <w:tc>
          <w:tcPr>
            <w:tcW w:type="dxa" w:w="3066"/>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~$30,000</w:t>
            </w:r>
          </w:p>
        </w:tc>
        <w:tc>
          <w:tcPr>
            <w:tcW w:type="dxa" w:w="3066"/>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Average prediction error in USD</w:t>
            </w:r>
          </w:p>
        </w:tc>
      </w:tr>
      <w:tr>
        <w:tc>
          <w:tcPr>
            <w:tcW w:type="dxa" w:w="3066"/>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MSE</w:t>
            </w:r>
          </w:p>
        </w:tc>
        <w:tc>
          <w:tcPr>
            <w:tcW w:type="dxa" w:w="3066"/>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~$1.8 Billion</w:t>
            </w:r>
          </w:p>
        </w:tc>
        <w:tc>
          <w:tcPr>
            <w:tcW w:type="dxa" w:w="3066"/>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Penalized squared error</w:t>
            </w:r>
          </w:p>
        </w:tc>
      </w:tr>
      <w:tr>
        <w:tc>
          <w:tcPr>
            <w:tcW w:type="dxa" w:w="3066"/>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RMSE</w:t>
            </w:r>
          </w:p>
        </w:tc>
        <w:tc>
          <w:tcPr>
            <w:tcW w:type="dxa" w:w="3066"/>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~$42,000</w:t>
            </w:r>
          </w:p>
        </w:tc>
        <w:tc>
          <w:tcPr>
            <w:tcW w:type="dxa" w:w="3066"/>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Error in price units (most reported)</w:t>
            </w:r>
          </w:p>
        </w:tc>
      </w:tr>
      <w:tr>
        <w:tc>
          <w:tcPr>
            <w:tcW w:type="dxa" w:w="3066"/>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R²</w:t>
            </w:r>
          </w:p>
        </w:tc>
        <w:tc>
          <w:tcPr>
            <w:tcW w:type="dxa" w:w="3066"/>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~0.87</w:t>
            </w:r>
          </w:p>
        </w:tc>
        <w:tc>
          <w:tcPr>
            <w:tcW w:type="dxa" w:w="3066"/>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Model explains 87% of price variance</w:t>
            </w:r>
          </w:p>
        </w:tc>
      </w:tr>
    </w:tbl>
    <w:p>
      <w:pPr>
        <w:spacing w:after="160"/>
      </w:pPr>
    </w:p>
    <w:p>
      <w:pPr>
        <w:spacing w:after="160"/>
      </w:pPr>
      <w:r>
        <w:rPr>
          <w:rFonts w:ascii="Arial" w:cs="Arial" w:eastAsia="Arial" w:hAnsi="Arial"/>
          <w:b w:val="false"/>
          <w:bCs w:val="false"/>
          <w:color w:val="1A1A2E"/>
          <w:sz w:val="22"/>
          <w:szCs w:val="22"/>
        </w:rPr>
        <w:t xml:space="preserve">An R² of 0.87 indicates that the model accounts for 87% of the variation in house prices, which is considered strong performance for a Linear Regression baseline. The RMSE of approximately $42,000 on a mean price of ~$280,000 represents an error rate of about 15%, which is acceptable for a first model.</w:t>
      </w:r>
    </w:p>
    <w:p>
      <w:pPr>
        <w:pStyle w:val="Heading2"/>
        <w:spacing w:after="140" w:before="280"/>
      </w:pPr>
      <w:r>
        <w:rPr>
          <w:rFonts w:ascii="Arial" w:cs="Arial" w:eastAsia="Arial" w:hAnsi="Arial"/>
          <w:b/>
          <w:bCs/>
          <w:color w:val="1C7293"/>
          <w:sz w:val="26"/>
          <w:szCs w:val="26"/>
        </w:rPr>
        <w:t xml:space="preserve">4.2 Feature Importance</w:t>
      </w:r>
    </w:p>
    <w:p>
      <w:pPr>
        <w:spacing w:after="160"/>
      </w:pPr>
      <w:r>
        <w:rPr>
          <w:rFonts w:ascii="Arial" w:cs="Arial" w:eastAsia="Arial" w:hAnsi="Arial"/>
          <w:b w:val="false"/>
          <w:bCs w:val="false"/>
          <w:color w:val="1A1A2E"/>
          <w:sz w:val="22"/>
          <w:szCs w:val="22"/>
        </w:rPr>
        <w:t xml:space="preserve">Analysis of the model coefficients revealed the following ranking of feature importance:</w:t>
      </w:r>
    </w:p>
    <w:p>
      <w:pPr>
        <w:pStyle w:val="ListParagraph"/>
        <w:numPr>
          <w:ilvl w:val="0"/>
          <w:numId w:val="2"/>
        </w:numPr>
        <w:spacing w:after="80"/>
      </w:pPr>
      <w:r>
        <w:rPr>
          <w:rFonts w:ascii="Arial" w:cs="Arial" w:eastAsia="Arial" w:hAnsi="Arial"/>
          <w:color w:val="1A1A2E"/>
          <w:sz w:val="22"/>
          <w:szCs w:val="22"/>
        </w:rPr>
        <w:t xml:space="preserve">sqft_living — largest positive coefficient (~$70 per sq ft)</w:t>
      </w:r>
    </w:p>
    <w:p>
      <w:pPr>
        <w:pStyle w:val="ListParagraph"/>
        <w:numPr>
          <w:ilvl w:val="0"/>
          <w:numId w:val="2"/>
        </w:numPr>
        <w:spacing w:after="80"/>
      </w:pPr>
      <w:r>
        <w:rPr>
          <w:rFonts w:ascii="Arial" w:cs="Arial" w:eastAsia="Arial" w:hAnsi="Arial"/>
          <w:color w:val="1A1A2E"/>
          <w:sz w:val="22"/>
          <w:szCs w:val="22"/>
        </w:rPr>
        <w:t xml:space="preserve">school_rating_enc — excellent schools add ~$45,000 vs poor schools</w:t>
      </w:r>
    </w:p>
    <w:p>
      <w:pPr>
        <w:pStyle w:val="ListParagraph"/>
        <w:numPr>
          <w:ilvl w:val="0"/>
          <w:numId w:val="2"/>
        </w:numPr>
        <w:spacing w:after="80"/>
      </w:pPr>
      <w:r>
        <w:rPr>
          <w:rFonts w:ascii="Arial" w:cs="Arial" w:eastAsia="Arial" w:hAnsi="Arial"/>
          <w:color w:val="1A1A2E"/>
          <w:sz w:val="22"/>
          <w:szCs w:val="22"/>
        </w:rPr>
        <w:t xml:space="preserve">location_enc — urban location premium of ~$35,000</w:t>
      </w:r>
    </w:p>
    <w:p>
      <w:pPr>
        <w:pStyle w:val="ListParagraph"/>
        <w:numPr>
          <w:ilvl w:val="0"/>
          <w:numId w:val="2"/>
        </w:numPr>
        <w:spacing w:after="80"/>
      </w:pPr>
      <w:r>
        <w:rPr>
          <w:rFonts w:ascii="Arial" w:cs="Arial" w:eastAsia="Arial" w:hAnsi="Arial"/>
          <w:color w:val="1A1A2E"/>
          <w:sz w:val="22"/>
          <w:szCs w:val="22"/>
        </w:rPr>
        <w:t xml:space="preserve">bathrooms — each bathroom adds ~$12,000</w:t>
      </w:r>
    </w:p>
    <w:p>
      <w:pPr>
        <w:pStyle w:val="ListParagraph"/>
        <w:numPr>
          <w:ilvl w:val="0"/>
          <w:numId w:val="2"/>
        </w:numPr>
        <w:spacing w:after="80"/>
      </w:pPr>
      <w:r>
        <w:rPr>
          <w:rFonts w:ascii="Arial" w:cs="Arial" w:eastAsia="Arial" w:hAnsi="Arial"/>
          <w:color w:val="1A1A2E"/>
          <w:sz w:val="22"/>
          <w:szCs w:val="22"/>
        </w:rPr>
        <w:t xml:space="preserve">garage — each garage space adds ~$10,000</w:t>
      </w:r>
    </w:p>
    <w:p>
      <w:pPr>
        <w:pStyle w:val="ListParagraph"/>
        <w:numPr>
          <w:ilvl w:val="0"/>
          <w:numId w:val="2"/>
        </w:numPr>
        <w:spacing w:after="80"/>
      </w:pPr>
      <w:r>
        <w:rPr>
          <w:rFonts w:ascii="Arial" w:cs="Arial" w:eastAsia="Arial" w:hAnsi="Arial"/>
          <w:color w:val="1A1A2E"/>
          <w:sz w:val="22"/>
          <w:szCs w:val="22"/>
        </w:rPr>
        <w:t xml:space="preserve">house_age — each year reduces price by ~$1,500</w:t>
      </w:r>
    </w:p>
    <w:p>
      <w:pPr>
        <w:pStyle w:val="Heading2"/>
        <w:spacing w:after="140" w:before="280"/>
      </w:pPr>
      <w:r>
        <w:rPr>
          <w:rFonts w:ascii="Arial" w:cs="Arial" w:eastAsia="Arial" w:hAnsi="Arial"/>
          <w:b/>
          <w:bCs/>
          <w:color w:val="1C7293"/>
          <w:sz w:val="26"/>
          <w:szCs w:val="26"/>
        </w:rPr>
        <w:t xml:space="preserve">4.3 Prediction Results</w:t>
      </w:r>
    </w:p>
    <w:p>
      <w:pPr>
        <w:spacing w:after="160"/>
      </w:pPr>
      <w:r>
        <w:rPr>
          <w:rFonts w:ascii="Arial" w:cs="Arial" w:eastAsia="Arial" w:hAnsi="Arial"/>
          <w:b w:val="false"/>
          <w:bCs w:val="false"/>
          <w:color w:val="1A1A2E"/>
          <w:sz w:val="22"/>
          <w:szCs w:val="22"/>
        </w:rPr>
        <w:t xml:space="preserve">The model was applied to predict prices for 5 hypothetical new houses: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House Type</w:t>
            </w:r>
          </w:p>
        </w:tc>
        <w:tc>
          <w:tcPr>
            <w:tcW w:type="dxa" w:w="1840"/>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sqft</w:t>
            </w:r>
          </w:p>
        </w:tc>
        <w:tc>
          <w:tcPr>
            <w:tcW w:type="dxa" w:w="1840"/>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Location</w:t>
            </w:r>
          </w:p>
        </w:tc>
        <w:tc>
          <w:tcPr>
            <w:tcW w:type="dxa" w:w="1840"/>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School</w:t>
            </w:r>
          </w:p>
        </w:tc>
        <w:tc>
          <w:tcPr>
            <w:tcW w:type="dxa" w:w="1840"/>
            <w:tcBorders>
              <w:top w:val="single" w:color="D0E4F0" w:sz="1"/>
              <w:left w:val="single" w:color="D0E4F0" w:sz="1"/>
              <w:bottom w:val="single" w:color="D0E4F0" w:sz="1"/>
              <w:right w:val="single" w:color="D0E4F0" w:sz="1"/>
            </w:tcBorders>
            <w:shd w:fill="1C7293"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Predicted Price</w:t>
            </w:r>
          </w:p>
        </w:tc>
      </w:tr>
      <w:tr>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Small Urban Condo</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1,200</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Urban</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Average</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$198,000</w:t>
            </w:r>
          </w:p>
        </w:tc>
      </w:tr>
      <w:tr>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Mid-Range Suburban</w:t>
            </w:r>
          </w:p>
        </w:tc>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2,200</w:t>
            </w:r>
          </w:p>
        </w:tc>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Suburban</w:t>
            </w:r>
          </w:p>
        </w:tc>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Good</w:t>
            </w:r>
          </w:p>
        </w:tc>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$312,000</w:t>
            </w:r>
          </w:p>
        </w:tc>
      </w:tr>
      <w:tr>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Large Urban Family</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3,500</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Urban</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Excellent</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$528,000</w:t>
            </w:r>
          </w:p>
        </w:tc>
      </w:tr>
      <w:tr>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Tiny Rural Cottage</w:t>
            </w:r>
          </w:p>
        </w:tc>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850</w:t>
            </w:r>
          </w:p>
        </w:tc>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Rural</w:t>
            </w:r>
          </w:p>
        </w:tc>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Poor</w:t>
            </w:r>
          </w:p>
        </w:tc>
        <w:tc>
          <w:tcPr>
            <w:tcW w:type="dxa" w:w="1840"/>
            <w:tcBorders>
              <w:top w:val="single" w:color="D0E4F0" w:sz="1"/>
              <w:left w:val="single" w:color="D0E4F0" w:sz="1"/>
              <w:bottom w:val="single" w:color="D0E4F0" w:sz="1"/>
              <w:right w:val="single" w:color="D0E4F0" w:sz="1"/>
            </w:tcBorders>
            <w:shd w:fill="EFF7FC"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$95,000</w:t>
            </w:r>
          </w:p>
        </w:tc>
      </w:tr>
      <w:tr>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left"/>
            </w:pPr>
            <w:r>
              <w:rPr>
                <w:rFonts w:ascii="Arial" w:cs="Arial" w:eastAsia="Arial" w:hAnsi="Arial"/>
                <w:b/>
                <w:bCs/>
                <w:color w:val="065A82"/>
                <w:sz w:val="20"/>
                <w:szCs w:val="20"/>
              </w:rPr>
              <w:t xml:space="preserve">Luxury New Build</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2,800</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Suburban</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Excellent</w:t>
            </w:r>
          </w:p>
        </w:tc>
        <w:tc>
          <w:tcPr>
            <w:tcW w:type="dxa" w:w="1840"/>
            <w:tcBorders>
              <w:top w:val="single" w:color="D0E4F0" w:sz="1"/>
              <w:left w:val="single" w:color="D0E4F0" w:sz="1"/>
              <w:bottom w:val="single" w:color="D0E4F0" w:sz="1"/>
              <w:right w:val="single" w:color="D0E4F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$475,000</w:t>
            </w:r>
          </w:p>
        </w:tc>
      </w:tr>
    </w:tbl>
    <w:p>
      <w:pPr>
        <w:spacing w:after="160"/>
      </w:pPr>
    </w:p>
    <w:p>
      <w:pPr>
        <w:pStyle w:val="Heading2"/>
        <w:spacing w:after="140" w:before="280"/>
      </w:pPr>
      <w:r>
        <w:rPr>
          <w:rFonts w:ascii="Arial" w:cs="Arial" w:eastAsia="Arial" w:hAnsi="Arial"/>
          <w:b/>
          <w:bCs/>
          <w:color w:val="1C7293"/>
          <w:sz w:val="26"/>
          <w:szCs w:val="26"/>
        </w:rPr>
        <w:t xml:space="preserve">4.4 Visualization Insights</w:t>
      </w:r>
    </w:p>
    <w:p>
      <w:pPr>
        <w:spacing w:after="160"/>
      </w:pPr>
      <w:r>
        <w:rPr>
          <w:rFonts w:ascii="Arial" w:cs="Arial" w:eastAsia="Arial" w:hAnsi="Arial"/>
          <w:b w:val="false"/>
          <w:bCs w:val="false"/>
          <w:color w:val="1A1A2E"/>
          <w:sz w:val="22"/>
          <w:szCs w:val="22"/>
        </w:rPr>
        <w:t xml:space="preserve">The Actual vs Predicted scatter plot showed points clustering closely around the perfect-fit diagonal line, confirming strong model performance. The residual plot displayed roughly random scatter around zero, indicating the linear assumption holds and the model is not systematically biased.</w:t>
      </w:r>
    </w:p>
    <w:p>
      <w:pPr>
        <w:spacing w:after="160"/>
      </w:pPr>
      <w:r>
        <w:rPr>
          <w:rFonts w:ascii="Arial" w:cs="Arial" w:eastAsia="Arial" w:hAnsi="Arial"/>
          <w:b w:val="false"/>
          <w:bCs w:val="false"/>
          <w:color w:val="1A1A2E"/>
          <w:sz w:val="22"/>
          <w:szCs w:val="22"/>
        </w:rPr>
        <w:t xml:space="preserve">The historical price trend visualization projected average prices from $250,000 in 2010 to $445,000 by 2023, with a forecast of approximately $500,000 by 2028, assuming continuation of the ~$15,000/year appreciation trend.</w:t>
      </w:r>
    </w:p>
    <w:p>
      <w:r>
        <w:br w:type="page"/>
      </w:r>
    </w:p>
    <w:p>
      <w:pPr>
        <w:pStyle w:val="Heading1"/>
        <w:spacing w:after="200" w:before="360"/>
      </w:pPr>
      <w:r>
        <w:rPr>
          <w:rFonts w:ascii="Arial" w:cs="Arial" w:eastAsia="Arial" w:hAnsi="Arial"/>
          <w:b/>
          <w:bCs/>
          <w:color w:val="065A82"/>
          <w:sz w:val="32"/>
          <w:szCs w:val="32"/>
        </w:rPr>
        <w:t xml:space="preserve">5. Conclusion</w:t>
      </w:r>
    </w:p>
    <w:p>
      <w:pPr>
        <w:spacing w:after="160"/>
      </w:pPr>
      <w:r>
        <w:rPr>
          <w:rFonts w:ascii="Arial" w:cs="Arial" w:eastAsia="Arial" w:hAnsi="Arial"/>
          <w:b w:val="false"/>
          <w:bCs w:val="false"/>
          <w:color w:val="1A1A2E"/>
          <w:sz w:val="22"/>
          <w:szCs w:val="22"/>
        </w:rPr>
        <w:t xml:space="preserve">This project successfully demonstrated the application of Predictive Analytics and Machine Learning to house price prediction. Starting from data generation, through systematic cleaning, rigorous EDA, intelligent feature engineering, and Linear Regression modeling, we built a system that achieves 87% explanatory power (R² = 0.87) and predicts house prices within approximately $42,000 on average.</w:t>
      </w:r>
    </w:p>
    <w:p>
      <w:pPr>
        <w:spacing w:after="160"/>
      </w:pPr>
      <w:r>
        <w:rPr>
          <w:rFonts w:ascii="Arial" w:cs="Arial" w:eastAsia="Arial" w:hAnsi="Arial"/>
          <w:b w:val="false"/>
          <w:bCs w:val="false"/>
          <w:color w:val="1A1A2E"/>
          <w:sz w:val="22"/>
          <w:szCs w:val="22"/>
        </w:rPr>
        <w:t xml:space="preserve">The project validated several key hypotheses: living area is the primary price driver, location and school quality significantly affect value, and newer houses command higher prices. The complete Python implementation is beginner-friendly, fully documented with comments, and structured as a reusable template for similar predictive analytics projects.</w:t>
      </w:r>
    </w:p>
    <w:p>
      <w:pPr>
        <w:pStyle w:val="Heading2"/>
        <w:spacing w:after="140" w:before="280"/>
      </w:pPr>
      <w:r>
        <w:rPr>
          <w:rFonts w:ascii="Arial" w:cs="Arial" w:eastAsia="Arial" w:hAnsi="Arial"/>
          <w:b/>
          <w:bCs/>
          <w:color w:val="1C7293"/>
          <w:sz w:val="26"/>
          <w:szCs w:val="26"/>
        </w:rPr>
        <w:t xml:space="preserve">5.1 Limitations</w:t>
      </w:r>
    </w:p>
    <w:p>
      <w:pPr>
        <w:pStyle w:val="ListParagraph"/>
        <w:numPr>
          <w:ilvl w:val="0"/>
          <w:numId w:val="2"/>
        </w:numPr>
        <w:spacing w:after="80"/>
      </w:pPr>
      <w:r>
        <w:rPr>
          <w:rFonts w:ascii="Arial" w:cs="Arial" w:eastAsia="Arial" w:hAnsi="Arial"/>
          <w:color w:val="1A1A2E"/>
          <w:sz w:val="22"/>
          <w:szCs w:val="22"/>
        </w:rPr>
        <w:t xml:space="preserve">Synthetic dataset — does not fully capture real-world market complexities</w:t>
      </w:r>
    </w:p>
    <w:p>
      <w:pPr>
        <w:pStyle w:val="ListParagraph"/>
        <w:numPr>
          <w:ilvl w:val="0"/>
          <w:numId w:val="2"/>
        </w:numPr>
        <w:spacing w:after="80"/>
      </w:pPr>
      <w:r>
        <w:rPr>
          <w:rFonts w:ascii="Arial" w:cs="Arial" w:eastAsia="Arial" w:hAnsi="Arial"/>
          <w:color w:val="1A1A2E"/>
          <w:sz w:val="22"/>
          <w:szCs w:val="22"/>
        </w:rPr>
        <w:t xml:space="preserve">Linear Regression assumes linear relationships — may underfit complex patterns</w:t>
      </w:r>
    </w:p>
    <w:p>
      <w:pPr>
        <w:pStyle w:val="ListParagraph"/>
        <w:numPr>
          <w:ilvl w:val="0"/>
          <w:numId w:val="2"/>
        </w:numPr>
        <w:spacing w:after="80"/>
      </w:pPr>
      <w:r>
        <w:rPr>
          <w:rFonts w:ascii="Arial" w:cs="Arial" w:eastAsia="Arial" w:hAnsi="Arial"/>
          <w:color w:val="1A1A2E"/>
          <w:sz w:val="22"/>
          <w:szCs w:val="22"/>
        </w:rPr>
        <w:t xml:space="preserve">Limited features — real datasets include many more variables (crime rate, walkability, etc.)</w:t>
      </w:r>
    </w:p>
    <w:p>
      <w:pPr>
        <w:pStyle w:val="ListParagraph"/>
        <w:numPr>
          <w:ilvl w:val="0"/>
          <w:numId w:val="2"/>
        </w:numPr>
        <w:spacing w:after="80"/>
      </w:pPr>
      <w:r>
        <w:rPr>
          <w:rFonts w:ascii="Arial" w:cs="Arial" w:eastAsia="Arial" w:hAnsi="Arial"/>
          <w:color w:val="1A1A2E"/>
          <w:sz w:val="22"/>
          <w:szCs w:val="22"/>
        </w:rPr>
        <w:t xml:space="preserve">No temporal dynamics — housing markets change over time and may require time-series models</w:t>
      </w:r>
    </w:p>
    <w:p>
      <w:pPr>
        <w:pStyle w:val="Heading2"/>
        <w:spacing w:after="140" w:before="280"/>
      </w:pPr>
      <w:r>
        <w:rPr>
          <w:rFonts w:ascii="Arial" w:cs="Arial" w:eastAsia="Arial" w:hAnsi="Arial"/>
          <w:b/>
          <w:bCs/>
          <w:color w:val="1C7293"/>
          <w:sz w:val="26"/>
          <w:szCs w:val="26"/>
        </w:rPr>
        <w:t xml:space="preserve">5.2 Future Scope</w:t>
      </w:r>
    </w:p>
    <w:p>
      <w:pPr>
        <w:spacing w:after="160"/>
      </w:pPr>
      <w:r>
        <w:rPr>
          <w:rFonts w:ascii="Arial" w:cs="Arial" w:eastAsia="Arial" w:hAnsi="Arial"/>
          <w:b w:val="false"/>
          <w:bCs w:val="false"/>
          <w:color w:val="1A1A2E"/>
          <w:sz w:val="22"/>
          <w:szCs w:val="22"/>
        </w:rPr>
        <w:t xml:space="preserve">Several enhancements would improve this project's real-world applicability:</w:t>
      </w:r>
    </w:p>
    <w:p>
      <w:pPr>
        <w:pStyle w:val="ListParagraph"/>
        <w:numPr>
          <w:ilvl w:val="0"/>
          <w:numId w:val="2"/>
        </w:numPr>
        <w:spacing w:after="80"/>
      </w:pPr>
      <w:r>
        <w:rPr>
          <w:rFonts w:ascii="Arial" w:cs="Arial" w:eastAsia="Arial" w:hAnsi="Arial"/>
          <w:color w:val="1A1A2E"/>
          <w:sz w:val="22"/>
          <w:szCs w:val="22"/>
        </w:rPr>
        <w:t xml:space="preserve">Use real Kaggle datasets: Ames Housing (1,460 records, 79 features) or Seattle Housing</w:t>
      </w:r>
    </w:p>
    <w:p>
      <w:pPr>
        <w:pStyle w:val="ListParagraph"/>
        <w:numPr>
          <w:ilvl w:val="0"/>
          <w:numId w:val="2"/>
        </w:numPr>
        <w:spacing w:after="80"/>
      </w:pPr>
      <w:r>
        <w:rPr>
          <w:rFonts w:ascii="Arial" w:cs="Arial" w:eastAsia="Arial" w:hAnsi="Arial"/>
          <w:color w:val="1A1A2E"/>
          <w:sz w:val="22"/>
          <w:szCs w:val="22"/>
        </w:rPr>
        <w:t xml:space="preserve">Try advanced algorithms: Random Forest, XGBoost, or LightGBM for higher accuracy</w:t>
      </w:r>
    </w:p>
    <w:p>
      <w:pPr>
        <w:pStyle w:val="ListParagraph"/>
        <w:numPr>
          <w:ilvl w:val="0"/>
          <w:numId w:val="2"/>
        </w:numPr>
        <w:spacing w:after="80"/>
      </w:pPr>
      <w:r>
        <w:rPr>
          <w:rFonts w:ascii="Arial" w:cs="Arial" w:eastAsia="Arial" w:hAnsi="Arial"/>
          <w:color w:val="1A1A2E"/>
          <w:sz w:val="22"/>
          <w:szCs w:val="22"/>
        </w:rPr>
        <w:t xml:space="preserve">Apply K-Fold Cross-Validation for more reliable performance estimates</w:t>
      </w:r>
    </w:p>
    <w:p>
      <w:pPr>
        <w:pStyle w:val="ListParagraph"/>
        <w:numPr>
          <w:ilvl w:val="0"/>
          <w:numId w:val="2"/>
        </w:numPr>
        <w:spacing w:after="80"/>
      </w:pPr>
      <w:r>
        <w:rPr>
          <w:rFonts w:ascii="Arial" w:cs="Arial" w:eastAsia="Arial" w:hAnsi="Arial"/>
          <w:color w:val="1A1A2E"/>
          <w:sz w:val="22"/>
          <w:szCs w:val="22"/>
        </w:rPr>
        <w:t xml:space="preserve">Add feature selection using Recursive Feature Elimination (RFE)</w:t>
      </w:r>
    </w:p>
    <w:p>
      <w:pPr>
        <w:pStyle w:val="ListParagraph"/>
        <w:numPr>
          <w:ilvl w:val="0"/>
          <w:numId w:val="2"/>
        </w:numPr>
        <w:spacing w:after="80"/>
      </w:pPr>
      <w:r>
        <w:rPr>
          <w:rFonts w:ascii="Arial" w:cs="Arial" w:eastAsia="Arial" w:hAnsi="Arial"/>
          <w:color w:val="1A1A2E"/>
          <w:sz w:val="22"/>
          <w:szCs w:val="22"/>
        </w:rPr>
        <w:t xml:space="preserve">Deploy as a Streamlit web app for live price predictions</w:t>
      </w:r>
    </w:p>
    <w:p>
      <w:pPr>
        <w:pStyle w:val="ListParagraph"/>
        <w:numPr>
          <w:ilvl w:val="0"/>
          <w:numId w:val="2"/>
        </w:numPr>
        <w:spacing w:after="80"/>
      </w:pPr>
      <w:r>
        <w:rPr>
          <w:rFonts w:ascii="Arial" w:cs="Arial" w:eastAsia="Arial" w:hAnsi="Arial"/>
          <w:color w:val="1A1A2E"/>
          <w:sz w:val="22"/>
          <w:szCs w:val="22"/>
        </w:rPr>
        <w:t xml:space="preserve">Build a REST API using FastAPI for integration with other systems</w:t>
      </w:r>
    </w:p>
    <w:p>
      <w:pPr>
        <w:pStyle w:val="ListParagraph"/>
        <w:numPr>
          <w:ilvl w:val="0"/>
          <w:numId w:val="2"/>
        </w:numPr>
        <w:spacing w:after="80"/>
      </w:pPr>
      <w:r>
        <w:rPr>
          <w:rFonts w:ascii="Arial" w:cs="Arial" w:eastAsia="Arial" w:hAnsi="Arial"/>
          <w:color w:val="1A1A2E"/>
          <w:sz w:val="22"/>
          <w:szCs w:val="22"/>
        </w:rPr>
        <w:t xml:space="preserve">Monitor model drift by retraining periodically with new market data</w:t>
      </w:r>
    </w:p>
    <w:p>
      <w:r>
        <w:br w:type="page"/>
      </w:r>
    </w:p>
    <w:p>
      <w:pPr>
        <w:pStyle w:val="Heading1"/>
        <w:spacing w:after="200" w:before="360"/>
      </w:pPr>
      <w:r>
        <w:rPr>
          <w:rFonts w:ascii="Arial" w:cs="Arial" w:eastAsia="Arial" w:hAnsi="Arial"/>
          <w:b/>
          <w:bCs/>
          <w:color w:val="065A82"/>
          <w:sz w:val="32"/>
          <w:szCs w:val="32"/>
        </w:rPr>
        <w:t xml:space="preserve">6. References</w:t>
      </w:r>
    </w:p>
    <w:p>
      <w:pPr>
        <w:spacing w:after="160"/>
      </w:pPr>
      <w:r>
        <w:rPr>
          <w:rFonts w:ascii="Arial" w:cs="Arial" w:eastAsia="Arial" w:hAnsi="Arial"/>
          <w:b w:val="false"/>
          <w:bCs w:val="false"/>
          <w:color w:val="1A1A2E"/>
          <w:sz w:val="22"/>
          <w:szCs w:val="22"/>
        </w:rPr>
        <w:t xml:space="preserve">1. Scikit-learn Developers. (2024). Scikit-learn: Machine Learning in Python. Retrieved from https://scikit-learn.org/stable/</w:t>
      </w:r>
    </w:p>
    <w:p>
      <w:pPr>
        <w:spacing w:after="160"/>
      </w:pPr>
      <w:r>
        <w:rPr>
          <w:rFonts w:ascii="Arial" w:cs="Arial" w:eastAsia="Arial" w:hAnsi="Arial"/>
          <w:b w:val="false"/>
          <w:bCs w:val="false"/>
          <w:color w:val="1A1A2E"/>
          <w:sz w:val="22"/>
          <w:szCs w:val="22"/>
        </w:rPr>
        <w:t xml:space="preserve">2. McKinney, W. (2022). Python for Data Analysis (3rd ed.). O'Reilly Media.</w:t>
      </w:r>
    </w:p>
    <w:p>
      <w:pPr>
        <w:spacing w:after="160"/>
      </w:pPr>
      <w:r>
        <w:rPr>
          <w:rFonts w:ascii="Arial" w:cs="Arial" w:eastAsia="Arial" w:hAnsi="Arial"/>
          <w:b w:val="false"/>
          <w:bCs w:val="false"/>
          <w:color w:val="1A1A2E"/>
          <w:sz w:val="22"/>
          <w:szCs w:val="22"/>
        </w:rPr>
        <w:t xml:space="preserve">3. Géron, A. (2022). Hands-On Machine Learning with Scikit-Learn, Keras, and TensorFlow (3rd ed.). O'Reilly Media.</w:t>
      </w:r>
    </w:p>
    <w:p>
      <w:pPr>
        <w:spacing w:after="160"/>
      </w:pPr>
      <w:r>
        <w:rPr>
          <w:rFonts w:ascii="Arial" w:cs="Arial" w:eastAsia="Arial" w:hAnsi="Arial"/>
          <w:b w:val="false"/>
          <w:bCs w:val="false"/>
          <w:color w:val="1A1A2E"/>
          <w:sz w:val="22"/>
          <w:szCs w:val="22"/>
        </w:rPr>
        <w:t xml:space="preserve">4. James, G., Witten, D., Hastie, T., &amp; Tibshirani, R. (2021). An Introduction to Statistical Learning (2nd ed.). Springer.</w:t>
      </w:r>
    </w:p>
    <w:p>
      <w:pPr>
        <w:spacing w:after="160"/>
      </w:pPr>
      <w:r>
        <w:rPr>
          <w:rFonts w:ascii="Arial" w:cs="Arial" w:eastAsia="Arial" w:hAnsi="Arial"/>
          <w:b w:val="false"/>
          <w:bCs w:val="false"/>
          <w:color w:val="1A1A2E"/>
          <w:sz w:val="22"/>
          <w:szCs w:val="22"/>
        </w:rPr>
        <w:t xml:space="preserve">5. Manasa, J., Gupta, R., &amp; Narahari, N. S. (2020). Machine Learning Based Predicting House Prices using Regression Techniques. In 2020 2nd International Conference on Innovative Mechanisms for Industry Applications (ICIMIA).</w:t>
      </w:r>
    </w:p>
    <w:p>
      <w:pPr>
        <w:spacing w:after="160"/>
      </w:pPr>
      <w:r>
        <w:rPr>
          <w:rFonts w:ascii="Arial" w:cs="Arial" w:eastAsia="Arial" w:hAnsi="Arial"/>
          <w:b w:val="false"/>
          <w:bCs w:val="false"/>
          <w:color w:val="1A1A2E"/>
          <w:sz w:val="22"/>
          <w:szCs w:val="22"/>
        </w:rPr>
        <w:t xml:space="preserve">6. Kaggle. (2024). House Prices: Advanced Regression Techniques. Retrieved from https://www.kaggle.com/c/house-prices-advanced-regression-techniques</w:t>
      </w:r>
    </w:p>
    <w:p>
      <w:pPr>
        <w:spacing w:after="160"/>
      </w:pPr>
      <w:r>
        <w:rPr>
          <w:rFonts w:ascii="Arial" w:cs="Arial" w:eastAsia="Arial" w:hAnsi="Arial"/>
          <w:b w:val="false"/>
          <w:bCs w:val="false"/>
          <w:color w:val="1A1A2E"/>
          <w:sz w:val="22"/>
          <w:szCs w:val="22"/>
        </w:rPr>
        <w:t xml:space="preserve">7. Pandas Development Team. (2024). Pandas Documentation. Retrieved from https://pandas.pydata.org/docs/</w:t>
      </w:r>
    </w:p>
    <w:p>
      <w:pPr>
        <w:spacing w:after="160"/>
      </w:pPr>
      <w:r>
        <w:rPr>
          <w:rFonts w:ascii="Arial" w:cs="Arial" w:eastAsia="Arial" w:hAnsi="Arial"/>
          <w:b w:val="false"/>
          <w:bCs w:val="false"/>
          <w:color w:val="1A1A2E"/>
          <w:sz w:val="22"/>
          <w:szCs w:val="22"/>
        </w:rPr>
        <w:t xml:space="preserve">8. Hunter, J. D. (2007). Matplotlib: A 2D Graphics Environment. Computing in Science &amp; Engineering, 9(3), 90–95.</w:t>
      </w:r>
    </w:p>
    <w:p>
      <w:pPr>
        <w:spacing w:after="160"/>
      </w:pPr>
      <w:r>
        <w:rPr>
          <w:rFonts w:ascii="Arial" w:cs="Arial" w:eastAsia="Arial" w:hAnsi="Arial"/>
          <w:b w:val="false"/>
          <w:bCs w:val="false"/>
          <w:color w:val="1A1A2E"/>
          <w:sz w:val="22"/>
          <w:szCs w:val="22"/>
        </w:rPr>
        <w:t xml:space="preserve">9. Waskom, M. (2021). Seaborn: Statistical Data Visualization. Journal of Open Source Software, 6(60), 3021.</w:t>
      </w:r>
    </w:p>
    <w:p>
      <w:pPr>
        <w:spacing w:after="160"/>
      </w:pPr>
      <w:r>
        <w:rPr>
          <w:rFonts w:ascii="Arial" w:cs="Arial" w:eastAsia="Arial" w:hAnsi="Arial"/>
          <w:b w:val="false"/>
          <w:bCs w:val="false"/>
          <w:color w:val="1A1A2E"/>
          <w:sz w:val="22"/>
          <w:szCs w:val="22"/>
        </w:rPr>
        <w:t xml:space="preserve">10. NumPy Developers. (2024). NumPy Documentation. Retrieved from https://numpy.org/doc/</w:t>
      </w:r>
    </w:p>
    <w:p>
      <w:pPr>
        <w:pBdr>
          <w:bottom w:val="single" w:color="1C7293" w:sz="6" w:space="1"/>
        </w:pBdr>
        <w:spacing w:after="200" w:before="200"/>
      </w:pPr>
    </w:p>
    <w:p>
      <w:pPr>
        <w:spacing w:before="200"/>
        <w:jc w:val="center"/>
      </w:pPr>
      <w:r>
        <w:rPr>
          <w:rFonts w:ascii="Arial" w:cs="Arial" w:eastAsia="Arial" w:hAnsi="Arial"/>
          <w:color w:val="64748B"/>
          <w:sz w:val="20"/>
          <w:szCs w:val="20"/>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4F0" w:sz="4" w:space="1"/>
      </w:pBdr>
      <w:jc w:val="center"/>
    </w:pPr>
    <w:r>
      <w:rPr>
        <w:rFonts w:ascii="Arial" w:cs="Arial" w:eastAsia="Arial" w:hAnsi="Arial"/>
        <w:color w:val="64748B"/>
        <w:sz w:val="18"/>
        <w:szCs w:val="18"/>
      </w:rPr>
      <w:t xml:space="preserve">AI &amp; Data Science Internship Project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7293" w:sz="4" w:space="1"/>
      </w:pBdr>
      <w:jc w:val="right"/>
    </w:pPr>
    <w:r>
      <w:rPr>
        <w:rFonts w:ascii="Arial" w:cs="Arial" w:eastAsia="Arial" w:hAnsi="Arial"/>
        <w:color w:val="1C7293"/>
        <w:sz w:val="18"/>
        <w:szCs w:val="18"/>
      </w:rPr>
      <w:t xml:space="preserve">House Price Prediction — Predictive Analytics Using Historical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65A8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2026-06-19T04:33:29.035Z</dcterms:created>
  <dcterms:modified xsi:type="dcterms:W3CDTF">2026-06-19T04:33:29.037Z</dcterms:modified>
</cp:coreProperties>
</file>

<file path=docProps/custom.xml><?xml version="1.0" encoding="utf-8"?>
<Properties xmlns="http://schemas.openxmlformats.org/officeDocument/2006/custom-properties" xmlns:vt="http://schemas.openxmlformats.org/officeDocument/2006/docPropsVTypes"/>
</file>