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 Workload Performance Report</w:t>
      </w:r>
    </w:p>
    <w:p>
      <w:pPr>
        <w:jc w:val="center"/>
      </w:pPr>
      <w:r>
        <w:t>Second/Third-Line Expert Analysis</w:t>
      </w:r>
    </w:p>
    <w:p>
      <w:pPr>
        <w:jc w:val="center"/>
      </w:pPr>
      <w:r>
        <w:t>Analysis Period: 2024-04-19 to 2025-07-06</w:t>
        <w:br/>
        <w:t>Generated on: 2026-02-04 12:41:37</w:t>
      </w:r>
    </w:p>
    <w:p>
      <w:r>
        <w:br w:type="page"/>
      </w:r>
    </w:p>
    <w:p>
      <w:pPr>
        <w:pStyle w:val="Heading1"/>
      </w:pPr>
      <w:r>
        <w:t>Table of Contents</w:t>
      </w:r>
    </w:p>
    <w:p>
      <w:r>
        <w:t>(Update fields to generate TOC)</w:t>
      </w:r>
    </w:p>
    <w:p>
      <w:r>
        <w:br w:type="page"/>
      </w:r>
    </w:p>
    <w:p>
      <w:pPr>
        <w:pStyle w:val="Heading1"/>
      </w:pPr>
      <w:r>
        <w:t>Executive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2E5090"/>
          </w:tcPr>
          <w:p>
            <w:r>
              <w:rPr>
                <w:b/>
                <w:color w:val="FFFFFF"/>
              </w:rPr>
              <w:t>Total BO Experts</w:t>
            </w:r>
          </w:p>
        </w:tc>
        <w:tc>
          <w:tcPr>
            <w:tcW w:type="dxa" w:w="1440"/>
            <w:shd w:fill="2E5090"/>
          </w:tcPr>
          <w:p>
            <w:r>
              <w:rPr>
                <w:b/>
                <w:color w:val="FFFFFF"/>
              </w:rPr>
              <w:t>Total BO Tickets</w:t>
            </w:r>
          </w:p>
        </w:tc>
        <w:tc>
          <w:tcPr>
            <w:tcW w:type="dxa" w:w="1440"/>
            <w:shd w:fill="2E5090"/>
          </w:tcPr>
          <w:p>
            <w:r>
              <w:rPr>
                <w:b/>
                <w:color w:val="FFFFFF"/>
              </w:rPr>
              <w:t>Average MTTR (hours)</w:t>
            </w:r>
          </w:p>
        </w:tc>
        <w:tc>
          <w:tcPr>
            <w:tcW w:type="dxa" w:w="1440"/>
            <w:shd w:fill="2E5090"/>
          </w:tcPr>
          <w:p>
            <w:r>
              <w:rPr>
                <w:b/>
                <w:color w:val="FFFFFF"/>
              </w:rPr>
              <w:t>SLA Compliance Rate</w:t>
            </w:r>
          </w:p>
        </w:tc>
        <w:tc>
          <w:tcPr>
            <w:tcW w:type="dxa" w:w="1440"/>
            <w:shd w:fill="2E5090"/>
          </w:tcPr>
          <w:p>
            <w:r>
              <w:rPr>
                <w:b/>
                <w:color w:val="FFFFFF"/>
              </w:rPr>
              <w:t>High Risk Items</w:t>
            </w:r>
          </w:p>
        </w:tc>
        <w:tc>
          <w:tcPr>
            <w:tcW w:type="dxa" w:w="1440"/>
            <w:shd w:fill="2E5090"/>
          </w:tcPr>
          <w:p>
            <w:r>
              <w:rPr>
                <w:b/>
                <w:color w:val="FFFFFF"/>
              </w:rPr>
              <w:t>Bottleneck Experts</w:t>
            </w:r>
          </w:p>
        </w:tc>
      </w:tr>
      <w:tr>
        <w:tc>
          <w:tcPr>
            <w:tcW w:type="dxa" w:w="1440"/>
          </w:tcPr>
          <w:p>
            <w:r>
              <w:t>6</w:t>
            </w:r>
          </w:p>
        </w:tc>
        <w:tc>
          <w:tcPr>
            <w:tcW w:type="dxa" w:w="1440"/>
          </w:tcPr>
          <w:p>
            <w:r>
              <w:t>2180</w:t>
            </w:r>
          </w:p>
        </w:tc>
        <w:tc>
          <w:tcPr>
            <w:tcW w:type="dxa" w:w="1440"/>
          </w:tcPr>
          <w:p>
            <w:r>
              <w:t>29.4</w:t>
            </w:r>
          </w:p>
        </w:tc>
        <w:tc>
          <w:tcPr>
            <w:tcW w:type="dxa" w:w="1440"/>
          </w:tcPr>
          <w:p>
            <w:r>
              <w:t>64.2%</w:t>
            </w:r>
          </w:p>
        </w:tc>
        <w:tc>
          <w:tcPr>
            <w:tcW w:type="dxa" w:w="1440"/>
          </w:tcPr>
          <w:p>
            <w:r>
              <w:t>0</w:t>
            </w:r>
          </w:p>
        </w:tc>
        <w:tc>
          <w:tcPr>
            <w:tcW w:type="dxa" w:w="1440"/>
          </w:tcPr>
          <w:p>
            <w:r>
              <w:t>0</w:t>
            </w:r>
          </w:p>
        </w:tc>
      </w:tr>
    </w:tbl>
    <w:p/>
    <w:p>
      <w:r>
        <w:rPr>
          <w:b/>
        </w:rPr>
        <w:t>AI Insights:</w:t>
      </w:r>
    </w:p>
    <w:p>
      <w:r>
        <w:t>**Executive Summary: BO Workload Analysis Insights**</w:t>
      </w:r>
    </w:p>
    <w:p/>
    <w:p>
      <w:r>
        <w:t>---</w:t>
      </w:r>
    </w:p>
    <w:p/>
    <w:p>
      <w:r>
        <w:t>### **1. Overall Health Assessment**</w:t>
      </w:r>
    </w:p>
    <w:p>
      <w:r>
        <w:t>- **Moderate Operational Health with Significant SLA Risk:** The absence of formal bottlenecks and high-risk items suggests stable daily operations. However, the **Global SLA Rate of 64.2%** is critically low, indicating a systemic failure to meet service commitments. The **Global MTTR of 29.4 hours** is excessively high for typical support environments, directly contributing to SLA breaches.</w:t>
      </w:r>
    </w:p>
    <w:p>
      <w:r>
        <w:t>- **Structural Imbalance:** With only **6 BO Resolvers (Tier 2/3)** supporting 24 total agents, the escalation path is narrow. The complete absence of Tier 3 (0) creates a capability ceiling for complex issues, risking resolution delays and knowledge gaps.</w:t>
      </w:r>
    </w:p>
    <w:p/>
    <w:p>
      <w:r>
        <w:t>### **2. Priority Distribution Analysis**</w:t>
      </w:r>
    </w:p>
    <w:p>
      <w:r>
        <w:t>- **High-Priority Volume is Manageable:** P1/P2 tickets constitute **20% (1,794 tickets)** of the total volume. This is a significant but not overwhelming proportion, suggesting the primary issue is not volume but **resolution efficiency**.</w:t>
      </w:r>
    </w:p>
    <w:p>
      <w:r>
        <w:t>- **SLA Focus Gap:** The low global SLA rate implies that both high and standard priority tickets are missing targets. Urgent attention must be paid to streamlining the workflow for **all priorities** to improve the overall metric.</w:t>
      </w:r>
    </w:p>
    <w:p/>
    <w:p>
      <w:r>
        <w:t>### **3. Most Critical Risk Points**</w:t>
      </w:r>
    </w:p>
    <w:p>
      <w:r>
        <w:t>1.  **Systemic SLA Failure:** A 64.2% SLA rate poses a severe contractual and reputational risk. The root cause (likely the high MTTR) must be diagnosed and addressed immediately.</w:t>
      </w:r>
    </w:p>
    <w:p>
      <w:r>
        <w:t>2.  **Knowledge and Escalation Bottleneck:** The lack of a Tier 3 support layer and a thin Tier 2 team (6 agents) creates a hidden bottleneck. Complex tickets have nowhere to go, causing extended hold times and rework within Tier 2.</w:t>
      </w:r>
    </w:p>
    <w:p>
      <w:r>
        <w:t>3.  **Over-Reliance on Key Individuals:** The top 5 contributors handle a disproportionate share of the weighted workload. This creates **key-person risk**; if one is absent, resolution capacity and SLA performance could collapse.</w:t>
      </w:r>
    </w:p>
    <w:p/>
    <w:p>
      <w:r>
        <w:t>### **4. Key High-Priority Contributors &amp; Their Value**</w:t>
      </w:r>
    </w:p>
    <w:p>
      <w:r>
        <w:t>- **Top Performers:** Jessica, Thomas, Charles, Christopher, and Richard Smith are the core resolution engine.</w:t>
      </w:r>
    </w:p>
    <w:p>
      <w:r>
        <w:t>- **Value &amp; Risk:** They consistently handle **18-21% of their workload as P1/P2 tickets**, demonstrating they are trusted with critical issues. Their value is immense, but they represent a **concentration risk**. Their workflows and knowledge are not being adequately distributed or documented, making the operation vulnerable.</w:t>
      </w:r>
    </w:p>
    <w:p/>
    <w:p>
      <w:r>
        <w:t>### **5. Items Requiring Immediate Attention**</w:t>
      </w:r>
    </w:p>
    <w:p>
      <w:r>
        <w:t>- **Launch an MTTR Reduction Initiative:** Form a task force to analyze the causes of the 29.4-hour MTTR. Focus on: ticket routing efficiency, first-contact resolution rate in Tier 1, and reduction of wait/queue times for BO escalations.</w:t>
      </w:r>
    </w:p>
    <w:p>
      <w:r>
        <w:t>- **Develop Tier 3 Capability:** Immediately begin cross-training and certifying your top Tier 2 agents (e.g., the top 5 contributors) to function as a provisional Tier 3. Document solutions and create a knowledge base to reduce dependency on individuals.</w:t>
      </w:r>
    </w:p>
    <w:p>
      <w:r>
        <w:t>- **Conduct a Workload Balancing Review:** Redistribute standard (P3/P4) tickets to other capable agents to shield top performers from burnout and free them to focus more on critical P1/P2 items and complex problem-solving. Implement mentorship pairings to transfer knowledge from top performers to mid-tier agents.</w:t>
      </w:r>
    </w:p>
    <w:p>
      <w:r>
        <w:br w:type="page"/>
      </w:r>
    </w:p>
    <w:p>
      <w:pPr>
        <w:pStyle w:val="Heading1"/>
      </w:pPr>
      <w:r>
        <w:t>BO Tier Classification</w:t>
      </w:r>
    </w:p>
    <w:p>
      <w:r>
        <w:t>Auto-classification based on complexity index, priority handling, and specialization.</w:t>
      </w:r>
    </w:p>
    <w:p>
      <w:pPr>
        <w:jc w:val="center"/>
      </w:pPr>
      <w:r>
        <w:drawing>
          <wp:inline xmlns:a="http://schemas.openxmlformats.org/drawingml/2006/main" xmlns:pic="http://schemas.openxmlformats.org/drawingml/2006/picture">
            <wp:extent cx="5486400" cy="596446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964468"/>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5090"/>
          </w:tcPr>
          <w:p>
            <w:r>
              <w:rPr>
                <w:b/>
                <w:color w:val="FFFFFF"/>
              </w:rPr>
              <w:t>Resolver</w:t>
            </w:r>
          </w:p>
        </w:tc>
        <w:tc>
          <w:tcPr>
            <w:tcW w:type="dxa" w:w="1728"/>
            <w:shd w:fill="2E5090"/>
          </w:tcPr>
          <w:p>
            <w:r>
              <w:rPr>
                <w:b/>
                <w:color w:val="FFFFFF"/>
              </w:rPr>
              <w:t>Assigned Tier</w:t>
            </w:r>
          </w:p>
        </w:tc>
        <w:tc>
          <w:tcPr>
            <w:tcW w:type="dxa" w:w="1728"/>
            <w:shd w:fill="2E5090"/>
          </w:tcPr>
          <w:p>
            <w:r>
              <w:rPr>
                <w:b/>
                <w:color w:val="FFFFFF"/>
              </w:rPr>
              <w:t>Complexity Index</w:t>
            </w:r>
          </w:p>
        </w:tc>
        <w:tc>
          <w:tcPr>
            <w:tcW w:type="dxa" w:w="1728"/>
            <w:shd w:fill="2E5090"/>
          </w:tcPr>
          <w:p>
            <w:r>
              <w:rPr>
                <w:b/>
                <w:color w:val="FFFFFF"/>
              </w:rPr>
              <w:t>Total Tickets</w:t>
            </w:r>
          </w:p>
        </w:tc>
        <w:tc>
          <w:tcPr>
            <w:tcW w:type="dxa" w:w="1728"/>
            <w:shd w:fill="2E5090"/>
          </w:tcPr>
          <w:p>
            <w:r>
              <w:rPr>
                <w:b/>
                <w:color w:val="FFFFFF"/>
              </w:rPr>
              <w:t>Justification</w:t>
            </w:r>
          </w:p>
        </w:tc>
      </w:tr>
      <w:tr>
        <w:tc>
          <w:tcPr>
            <w:tcW w:type="dxa" w:w="1728"/>
          </w:tcPr>
          <w:p>
            <w:r>
              <w:t>Susan Smith</w:t>
            </w:r>
          </w:p>
        </w:tc>
        <w:tc>
          <w:tcPr>
            <w:tcW w:type="dxa" w:w="1728"/>
          </w:tcPr>
          <w:p>
            <w:r>
              <w:t>Tier 2</w:t>
            </w:r>
          </w:p>
        </w:tc>
        <w:tc>
          <w:tcPr>
            <w:tcW w:type="dxa" w:w="1728"/>
          </w:tcPr>
          <w:p>
            <w:r>
              <w:t>0.82x</w:t>
            </w:r>
          </w:p>
        </w:tc>
        <w:tc>
          <w:tcPr>
            <w:tcW w:type="dxa" w:w="1728"/>
          </w:tcPr>
          <w:p>
            <w:r>
              <w:t>361</w:t>
            </w:r>
          </w:p>
        </w:tc>
        <w:tc>
          <w:tcPr>
            <w:tcW w:type="dxa" w:w="1728"/>
          </w:tcPr>
          <w:p>
            <w:r>
              <w:t>Moderate P1/P2 ratio (18%); Moderately specialized...</w:t>
            </w:r>
          </w:p>
        </w:tc>
      </w:tr>
      <w:tr>
        <w:tc>
          <w:tcPr>
            <w:tcW w:type="dxa" w:w="1728"/>
          </w:tcPr>
          <w:p>
            <w:r>
              <w:t>Thomas Smith</w:t>
            </w:r>
          </w:p>
        </w:tc>
        <w:tc>
          <w:tcPr>
            <w:tcW w:type="dxa" w:w="1728"/>
          </w:tcPr>
          <w:p>
            <w:r>
              <w:t>Tier 2</w:t>
            </w:r>
          </w:p>
        </w:tc>
        <w:tc>
          <w:tcPr>
            <w:tcW w:type="dxa" w:w="1728"/>
          </w:tcPr>
          <w:p>
            <w:r>
              <w:t>1.79x</w:t>
            </w:r>
          </w:p>
        </w:tc>
        <w:tc>
          <w:tcPr>
            <w:tcW w:type="dxa" w:w="1728"/>
          </w:tcPr>
          <w:p>
            <w:r>
              <w:t>389</w:t>
            </w:r>
          </w:p>
        </w:tc>
        <w:tc>
          <w:tcPr>
            <w:tcW w:type="dxa" w:w="1728"/>
          </w:tcPr>
          <w:p>
            <w:r>
              <w:t>Moderate complexity (1.79x avg); Moderate P1/P2 ra...</w:t>
            </w:r>
          </w:p>
        </w:tc>
      </w:tr>
      <w:tr>
        <w:tc>
          <w:tcPr>
            <w:tcW w:type="dxa" w:w="1728"/>
          </w:tcPr>
          <w:p>
            <w:r>
              <w:t>Daniel Smith</w:t>
            </w:r>
          </w:p>
        </w:tc>
        <w:tc>
          <w:tcPr>
            <w:tcW w:type="dxa" w:w="1728"/>
          </w:tcPr>
          <w:p>
            <w:r>
              <w:t>Tier 2</w:t>
            </w:r>
          </w:p>
        </w:tc>
        <w:tc>
          <w:tcPr>
            <w:tcW w:type="dxa" w:w="1728"/>
          </w:tcPr>
          <w:p>
            <w:r>
              <w:t>1.73x</w:t>
            </w:r>
          </w:p>
        </w:tc>
        <w:tc>
          <w:tcPr>
            <w:tcW w:type="dxa" w:w="1728"/>
          </w:tcPr>
          <w:p>
            <w:r>
              <w:t>375</w:t>
            </w:r>
          </w:p>
        </w:tc>
        <w:tc>
          <w:tcPr>
            <w:tcW w:type="dxa" w:w="1728"/>
          </w:tcPr>
          <w:p>
            <w:r>
              <w:t>Moderate complexity (1.73x avg); Moderate P1/P2 ra...</w:t>
            </w:r>
          </w:p>
        </w:tc>
      </w:tr>
      <w:tr>
        <w:tc>
          <w:tcPr>
            <w:tcW w:type="dxa" w:w="1728"/>
          </w:tcPr>
          <w:p>
            <w:r>
              <w:t>Charles Smith</w:t>
            </w:r>
          </w:p>
        </w:tc>
        <w:tc>
          <w:tcPr>
            <w:tcW w:type="dxa" w:w="1728"/>
          </w:tcPr>
          <w:p>
            <w:r>
              <w:t>Tier 2</w:t>
            </w:r>
          </w:p>
        </w:tc>
        <w:tc>
          <w:tcPr>
            <w:tcW w:type="dxa" w:w="1728"/>
          </w:tcPr>
          <w:p>
            <w:r>
              <w:t>0.86x</w:t>
            </w:r>
          </w:p>
        </w:tc>
        <w:tc>
          <w:tcPr>
            <w:tcW w:type="dxa" w:w="1728"/>
          </w:tcPr>
          <w:p>
            <w:r>
              <w:t>381</w:t>
            </w:r>
          </w:p>
        </w:tc>
        <w:tc>
          <w:tcPr>
            <w:tcW w:type="dxa" w:w="1728"/>
          </w:tcPr>
          <w:p>
            <w:r>
              <w:t>Moderate P1/P2 ratio (21%); Moderately specialized...</w:t>
            </w:r>
          </w:p>
        </w:tc>
      </w:tr>
      <w:tr>
        <w:tc>
          <w:tcPr>
            <w:tcW w:type="dxa" w:w="1728"/>
          </w:tcPr>
          <w:p>
            <w:r>
              <w:t>David Smith</w:t>
            </w:r>
          </w:p>
        </w:tc>
        <w:tc>
          <w:tcPr>
            <w:tcW w:type="dxa" w:w="1728"/>
          </w:tcPr>
          <w:p>
            <w:r>
              <w:t>Tier 2</w:t>
            </w:r>
          </w:p>
        </w:tc>
        <w:tc>
          <w:tcPr>
            <w:tcW w:type="dxa" w:w="1728"/>
          </w:tcPr>
          <w:p>
            <w:r>
              <w:t>1.83x</w:t>
            </w:r>
          </w:p>
        </w:tc>
        <w:tc>
          <w:tcPr>
            <w:tcW w:type="dxa" w:w="1728"/>
          </w:tcPr>
          <w:p>
            <w:r>
              <w:t>326</w:t>
            </w:r>
          </w:p>
        </w:tc>
        <w:tc>
          <w:tcPr>
            <w:tcW w:type="dxa" w:w="1728"/>
          </w:tcPr>
          <w:p>
            <w:r>
              <w:t>High complexity (1.83x avg); Moderate P1/P2 ratio ...</w:t>
            </w:r>
          </w:p>
        </w:tc>
      </w:tr>
      <w:tr>
        <w:tc>
          <w:tcPr>
            <w:tcW w:type="dxa" w:w="1728"/>
          </w:tcPr>
          <w:p>
            <w:r>
              <w:t>Mary Smith</w:t>
            </w:r>
          </w:p>
        </w:tc>
        <w:tc>
          <w:tcPr>
            <w:tcW w:type="dxa" w:w="1728"/>
          </w:tcPr>
          <w:p>
            <w:r>
              <w:t>Tier 2</w:t>
            </w:r>
          </w:p>
        </w:tc>
        <w:tc>
          <w:tcPr>
            <w:tcW w:type="dxa" w:w="1728"/>
          </w:tcPr>
          <w:p>
            <w:r>
              <w:t>1.65x</w:t>
            </w:r>
          </w:p>
        </w:tc>
        <w:tc>
          <w:tcPr>
            <w:tcW w:type="dxa" w:w="1728"/>
          </w:tcPr>
          <w:p>
            <w:r>
              <w:t>348</w:t>
            </w:r>
          </w:p>
        </w:tc>
        <w:tc>
          <w:tcPr>
            <w:tcW w:type="dxa" w:w="1728"/>
          </w:tcPr>
          <w:p>
            <w:r>
              <w:t>Moderate complexity (1.65x avg); Moderate P1/P2 ra...</w:t>
            </w:r>
          </w:p>
        </w:tc>
      </w:tr>
    </w:tbl>
    <w:p>
      <w:r>
        <w:br w:type="page"/>
      </w:r>
    </w:p>
    <w:p>
      <w:pPr>
        <w:pStyle w:val="Heading1"/>
      </w:pPr>
      <w:r>
        <w:t>Single-Point Dependency Risk Matrix</w:t>
      </w:r>
    </w:p>
    <w:p>
      <w:pPr>
        <w:jc w:val="center"/>
      </w:pPr>
      <w:r>
        <w:drawing>
          <wp:inline xmlns:a="http://schemas.openxmlformats.org/drawingml/2006/main" xmlns:pic="http://schemas.openxmlformats.org/drawingml/2006/picture">
            <wp:extent cx="5486400" cy="392453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924530"/>
                    </a:xfrm>
                    <a:prstGeom prst="rect"/>
                  </pic:spPr>
                </pic:pic>
              </a:graphicData>
            </a:graphic>
          </wp:inline>
        </w:drawing>
      </w:r>
    </w:p>
    <w:p>
      <w:r>
        <w:t>No data available</w:t>
      </w:r>
    </w:p>
    <w:p/>
    <w:p>
      <w:r>
        <w:rPr>
          <w:b/>
        </w:rPr>
        <w:t>AI Insights:</w:t>
      </w:r>
    </w:p>
    <w:p>
      <w:r>
        <w:t>**Knowledge Management Recommendations Report**</w:t>
      </w:r>
    </w:p>
    <w:p/>
    <w:p>
      <w:r>
        <w:t>---</w:t>
      </w:r>
    </w:p>
    <w:p/>
    <w:p>
      <w:r>
        <w:t>### **1. Risk Assessment &amp; Potential Impact**</w:t>
      </w:r>
    </w:p>
    <w:p/>
    <w:p>
      <w:r>
        <w:t>*   **Current Status:** The analysis indicates a highly favorable situation with **no identified high-risk single-point dependencies or knowledge silos**.</w:t>
      </w:r>
    </w:p>
    <w:p>
      <w:r>
        <w:t>*   **Primary Implication:** The organization currently has a robust level of knowledge redundancy and distribution. The risk of critical operational failure or project delays due to a single person's absence (e.g., vacation, illness, departure) is significantly minimized.</w:t>
      </w:r>
    </w:p>
    <w:p>
      <w:r>
        <w:t>*   **Latent &amp; Future Risks:** While no active risks are flagged, the absence of visible silos does not guarantee optimal knowledge flow. The main risks are:</w:t>
      </w:r>
    </w:p>
    <w:p>
      <w:r>
        <w:t xml:space="preserve">    *   **Complacency:** The current healthy state may lead to neglecting proactive knowledge management practices, allowing future silos to form unnoticed.</w:t>
      </w:r>
    </w:p>
    <w:p>
      <w:r>
        <w:t xml:space="preserve">    *   **Scalability Risk:** As teams grow or new technologies are adopted, new dependencies can emerge rapidly if not managed intentionally.</w:t>
      </w:r>
    </w:p>
    <w:p>
      <w:r>
        <w:t xml:space="preserve">    *   **Implicit Knowledge:** Critical "tribal knowledge" or nuanced problem-solving expertise may still reside informally with individuals, even if formal processes are documented.</w:t>
      </w:r>
    </w:p>
    <w:p/>
    <w:p>
      <w:r>
        <w:t>### **2. Knowledge Transfer Priority Recommendations**</w:t>
      </w:r>
    </w:p>
    <w:p/>
    <w:p>
      <w:r>
        <w:t>Given the stable baseline, focus should shift from remediation to **reinforcement and prevention**.</w:t>
      </w:r>
    </w:p>
    <w:p/>
    <w:p>
      <w:r>
        <w:t>*   **Priority 1: Institutionalize Continuous Knowledge Sharing.**</w:t>
      </w:r>
    </w:p>
    <w:p>
      <w:r>
        <w:t xml:space="preserve">    *   Implement a lightweight, regular practice such as bi-weekly **"Lunch &amp; Learn" sessions** or **rotation-based peer reviews** on key deliverables. This prevents knowledge from becoming static and encourages cross-pollination.</w:t>
      </w:r>
    </w:p>
    <w:p>
      <w:r>
        <w:t xml:space="preserve">    *   Mandate **project retrospectives** that include a "knowledge capture" segment, explicitly identifying and documenting lessons learned and novel solutions.</w:t>
      </w:r>
    </w:p>
    <w:p/>
    <w:p>
      <w:r>
        <w:t>*   **Priority 2: Proactively Map Future Dependencies.**</w:t>
      </w:r>
    </w:p>
    <w:p>
      <w:r>
        <w:t xml:space="preserve">    *   Integrate a **"Knowledge Dependency Check"** into project kick-off and planning phases for new initiatives or technology adoptions. Identify potential new single points of failure before they materialize.</w:t>
      </w:r>
    </w:p>
    <w:p>
      <w:r>
        <w:t xml:space="preserve">    *   For any emerging specialized expertise (e.g., a new tool, architecture), proactively designate a **secondary/backup owner** from the start.</w:t>
      </w:r>
    </w:p>
    <w:p/>
    <w:p>
      <w:r>
        <w:t>*   **Priority 3: Audit for Implicit Knowledge.**</w:t>
      </w:r>
    </w:p>
    <w:p>
      <w:r>
        <w:t xml:space="preserve">    *   Conduct periodic interviews or surveys with team leads to identify areas of **"We just always ask [Person X]"** for nuanced issues, even if core procedures are documented. Target these areas for deeper documentation or paired work.</w:t>
      </w:r>
    </w:p>
    <w:p/>
    <w:p>
      <w:r>
        <w:t>### **3. Documentation &amp; Backup Personnel Training Plan**</w:t>
      </w:r>
    </w:p>
    <w:p/>
    <w:p>
      <w:r>
        <w:t>Leverage the current low-risk environment to build a sustainable, preventative system.</w:t>
      </w:r>
    </w:p>
    <w:p/>
    <w:p>
      <w:r>
        <w:t>*   **Documentation Strategy:**</w:t>
      </w:r>
    </w:p>
    <w:p>
      <w:r>
        <w:t xml:space="preserve">    *   **Standardize Core Protocols:** Ensure all critical operational runbooks, deployment procedures, and escalation protocols are housed in a centralized, accessible wiki (e.g., Confluence, Notion). Assign clear owners for maintenance.</w:t>
      </w:r>
    </w:p>
    <w:p>
      <w:r>
        <w:t xml:space="preserve">    *   **Promote "Living Documents":** Encourage the use of collaborative documents for major projects and design decisions, making knowledge creation a byproduct of work rather than a separate task.</w:t>
      </w:r>
    </w:p>
    <w:p>
      <w:r>
        <w:t xml:space="preserve">    *   **Create "Crisis Manuals":** Develop concise playbooks for responding to major, known system failures or service outages. These should be easily accessible and understandable to a secondary responder.</w:t>
      </w:r>
    </w:p>
    <w:p/>
    <w:p>
      <w:r>
        <w:t>*   **Backup Personnel Training Plan:**</w:t>
      </w:r>
    </w:p>
    <w:p>
      <w:r>
        <w:t xml:space="preserve">    *   **Establish a "Buddy System":** Formally pair primary system/process owners with a designated backup. This is not for immediate handover but for ongoing awareness.</w:t>
      </w:r>
    </w:p>
    <w:p>
      <w:r>
        <w:t xml:space="preserve">    *   **Schedule "Shadowing &amp; Hand-off Drills":**</w:t>
      </w:r>
    </w:p>
    <w:p>
      <w:r>
        <w:t xml:space="preserve">        *   **Quarterly Shadowing:** Backups spend 2-4 hours quarterly observing the primary owner's key tasks and reviewing critical documentation.</w:t>
      </w:r>
    </w:p>
    <w:p>
      <w:r>
        <w:t xml:space="preserve">        *   **Annual Drill:** Conduct a table-top exercise or a controlled, low-risk real-world task where the backup role-plays taking over for a simulated absence of the primary owner.</w:t>
      </w:r>
    </w:p>
    <w:p>
      <w:r>
        <w:t xml:space="preserve">    *   **Track Coverage Metrics:** Maintain a simple register of key systems/roles, their primary and backup owners, and the date of the last backup knowledge review or drill. Review this register in quarterly leadership meetings.</w:t>
      </w:r>
    </w:p>
    <w:p/>
    <w:p>
      <w:r>
        <w:t>**Conclusion:** The organization is in a strong position. The recommended actions are designed to be proactive, low-overhead investments to preserve this strength, foster a culture of shared knowledge, and systematically guard against future risks as the business evolves.</w:t>
      </w:r>
    </w:p>
    <w:p>
      <w:r>
        <w:br w:type="page"/>
      </w:r>
    </w:p>
    <w:p>
      <w:pPr>
        <w:pStyle w:val="Heading1"/>
      </w:pPr>
      <w:r>
        <w:t>Bottleneck Analysis</w:t>
      </w:r>
    </w:p>
    <w:p>
      <w:pPr>
        <w:jc w:val="center"/>
      </w:pPr>
      <w:r>
        <w:drawing>
          <wp:inline xmlns:a="http://schemas.openxmlformats.org/drawingml/2006/main" xmlns:pic="http://schemas.openxmlformats.org/drawingml/2006/picture">
            <wp:extent cx="5486400" cy="317811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178116"/>
                    </a:xfrm>
                    <a:prstGeom prst="rect"/>
                  </pic:spPr>
                </pic:pic>
              </a:graphicData>
            </a:graphic>
          </wp:inline>
        </w:drawing>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2E5090"/>
          </w:tcPr>
          <w:p>
            <w:r>
              <w:rPr>
                <w:b/>
                <w:color w:val="FFFFFF"/>
              </w:rPr>
              <w:t>Rank</w:t>
            </w:r>
          </w:p>
        </w:tc>
        <w:tc>
          <w:tcPr>
            <w:tcW w:type="dxa" w:w="1440"/>
            <w:shd w:fill="2E5090"/>
          </w:tcPr>
          <w:p>
            <w:r>
              <w:rPr>
                <w:b/>
                <w:color w:val="FFFFFF"/>
              </w:rPr>
              <w:t>Resolver</w:t>
            </w:r>
          </w:p>
        </w:tc>
        <w:tc>
          <w:tcPr>
            <w:tcW w:type="dxa" w:w="1440"/>
            <w:shd w:fill="2E5090"/>
          </w:tcPr>
          <w:p>
            <w:r>
              <w:rPr>
                <w:b/>
                <w:color w:val="FFFFFF"/>
              </w:rPr>
              <w:t>Bottleneck Score</w:t>
            </w:r>
          </w:p>
        </w:tc>
        <w:tc>
          <w:tcPr>
            <w:tcW w:type="dxa" w:w="1440"/>
            <w:shd w:fill="2E5090"/>
          </w:tcPr>
          <w:p>
            <w:r>
              <w:rPr>
                <w:b/>
                <w:color w:val="FFFFFF"/>
              </w:rPr>
              <w:t>Current Backlog</w:t>
            </w:r>
          </w:p>
        </w:tc>
        <w:tc>
          <w:tcPr>
            <w:tcW w:type="dxa" w:w="1440"/>
            <w:shd w:fill="2E5090"/>
          </w:tcPr>
          <w:p>
            <w:r>
              <w:rPr>
                <w:b/>
                <w:color w:val="FFFFFF"/>
              </w:rPr>
              <w:t>SLA Compliance Rate</w:t>
            </w:r>
          </w:p>
        </w:tc>
        <w:tc>
          <w:tcPr>
            <w:tcW w:type="dxa" w:w="1440"/>
            <w:shd w:fill="2E5090"/>
          </w:tcPr>
          <w:p>
            <w:r>
              <w:rPr>
                <w:b/>
                <w:color w:val="FFFFFF"/>
              </w:rPr>
              <w:t>Root Cause</w:t>
            </w:r>
          </w:p>
        </w:tc>
      </w:tr>
      <w:tr>
        <w:tc>
          <w:tcPr>
            <w:tcW w:type="dxa" w:w="1440"/>
          </w:tcPr>
          <w:p>
            <w:r>
              <w:t>1</w:t>
            </w:r>
          </w:p>
        </w:tc>
        <w:tc>
          <w:tcPr>
            <w:tcW w:type="dxa" w:w="1440"/>
          </w:tcPr>
          <w:p>
            <w:r>
              <w:t>David Smith</w:t>
            </w:r>
          </w:p>
        </w:tc>
        <w:tc>
          <w:tcPr>
            <w:tcW w:type="dxa" w:w="1440"/>
          </w:tcPr>
          <w:p>
            <w:r>
              <w:t>0.32</w:t>
            </w:r>
          </w:p>
        </w:tc>
        <w:tc>
          <w:tcPr>
            <w:tcW w:type="dxa" w:w="1440"/>
          </w:tcPr>
          <w:p>
            <w:r>
              <w:t>0</w:t>
            </w:r>
          </w:p>
        </w:tc>
        <w:tc>
          <w:tcPr>
            <w:tcW w:type="dxa" w:w="1440"/>
          </w:tcPr>
          <w:p>
            <w:r>
              <w:t>65.0%</w:t>
            </w:r>
          </w:p>
        </w:tc>
        <w:tc>
          <w:tcPr>
            <w:tcW w:type="dxa" w:w="1440"/>
          </w:tcPr>
          <w:p>
            <w:r>
              <w:t>MTTR 54h exceeds threshold, SLA compliance 65%</w:t>
            </w:r>
          </w:p>
        </w:tc>
      </w:tr>
      <w:tr>
        <w:tc>
          <w:tcPr>
            <w:tcW w:type="dxa" w:w="1440"/>
          </w:tcPr>
          <w:p>
            <w:r>
              <w:t>2</w:t>
            </w:r>
          </w:p>
        </w:tc>
        <w:tc>
          <w:tcPr>
            <w:tcW w:type="dxa" w:w="1440"/>
          </w:tcPr>
          <w:p>
            <w:r>
              <w:t>Thomas Smith</w:t>
            </w:r>
          </w:p>
        </w:tc>
        <w:tc>
          <w:tcPr>
            <w:tcW w:type="dxa" w:w="1440"/>
          </w:tcPr>
          <w:p>
            <w:r>
              <w:t>0.32</w:t>
            </w:r>
          </w:p>
        </w:tc>
        <w:tc>
          <w:tcPr>
            <w:tcW w:type="dxa" w:w="1440"/>
          </w:tcPr>
          <w:p>
            <w:r>
              <w:t>0</w:t>
            </w:r>
          </w:p>
        </w:tc>
        <w:tc>
          <w:tcPr>
            <w:tcW w:type="dxa" w:w="1440"/>
          </w:tcPr>
          <w:p>
            <w:r>
              <w:t>63.5%</w:t>
            </w:r>
          </w:p>
        </w:tc>
        <w:tc>
          <w:tcPr>
            <w:tcW w:type="dxa" w:w="1440"/>
          </w:tcPr>
          <w:p>
            <w:r>
              <w:t>MTTR 53h exceeds threshold, SLA compliance 63%</w:t>
            </w:r>
          </w:p>
        </w:tc>
      </w:tr>
      <w:tr>
        <w:tc>
          <w:tcPr>
            <w:tcW w:type="dxa" w:w="1440"/>
          </w:tcPr>
          <w:p>
            <w:r>
              <w:t>3</w:t>
            </w:r>
          </w:p>
        </w:tc>
        <w:tc>
          <w:tcPr>
            <w:tcW w:type="dxa" w:w="1440"/>
          </w:tcPr>
          <w:p>
            <w:r>
              <w:t>Daniel Smith</w:t>
            </w:r>
          </w:p>
        </w:tc>
        <w:tc>
          <w:tcPr>
            <w:tcW w:type="dxa" w:w="1440"/>
          </w:tcPr>
          <w:p>
            <w:r>
              <w:t>0.31</w:t>
            </w:r>
          </w:p>
        </w:tc>
        <w:tc>
          <w:tcPr>
            <w:tcW w:type="dxa" w:w="1440"/>
          </w:tcPr>
          <w:p>
            <w:r>
              <w:t>0</w:t>
            </w:r>
          </w:p>
        </w:tc>
        <w:tc>
          <w:tcPr>
            <w:tcW w:type="dxa" w:w="1440"/>
          </w:tcPr>
          <w:p>
            <w:r>
              <w:t>63.2%</w:t>
            </w:r>
          </w:p>
        </w:tc>
        <w:tc>
          <w:tcPr>
            <w:tcW w:type="dxa" w:w="1440"/>
          </w:tcPr>
          <w:p>
            <w:r>
              <w:t>MTTR 51h exceeds threshold, SLA compliance 63%</w:t>
            </w:r>
          </w:p>
        </w:tc>
      </w:tr>
      <w:tr>
        <w:tc>
          <w:tcPr>
            <w:tcW w:type="dxa" w:w="1440"/>
          </w:tcPr>
          <w:p>
            <w:r>
              <w:t>4</w:t>
            </w:r>
          </w:p>
        </w:tc>
        <w:tc>
          <w:tcPr>
            <w:tcW w:type="dxa" w:w="1440"/>
          </w:tcPr>
          <w:p>
            <w:r>
              <w:t>Mary Smith</w:t>
            </w:r>
          </w:p>
        </w:tc>
        <w:tc>
          <w:tcPr>
            <w:tcW w:type="dxa" w:w="1440"/>
          </w:tcPr>
          <w:p>
            <w:r>
              <w:t>0.30</w:t>
            </w:r>
          </w:p>
        </w:tc>
        <w:tc>
          <w:tcPr>
            <w:tcW w:type="dxa" w:w="1440"/>
          </w:tcPr>
          <w:p>
            <w:r>
              <w:t>0</w:t>
            </w:r>
          </w:p>
        </w:tc>
        <w:tc>
          <w:tcPr>
            <w:tcW w:type="dxa" w:w="1440"/>
          </w:tcPr>
          <w:p>
            <w:r>
              <w:t>64.4%</w:t>
            </w:r>
          </w:p>
        </w:tc>
        <w:tc>
          <w:tcPr>
            <w:tcW w:type="dxa" w:w="1440"/>
          </w:tcPr>
          <w:p>
            <w:r>
              <w:t>MTTR 48h exceeds threshold, SLA compliance 64%</w:t>
            </w:r>
          </w:p>
        </w:tc>
      </w:tr>
      <w:tr>
        <w:tc>
          <w:tcPr>
            <w:tcW w:type="dxa" w:w="1440"/>
          </w:tcPr>
          <w:p>
            <w:r>
              <w:t>5</w:t>
            </w:r>
          </w:p>
        </w:tc>
        <w:tc>
          <w:tcPr>
            <w:tcW w:type="dxa" w:w="1440"/>
          </w:tcPr>
          <w:p>
            <w:r>
              <w:t>Lisa Smith</w:t>
            </w:r>
          </w:p>
        </w:tc>
        <w:tc>
          <w:tcPr>
            <w:tcW w:type="dxa" w:w="1440"/>
          </w:tcPr>
          <w:p>
            <w:r>
              <w:t>0.21</w:t>
            </w:r>
          </w:p>
        </w:tc>
        <w:tc>
          <w:tcPr>
            <w:tcW w:type="dxa" w:w="1440"/>
          </w:tcPr>
          <w:p>
            <w:r>
              <w:t>0</w:t>
            </w:r>
          </w:p>
        </w:tc>
        <w:tc>
          <w:tcPr>
            <w:tcW w:type="dxa" w:w="1440"/>
          </w:tcPr>
          <w:p>
            <w:r>
              <w:t>59.5%</w:t>
            </w:r>
          </w:p>
        </w:tc>
        <w:tc>
          <w:tcPr>
            <w:tcW w:type="dxa" w:w="1440"/>
          </w:tcPr>
          <w:p>
            <w:r>
              <w:t>MTTR 28h above target, SLA compliance 59%</w:t>
            </w:r>
          </w:p>
        </w:tc>
      </w:tr>
      <w:tr>
        <w:tc>
          <w:tcPr>
            <w:tcW w:type="dxa" w:w="1440"/>
          </w:tcPr>
          <w:p>
            <w:r>
              <w:t>6</w:t>
            </w:r>
          </w:p>
        </w:tc>
        <w:tc>
          <w:tcPr>
            <w:tcW w:type="dxa" w:w="1440"/>
          </w:tcPr>
          <w:p>
            <w:r>
              <w:t>Linda Smith</w:t>
            </w:r>
          </w:p>
        </w:tc>
        <w:tc>
          <w:tcPr>
            <w:tcW w:type="dxa" w:w="1440"/>
          </w:tcPr>
          <w:p>
            <w:r>
              <w:t>0.20</w:t>
            </w:r>
          </w:p>
        </w:tc>
        <w:tc>
          <w:tcPr>
            <w:tcW w:type="dxa" w:w="1440"/>
          </w:tcPr>
          <w:p>
            <w:r>
              <w:t>0</w:t>
            </w:r>
          </w:p>
        </w:tc>
        <w:tc>
          <w:tcPr>
            <w:tcW w:type="dxa" w:w="1440"/>
          </w:tcPr>
          <w:p>
            <w:r>
              <w:t>64.4%</w:t>
            </w:r>
          </w:p>
        </w:tc>
        <w:tc>
          <w:tcPr>
            <w:tcW w:type="dxa" w:w="1440"/>
          </w:tcPr>
          <w:p>
            <w:r>
              <w:t>MTTR 29h above target, SLA compliance 64%</w:t>
            </w:r>
          </w:p>
        </w:tc>
      </w:tr>
      <w:tr>
        <w:tc>
          <w:tcPr>
            <w:tcW w:type="dxa" w:w="1440"/>
          </w:tcPr>
          <w:p>
            <w:r>
              <w:t>7</w:t>
            </w:r>
          </w:p>
        </w:tc>
        <w:tc>
          <w:tcPr>
            <w:tcW w:type="dxa" w:w="1440"/>
          </w:tcPr>
          <w:p>
            <w:r>
              <w:t>Elizabeth Smith</w:t>
            </w:r>
          </w:p>
        </w:tc>
        <w:tc>
          <w:tcPr>
            <w:tcW w:type="dxa" w:w="1440"/>
          </w:tcPr>
          <w:p>
            <w:r>
              <w:t>0.20</w:t>
            </w:r>
          </w:p>
        </w:tc>
        <w:tc>
          <w:tcPr>
            <w:tcW w:type="dxa" w:w="1440"/>
          </w:tcPr>
          <w:p>
            <w:r>
              <w:t>0</w:t>
            </w:r>
          </w:p>
        </w:tc>
        <w:tc>
          <w:tcPr>
            <w:tcW w:type="dxa" w:w="1440"/>
          </w:tcPr>
          <w:p>
            <w:r>
              <w:t>60.9%</w:t>
            </w:r>
          </w:p>
        </w:tc>
        <w:tc>
          <w:tcPr>
            <w:tcW w:type="dxa" w:w="1440"/>
          </w:tcPr>
          <w:p>
            <w:r>
              <w:t>MTTR 26h above target, SLA compliance 61%</w:t>
            </w:r>
          </w:p>
        </w:tc>
      </w:tr>
      <w:tr>
        <w:tc>
          <w:tcPr>
            <w:tcW w:type="dxa" w:w="1440"/>
          </w:tcPr>
          <w:p>
            <w:r>
              <w:t>8</w:t>
            </w:r>
          </w:p>
        </w:tc>
        <w:tc>
          <w:tcPr>
            <w:tcW w:type="dxa" w:w="1440"/>
          </w:tcPr>
          <w:p>
            <w:r>
              <w:t>Robert Smith</w:t>
            </w:r>
          </w:p>
        </w:tc>
        <w:tc>
          <w:tcPr>
            <w:tcW w:type="dxa" w:w="1440"/>
          </w:tcPr>
          <w:p>
            <w:r>
              <w:t>0.20</w:t>
            </w:r>
          </w:p>
        </w:tc>
        <w:tc>
          <w:tcPr>
            <w:tcW w:type="dxa" w:w="1440"/>
          </w:tcPr>
          <w:p>
            <w:r>
              <w:t>0</w:t>
            </w:r>
          </w:p>
        </w:tc>
        <w:tc>
          <w:tcPr>
            <w:tcW w:type="dxa" w:w="1440"/>
          </w:tcPr>
          <w:p>
            <w:r>
              <w:t>63.0%</w:t>
            </w:r>
          </w:p>
        </w:tc>
        <w:tc>
          <w:tcPr>
            <w:tcW w:type="dxa" w:w="1440"/>
          </w:tcPr>
          <w:p>
            <w:r>
              <w:t>MTTR 26h above target, SLA compliance 63%</w:t>
            </w:r>
          </w:p>
        </w:tc>
      </w:tr>
      <w:tr>
        <w:tc>
          <w:tcPr>
            <w:tcW w:type="dxa" w:w="1440"/>
          </w:tcPr>
          <w:p>
            <w:r>
              <w:t>9</w:t>
            </w:r>
          </w:p>
        </w:tc>
        <w:tc>
          <w:tcPr>
            <w:tcW w:type="dxa" w:w="1440"/>
          </w:tcPr>
          <w:p>
            <w:r>
              <w:t>Christopher Smith</w:t>
            </w:r>
          </w:p>
        </w:tc>
        <w:tc>
          <w:tcPr>
            <w:tcW w:type="dxa" w:w="1440"/>
          </w:tcPr>
          <w:p>
            <w:r>
              <w:t>0.20</w:t>
            </w:r>
          </w:p>
        </w:tc>
        <w:tc>
          <w:tcPr>
            <w:tcW w:type="dxa" w:w="1440"/>
          </w:tcPr>
          <w:p>
            <w:r>
              <w:t>0</w:t>
            </w:r>
          </w:p>
        </w:tc>
        <w:tc>
          <w:tcPr>
            <w:tcW w:type="dxa" w:w="1440"/>
          </w:tcPr>
          <w:p>
            <w:r>
              <w:t>64.1%</w:t>
            </w:r>
          </w:p>
        </w:tc>
        <w:tc>
          <w:tcPr>
            <w:tcW w:type="dxa" w:w="1440"/>
          </w:tcPr>
          <w:p>
            <w:r>
              <w:t>MTTR 26h above target, SLA compliance 64%</w:t>
            </w:r>
          </w:p>
        </w:tc>
      </w:tr>
      <w:tr>
        <w:tc>
          <w:tcPr>
            <w:tcW w:type="dxa" w:w="1440"/>
          </w:tcPr>
          <w:p>
            <w:r>
              <w:t>10</w:t>
            </w:r>
          </w:p>
        </w:tc>
        <w:tc>
          <w:tcPr>
            <w:tcW w:type="dxa" w:w="1440"/>
          </w:tcPr>
          <w:p>
            <w:r>
              <w:t>Richard Smith</w:t>
            </w:r>
          </w:p>
        </w:tc>
        <w:tc>
          <w:tcPr>
            <w:tcW w:type="dxa" w:w="1440"/>
          </w:tcPr>
          <w:p>
            <w:r>
              <w:t>0.19</w:t>
            </w:r>
          </w:p>
        </w:tc>
        <w:tc>
          <w:tcPr>
            <w:tcW w:type="dxa" w:w="1440"/>
          </w:tcPr>
          <w:p>
            <w:r>
              <w:t>0</w:t>
            </w:r>
          </w:p>
        </w:tc>
        <w:tc>
          <w:tcPr>
            <w:tcW w:type="dxa" w:w="1440"/>
          </w:tcPr>
          <w:p>
            <w:r>
              <w:t>62.5%</w:t>
            </w:r>
          </w:p>
        </w:tc>
        <w:tc>
          <w:tcPr>
            <w:tcW w:type="dxa" w:w="1440"/>
          </w:tcPr>
          <w:p>
            <w:r>
              <w:t>MTTR 25h above target, SLA compliance 63%</w:t>
            </w:r>
          </w:p>
        </w:tc>
      </w:tr>
    </w:tbl>
    <w:p/>
    <w:p>
      <w:r>
        <w:rPr>
          <w:b/>
        </w:rPr>
        <w:t>AI Insights:</w:t>
      </w:r>
    </w:p>
    <w:p>
      <w:r>
        <w:t># **Bottleneck Analysis &amp; Improvement Recommendations**</w:t>
      </w:r>
    </w:p>
    <w:p/>
    <w:p>
      <w:r>
        <w:t>## **1. Root Cause Diagnosis**</w:t>
      </w:r>
    </w:p>
    <w:p/>
    <w:p>
      <w:r>
        <w:t>*   **Primary Issue: Systemic High MTTR (Mean Time to Resolution)**</w:t>
      </w:r>
    </w:p>
    <w:p>
      <w:r>
        <w:t xml:space="preserve">    *   The top 5 bottleneck experts all have MTTRs significantly exceeding the global average of 29.4 hours, with four experts exceeding 48 hours.</w:t>
      </w:r>
    </w:p>
    <w:p>
      <w:r>
        <w:t xml:space="preserve">    *   This indicates a deep-seated process or capability issue, not just individual underperformance. The root cause likely lies in **ticket complexity, skill gaps, or inefficient resolution workflows** for specific problem types handled by this group.</w:t>
      </w:r>
    </w:p>
    <w:p/>
    <w:p>
      <w:r>
        <w:t>*   **Secondary Issue: Consistently Low SLA Compliance**</w:t>
      </w:r>
    </w:p>
    <w:p>
      <w:r>
        <w:t xml:space="preserve">    *   All listed experts have SLA compliance rates between 59% and 65%, far below an acceptable standard (typically &gt;95%).</w:t>
      </w:r>
    </w:p>
    <w:p>
      <w:r>
        <w:t xml:space="preserve">    *   This is a direct consequence of the high MTTR and suggests **ineffective prioritization, unclear escalation paths, or unrealistic SLA targets** for the work assigned to them.</w:t>
      </w:r>
    </w:p>
    <w:p/>
    <w:p>
      <w:r>
        <w:t>*   **Key Finding: Backlog is Not the Problem**</w:t>
      </w:r>
    </w:p>
    <w:p>
      <w:r>
        <w:t xml:space="preserve">    *   All experts have a backlog of 0. This is positive but indicates that **new tickets are being accepted but not resolved swiftly**, creating a "flow" bottleneck rather than a "queue" bottleneck. The focus must shift from workload intake to resolution efficiency.</w:t>
      </w:r>
    </w:p>
    <w:p/>
    <w:p>
      <w:r>
        <w:t>## **2. Short-Term Mitigation Measures (1-2 Weeks)**</w:t>
      </w:r>
    </w:p>
    <w:p/>
    <w:p>
      <w:r>
        <w:t>*   **Immediate Ticket Audit &amp; Swarming:**</w:t>
      </w:r>
    </w:p>
    <w:p>
      <w:r>
        <w:t xml:space="preserve">    *   Conduct a urgent review of all open tickets held by David, Thomas, Daniel, and Mary. Categorize them by type and complexity.</w:t>
      </w:r>
    </w:p>
    <w:p>
      <w:r>
        <w:t xml:space="preserve">    *   Form a **"swarm team"** with other team members to collectively resolve the oldest and most critical tickets, reducing their individual MTTR immediately.</w:t>
      </w:r>
    </w:p>
    <w:p/>
    <w:p>
      <w:r>
        <w:t>*   **Implement a Daily Focused Huddle:**</w:t>
      </w:r>
    </w:p>
    <w:p>
      <w:r>
        <w:t xml:space="preserve">    *   For the next two weeks, hold a daily 15-minute stand-up with the top 5 bottleneck experts **only**.</w:t>
      </w:r>
    </w:p>
    <w:p>
      <w:r>
        <w:t xml:space="preserve">    *   Agenda: 1) Blockers from yesterday, 2) Top 2 priority tickets for today, 3) One specific help needed. This creates peer accountability and rapid blocker removal.</w:t>
      </w:r>
    </w:p>
    <w:p/>
    <w:p>
      <w:r>
        <w:t>*   **Temporary Work Intake Filter:**</w:t>
      </w:r>
    </w:p>
    <w:p>
      <w:r>
        <w:t xml:space="preserve">    *   For the same period, route new, potentially complex tickets matching the profiles that cause delays for these experts to a secondary reviewer (e.g., a team lead) for pre-qualification and possible reassignment to a less burdened expert.</w:t>
      </w:r>
    </w:p>
    <w:p/>
    <w:p>
      <w:r>
        <w:t>## **3. Medium &amp; Long-Term Optimization Suggestions**</w:t>
      </w:r>
    </w:p>
    <w:p/>
    <w:p>
      <w:r>
        <w:t>*   **Medium-Term (Next 1-3 Months):**</w:t>
      </w:r>
    </w:p>
    <w:p>
      <w:r>
        <w:t xml:space="preserve">    *   **Deep-Dive Skill Gap Analysis:** Analyze the common themes in tickets with long resolution times for these experts. Develop and deliver targeted training or create **knowledge base articles** and resolution playbooks for these specific, recurring complex issues.</w:t>
      </w:r>
    </w:p>
    <w:p>
      <w:r>
        <w:t xml:space="preserve">    *   **Process Redesign - Escalation &amp; Triage:** Review and formalize the escalation matrix. Define clear time-based thresholds (e.g., "if ticket not resolved in 16h, escalate to senior engineer") to prevent tickets from stagnating.</w:t>
      </w:r>
    </w:p>
    <w:p>
      <w:r>
        <w:t xml:space="preserve">    *   **Peer Mentoring &amp; Shadowing:** Pair the highest MTTR experts (David, Thomas) with the best-performing experts outside this list for reciprocal shadowing to share workload management and technical resolution techniques.</w:t>
      </w:r>
    </w:p>
    <w:p/>
    <w:p>
      <w:r>
        <w:t>*   **Long-Term (3+ Months):**</w:t>
      </w:r>
    </w:p>
    <w:p>
      <w:r>
        <w:t xml:space="preserve">    *   **Refine Metrics &amp; Goals:** Move beyond just MTTR. Introduce **"Time to First Response"** and **"Resolution Efficiency"** (time spent active on ticket vs. total MTTR) metrics to identify where delays truly occur (waiting vs. working).</w:t>
      </w:r>
    </w:p>
    <w:p>
      <w:r>
        <w:t xml:space="preserve">    *   **Workload Balancing &amp; Specialization:** Based on the skill gap analysis, consider formally specializing experts in certain ticket types to build deeper expertise and reduce context-switching. Balance the assignment of complex vs. routine tickets across the entire team of 6.</w:t>
      </w:r>
    </w:p>
    <w:p>
      <w:r>
        <w:t xml:space="preserve">    *   **Tooling &amp; Automation Investment:** Investigate if the long resolution times involve manual, repetitive steps. Prioritize automation projects or tool enhancements that would most benefit the specific tasks causing these bottlenecks.</w:t>
      </w:r>
    </w:p>
    <w:p>
      <w:r>
        <w:br w:type="page"/>
      </w:r>
    </w:p>
    <w:p>
      <w:pPr>
        <w:pStyle w:val="Heading1"/>
      </w:pPr>
      <w:r>
        <w:t>Workload Balance Analysis</w:t>
      </w:r>
    </w:p>
    <w:p>
      <w:pPr>
        <w:jc w:val="center"/>
      </w:pPr>
      <w:r>
        <w:drawing>
          <wp:inline xmlns:a="http://schemas.openxmlformats.org/drawingml/2006/main" xmlns:pic="http://schemas.openxmlformats.org/drawingml/2006/picture">
            <wp:extent cx="5486400" cy="272477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724772"/>
                    </a:xfrm>
                    <a:prstGeom prst="rect"/>
                  </pic:spPr>
                </pic:pic>
              </a:graphicData>
            </a:graphic>
          </wp:inline>
        </w:drawing>
      </w:r>
    </w:p>
    <w:p>
      <w:r>
        <w:rPr>
          <w:b/>
        </w:rPr>
        <w:t xml:space="preserve">Gini Coefficient: </w:t>
      </w:r>
      <w:r>
        <w:t>0.026</w:t>
      </w:r>
    </w:p>
    <w:p>
      <w:r>
        <w:rPr>
          <w:b/>
        </w:rPr>
        <w:t xml:space="preserve">Interpretation: </w:t>
      </w:r>
      <w:r>
        <w:t>Well Balanced</w:t>
      </w:r>
    </w:p>
    <w:p/>
    <w:p>
      <w:r>
        <w:rPr>
          <w:b/>
        </w:rPr>
        <w:t>AI Insights:</w:t>
      </w:r>
    </w:p>
    <w:p>
      <w:r>
        <w:t>## Workload Distribution Health Assessment</w:t>
      </w:r>
    </w:p>
    <w:p/>
    <w:p>
      <w:r>
        <w:t>- **Excellent Balance Achieved**: The Gini Coefficient of 0.026 indicates an exceptionally equitable distribution of work across the team, falling within the "Well Balanced" range. This is a strong operational baseline.</w:t>
      </w:r>
    </w:p>
    <w:p>
      <w:r>
        <w:t>- **Stable Operation**: With an average of 374 tickets per expert and a low standard deviation of 18.1, individual workloads are tightly clustered around the mean. The absence of both overloaded and underloaded experts confirms a stable state with no immediate personnel-level strain or underutilization.</w:t>
      </w:r>
    </w:p>
    <w:p>
      <w:r>
        <w:t>- **Low Systemic Risk**: The current state presents minimal risk related to burnout from uneven distribution or inefficiency due to idle capacity. The primary risk shifts from internal imbalance to external factors affecting the total ticket volume.</w:t>
      </w:r>
    </w:p>
    <w:p/>
    <w:p>
      <w:r>
        <w:t>## Specific Reallocation Suggestions</w:t>
      </w:r>
    </w:p>
    <w:p/>
    <w:p>
      <w:r>
        <w:t>- **No Immediate Reallocation Required**: The data does not support any specific ticket transfers between experts at this time, as no individual is significantly above or below the team average.</w:t>
      </w:r>
    </w:p>
    <w:p>
      <w:r>
        <w:t>- **Focus on Dynamic Adjustment Protocols**: Instead of reallocating existing work, implement a lightweight protocol for the team lead or a designated coordinator to perform a micro-adjustment during the next ticket assignment cycle if any individual's queue deviates by more than 10% (approx. ±37 tickets) from the moving team average. This maintains the balance proactively.</w:t>
      </w:r>
    </w:p>
    <w:p/>
    <w:p>
      <w:r>
        <w:t>## Long-Term Load Balancing Strategy</w:t>
      </w:r>
    </w:p>
    <w:p/>
    <w:p>
      <w:r>
        <w:t>- **Institutionalize the Current Process**: Document the assignment rules and heuristics that led to this excellent balance. This creates a replicable standard operating procedure (SOP) for onboarding and periods of high turnover.</w:t>
      </w:r>
    </w:p>
    <w:p>
      <w:r>
        <w:t>- **Implement Leading Indicator Monitoring**:</w:t>
      </w:r>
    </w:p>
    <w:p>
      <w:r>
        <w:t xml:space="preserve">    - Track the Gini Coefficient weekly to detect early trends toward imbalance.</w:t>
      </w:r>
    </w:p>
    <w:p>
      <w:r>
        <w:t xml:space="preserve">    - Monitor the rate of change in the standard deviation. A creeping increase signals the beginning of dispersion.</w:t>
      </w:r>
    </w:p>
    <w:p>
      <w:r>
        <w:t>- **Develop Tiered Expertise and Backup Plans**:</w:t>
      </w:r>
    </w:p>
    <w:p>
      <w:r>
        <w:t xml:space="preserve">    - While balance is good, cross-train experts on each other's specialty areas to build resilience against future fluctuations in ticket type.</w:t>
      </w:r>
    </w:p>
    <w:p>
      <w:r>
        <w:t xml:space="preserve">    - Designate "float" experts or define a clear escalation matrix to handle sudden, large influxes of work without disrupting the core balance.</w:t>
      </w:r>
    </w:p>
    <w:p>
      <w:r>
        <w:t>- **Link Capacity Planning to Demand Forecasting**:</w:t>
      </w:r>
    </w:p>
    <w:p>
      <w:r>
        <w:t xml:space="preserve">    - Use the stable current workload (avg. 374 tickets) as a baseline for capacity modeling.</w:t>
      </w:r>
    </w:p>
    <w:p>
      <w:r>
        <w:t xml:space="preserve">    - Integrate ticket volume forecasts with hiring and training plans to proactively scale the team before imbalance occurs, preserving the healthy distribution culture.</w:t>
      </w:r>
    </w:p>
    <w:p>
      <w:r>
        <w:br w:type="page"/>
      </w:r>
    </w:p>
    <w:p>
      <w:pPr>
        <w:pStyle w:val="Heading1"/>
      </w:pPr>
      <w:r>
        <w:t>Knowledge Silo Detection</w:t>
      </w:r>
    </w:p>
    <w:p>
      <w:r>
        <w:t>No data available</w:t>
      </w:r>
    </w:p>
    <w:p>
      <w:r>
        <w:br w:type="page"/>
      </w:r>
    </w:p>
    <w:p>
      <w:pPr>
        <w:pStyle w:val="Heading1"/>
      </w:pPr>
      <w:r>
        <w:t>Expert Profiles</w:t>
      </w:r>
    </w:p>
    <w:p>
      <w:pPr>
        <w:jc w:val="center"/>
      </w:pPr>
      <w:r>
        <w:drawing>
          <wp:inline xmlns:a="http://schemas.openxmlformats.org/drawingml/2006/main" xmlns:pic="http://schemas.openxmlformats.org/drawingml/2006/picture">
            <wp:extent cx="5486400" cy="326817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268179"/>
                    </a:xfrm>
                    <a:prstGeom prst="rect"/>
                  </pic:spPr>
                </pic:pic>
              </a:graphicData>
            </a:graphic>
          </wp:inline>
        </w:drawing>
      </w:r>
    </w:p>
    <w:p>
      <w:pPr>
        <w:jc w:val="center"/>
      </w:pPr>
      <w:r>
        <w:drawing>
          <wp:inline xmlns:a="http://schemas.openxmlformats.org/drawingml/2006/main" xmlns:pic="http://schemas.openxmlformats.org/drawingml/2006/picture">
            <wp:extent cx="5486400" cy="271707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271707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