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3a5f"/>
          </w:tcPr>
          <w:p>
            <w:pPr>
              <w:spacing w:before="240"/>
              <w:ind w:left="216"/>
            </w:pPr>
            <w:r>
              <w:rPr>
                <w:b/>
                <w:color w:val="FFFFFF"/>
                <w:sz w:val="44"/>
              </w:rPr>
              <w:t>运维质量报告</w:t>
            </w:r>
          </w:p>
          <w:p>
            <w:pPr>
              <w:spacing w:after="240"/>
              <w:ind w:left="216"/>
            </w:pPr>
            <w:r>
              <w:rPr>
                <w:color w:val="CBD5E0"/>
                <w:sz w:val="22"/>
              </w:rPr>
              <w:t>分析周期: 2024-04-19 至 2025-07-06</w:t>
            </w:r>
          </w:p>
        </w:tc>
      </w:tr>
    </w:tbl>
    <w:p/>
    <w:p>
      <w:pPr>
        <w:pStyle w:val="Heading1"/>
      </w:pPr>
      <w:r>
        <w:t>服务健康评分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9b2c2c"/>
          </w:tcPr>
          <w:p>
            <w:pPr>
              <w:jc w:val="center"/>
            </w:pPr>
            <w:r>
              <w:rPr>
                <w:b/>
                <w:color w:val="FFFFFF"/>
                <w:sz w:val="96"/>
              </w:rPr>
              <w:t>33</w:t>
            </w:r>
          </w:p>
          <w:p>
            <w:pPr>
              <w:jc w:val="center"/>
            </w:pPr>
            <w:r>
              <w:rPr>
                <w:color w:val="FFFFFF"/>
                <w:sz w:val="24"/>
              </w:rPr>
              <w:t>🔴 At Risk</w:t>
            </w:r>
          </w:p>
        </w:tc>
        <w:tc>
          <w:tcPr>
            <w:tcW w:type="dxa" w:w="5112"/>
            <w:shd w:fill="edf2f7"/>
          </w:tcPr>
          <w:p>
            <w:pPr>
              <w:ind w:left="216"/>
            </w:pPr>
          </w:p>
          <w:p>
            <w:pPr>
              <w:spacing w:before="80" w:after="80"/>
            </w:pPr>
            <w:r>
              <w:rPr>
                <w:color w:val="4A5568"/>
                <w:sz w:val="20"/>
              </w:rPr>
              <w:t xml:space="preserve">SLA Compliance: </w:t>
            </w:r>
            <w:r>
              <w:rPr>
                <w:b/>
                <w:color w:val="9B2C2C"/>
                <w:sz w:val="22"/>
              </w:rPr>
              <w:t>64.2%</w:t>
            </w:r>
            <w:r>
              <w:rPr>
                <w:color w:val="718096"/>
                <w:sz w:val="18"/>
              </w:rPr>
              <w:t xml:space="preserve"> (→1.5%)</w:t>
            </w:r>
          </w:p>
          <w:p>
            <w:pPr>
              <w:spacing w:before="80" w:after="80"/>
            </w:pPr>
            <w:r>
              <w:rPr>
                <w:color w:val="4A5568"/>
                <w:sz w:val="20"/>
              </w:rPr>
              <w:t xml:space="preserve">Change Success Rate: </w:t>
            </w:r>
            <w:r>
              <w:rPr>
                <w:b/>
                <w:color w:val="9B2C2C"/>
                <w:sz w:val="22"/>
              </w:rPr>
              <w:t>84.0%</w:t>
            </w:r>
          </w:p>
          <w:p>
            <w:pPr>
              <w:spacing w:before="80" w:after="80"/>
            </w:pPr>
            <w:r>
              <w:rPr>
                <w:color w:val="4A5568"/>
                <w:sz w:val="20"/>
              </w:rPr>
              <w:t xml:space="preserve">CSAT Score: </w:t>
            </w:r>
            <w:r>
              <w:rPr>
                <w:b/>
                <w:color w:val="276749"/>
                <w:sz w:val="22"/>
              </w:rPr>
              <w:t>3.61/5</w:t>
            </w:r>
          </w:p>
          <w:p>
            <w:pPr>
              <w:spacing w:before="80" w:after="80"/>
            </w:pPr>
            <w:r>
              <w:rPr>
                <w:color w:val="4A5568"/>
                <w:sz w:val="20"/>
              </w:rPr>
              <w:t xml:space="preserve">Problem Closure Rate: </w:t>
            </w:r>
            <w:r>
              <w:rPr>
                <w:b/>
                <w:color w:val="C05621"/>
                <w:sz w:val="22"/>
              </w:rPr>
              <w:t>48.0%</w:t>
            </w:r>
          </w:p>
        </w:tc>
      </w:tr>
    </w:tbl>
    <w:p/>
    <w:p>
      <w:pPr>
        <w:pStyle w:val="Heading1"/>
      </w:pPr>
      <w:r>
        <w:t>流程概览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556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</w:t>
            </w:r>
          </w:p>
        </w:tc>
        <w:tc>
          <w:tcPr>
            <w:tcW w:type="dxa" w:w="2556"/>
            <w:shd w:fill="92400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2556"/>
            <w:shd w:fill="9d1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2556"/>
            <w:shd w:fill="f7fafc"/>
          </w:tcPr>
          <w:p>
            <w:pPr>
              <w:jc w:val="center"/>
            </w:pPr>
            <w:r>
              <w:rPr>
                <w:b/>
                <w:color w:val="1E40AF"/>
                <w:sz w:val="36"/>
              </w:rPr>
              <w:t>8977</w:t>
            </w:r>
          </w:p>
        </w:tc>
        <w:tc>
          <w:tcPr>
            <w:tcW w:type="dxa" w:w="2556"/>
            <w:shd w:fill="f7fafc"/>
          </w:tcPr>
          <w:p>
            <w:pPr>
              <w:jc w:val="center"/>
            </w:pPr>
            <w:r>
              <w:rPr>
                <w:b/>
                <w:color w:val="065F46"/>
                <w:sz w:val="36"/>
              </w:rPr>
              <w:t>50</w:t>
            </w:r>
          </w:p>
        </w:tc>
        <w:tc>
          <w:tcPr>
            <w:tcW w:type="dxa" w:w="2556"/>
            <w:shd w:fill="f7fafc"/>
          </w:tcPr>
          <w:p>
            <w:pPr>
              <w:jc w:val="center"/>
            </w:pPr>
            <w:r>
              <w:rPr>
                <w:b/>
                <w:color w:val="92400E"/>
                <w:sz w:val="36"/>
              </w:rPr>
              <w:t>50</w:t>
            </w:r>
          </w:p>
        </w:tc>
        <w:tc>
          <w:tcPr>
            <w:tcW w:type="dxa" w:w="2556"/>
            <w:shd w:fill="f7fafc"/>
          </w:tcPr>
          <w:p>
            <w:pPr>
              <w:jc w:val="center"/>
            </w:pPr>
            <w:r>
              <w:rPr>
                <w:b/>
                <w:color w:val="9D174D"/>
                <w:sz w:val="36"/>
              </w:rPr>
              <w:t>50</w:t>
            </w:r>
          </w:p>
        </w:tc>
      </w:tr>
    </w:tbl>
    <w:p/>
    <w:p>
      <w:pPr>
        <w:pStyle w:val="Heading1"/>
      </w:pPr>
      <w:r>
        <w:t>关键绩效指标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SLA Compliance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Avg MTTR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P1/P2 Incidents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Backlog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color w:val="9B2C2C"/>
                <w:sz w:val="28"/>
              </w:rPr>
              <w:t>64.2%</w:t>
            </w:r>
            <w:r>
              <w:rPr>
                <w:color w:val="718096"/>
                <w:sz w:val="18"/>
              </w:rPr>
              <w:t xml:space="preserve"> →1.5%</w:t>
            </w:r>
          </w:p>
        </w:tc>
        <w:tc>
          <w:tcPr>
            <w:tcW w:type="dxa" w:w="2556"/>
          </w:tcPr>
          <w:p>
            <w:r>
              <w:rPr>
                <w:b/>
                <w:color w:val="C05621"/>
                <w:sz w:val="28"/>
              </w:rPr>
              <w:t>29.4h</w:t>
            </w:r>
            <w:r>
              <w:rPr>
                <w:color w:val="718096"/>
                <w:sz w:val="18"/>
              </w:rPr>
              <w:t xml:space="preserve"> ↑25.2%</w:t>
            </w:r>
          </w:p>
        </w:tc>
        <w:tc>
          <w:tcPr>
            <w:tcW w:type="dxa" w:w="2556"/>
          </w:tcPr>
          <w:p>
            <w:r>
              <w:rPr>
                <w:b/>
                <w:color w:val="276749"/>
                <w:sz w:val="28"/>
              </w:rPr>
              <w:t>1794</w:t>
            </w:r>
            <w:r>
              <w:rPr>
                <w:color w:val="718096"/>
                <w:sz w:val="18"/>
              </w:rPr>
              <w:t xml:space="preserve"> ↓84.5%</w:t>
            </w:r>
          </w:p>
        </w:tc>
        <w:tc>
          <w:tcPr>
            <w:tcW w:type="dxa" w:w="2556"/>
          </w:tcPr>
          <w:p>
            <w:r>
              <w:rPr>
                <w:b/>
                <w:color w:val="276749"/>
                <w:sz w:val="28"/>
              </w:rPr>
              <w:t>0</w:t>
            </w:r>
          </w:p>
        </w:tc>
      </w:tr>
      <w:tr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Change Success Rate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Change-Induced Incidents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Request SLA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CSAT Score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color w:val="9B2C2C"/>
                <w:sz w:val="28"/>
              </w:rPr>
              <w:t>84.0%</w:t>
            </w:r>
          </w:p>
        </w:tc>
        <w:tc>
          <w:tcPr>
            <w:tcW w:type="dxa" w:w="2556"/>
          </w:tcPr>
          <w:p>
            <w:r>
              <w:rPr>
                <w:b/>
                <w:color w:val="9B2C2C"/>
                <w:sz w:val="28"/>
              </w:rPr>
              <w:t>0</w:t>
            </w:r>
          </w:p>
        </w:tc>
        <w:tc>
          <w:tcPr>
            <w:tcW w:type="dxa" w:w="2556"/>
          </w:tcPr>
          <w:p>
            <w:r>
              <w:rPr>
                <w:b/>
                <w:color w:val="C05621"/>
                <w:sz w:val="28"/>
              </w:rPr>
              <w:t>75.8%</w:t>
            </w:r>
          </w:p>
        </w:tc>
        <w:tc>
          <w:tcPr>
            <w:tcW w:type="dxa" w:w="2556"/>
          </w:tcPr>
          <w:p>
            <w:r>
              <w:rPr>
                <w:b/>
                <w:color w:val="276749"/>
                <w:sz w:val="28"/>
              </w:rPr>
              <w:t>3.61/5</w:t>
            </w:r>
          </w:p>
        </w:tc>
      </w:tr>
      <w:tr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Problem Closure Rate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RCA Completion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b/>
                <w:color w:val="C05621"/>
                <w:sz w:val="28"/>
              </w:rPr>
              <w:t>48.0%</w:t>
            </w:r>
          </w:p>
        </w:tc>
        <w:tc>
          <w:tcPr>
            <w:tcW w:type="dxa" w:w="2556"/>
          </w:tcPr>
          <w:p>
            <w:r>
              <w:rPr>
                <w:b/>
                <w:color w:val="276749"/>
                <w:sz w:val="28"/>
              </w:rPr>
              <w:t>0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p>
      <w:pPr>
        <w:pStyle w:val="Heading2"/>
      </w:pPr>
      <w:r>
        <w:t>AI 智能洞察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c5282"/>
          </w:tcPr>
          <w:p>
            <w:pPr>
              <w:spacing w:before="120" w:after="120"/>
              <w:ind w:left="144" w:right="144"/>
              <w:jc w:val="left"/>
            </w:pPr>
            <w:r>
              <w:rPr>
                <w:b/>
                <w:color w:val="FFFFFF"/>
                <w:sz w:val="22"/>
              </w:rPr>
              <w:t>💡 AI 智能洞察</w:t>
              <w:br/>
            </w:r>
            <w:r>
              <w:rPr>
                <w:color w:val="FFFFFF"/>
                <w:sz w:val="20"/>
              </w:rPr>
              <w:t>服务健康度处于高风险状态，核心问题在于事件数量异常偏高，远超变更和请求量。建议立即启动事件根因分析，重点排查高频故障源以降低事件总量。</w:t>
            </w:r>
          </w:p>
        </w:tc>
      </w:tr>
    </w:tbl>
    <w:p/>
    <w:p>
      <w:pPr>
        <w:pStyle w:val="Heading1"/>
      </w:pPr>
      <w:r>
        <w:t>SLA 分级明细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目标 (小时)</w:t>
            </w:r>
          </w:p>
        </w:tc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工单总数</w:t>
            </w:r>
          </w:p>
        </w:tc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达标数</w:t>
            </w:r>
          </w:p>
        </w:tc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SLA 达成率</w:t>
            </w:r>
          </w:p>
        </w:tc>
      </w:tr>
      <w:tr>
        <w:tc>
          <w:tcPr>
            <w:tcW w:type="dxa" w:w="2045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045"/>
            <w:shd w:fill="fed7d7"/>
          </w:tcPr>
          <w:p>
            <w:r>
              <w:rPr>
                <w:b/>
                <w:color w:val="9B2C2C"/>
                <w:sz w:val="20"/>
              </w:rPr>
              <w:t>6.9%</w:t>
            </w:r>
          </w:p>
        </w:tc>
      </w:tr>
      <w:tr>
        <w:tc>
          <w:tcPr>
            <w:tcW w:type="dxa" w:w="2045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1346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2045"/>
            <w:shd w:fill="fed7d7"/>
          </w:tcPr>
          <w:p>
            <w:r>
              <w:rPr>
                <w:b/>
                <w:color w:val="9B2C2C"/>
                <w:sz w:val="20"/>
              </w:rPr>
              <w:t>15.5%</w:t>
            </w:r>
          </w:p>
        </w:tc>
      </w:tr>
      <w:tr>
        <w:tc>
          <w:tcPr>
            <w:tcW w:type="dxa" w:w="2045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24h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3141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1495</w:t>
            </w:r>
          </w:p>
        </w:tc>
        <w:tc>
          <w:tcPr>
            <w:tcW w:type="dxa" w:w="2045"/>
            <w:shd w:fill="fed7d7"/>
          </w:tcPr>
          <w:p>
            <w:r>
              <w:rPr>
                <w:b/>
                <w:color w:val="9B2C2C"/>
                <w:sz w:val="20"/>
              </w:rPr>
              <w:t>47.6%</w:t>
            </w:r>
          </w:p>
        </w:tc>
      </w:tr>
      <w:tr>
        <w:tc>
          <w:tcPr>
            <w:tcW w:type="dxa" w:w="2045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48h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4042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4029</w:t>
            </w:r>
          </w:p>
        </w:tc>
        <w:tc>
          <w:tcPr>
            <w:tcW w:type="dxa" w:w="2045"/>
            <w:shd w:fill="c6f6d5"/>
          </w:tcPr>
          <w:p>
            <w:r>
              <w:rPr>
                <w:b/>
                <w:color w:val="276749"/>
                <w:sz w:val="20"/>
              </w:rPr>
              <w:t>99.7%</w:t>
            </w:r>
          </w:p>
        </w:tc>
      </w:tr>
    </w:tbl>
    <w:p/>
    <w:p>
      <w:pPr>
        <w:pStyle w:val="Heading1"/>
      </w:pPr>
      <w:r>
        <w:t>趋势分析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1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1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1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1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1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1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380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80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风险雷达</w:t>
      </w:r>
    </w:p>
    <w:p>
      <w:pPr>
        <w:spacing w:after="240"/>
      </w:pPr>
      <w:r>
        <w:rPr>
          <w:i/>
          <w:color w:val="C05621"/>
          <w:sz w:val="20"/>
        </w:rPr>
        <w:t>AI Analysis: 最紧迫的风险是事件SLA合规率仅64.2%，已严重影响服务承诺。建议立即成立专项小组，优先分析并优化高优先级事件的处理流程，同时审查那9项引发事故的变更，强化变更前风险评估。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d7d7"/>
            <w:tcBorders>
              <w:top w:val="single" w:sz="12" w:color="9b2c2c"/>
              <w:left w:val="single" w:sz="12" w:color="9b2c2c"/>
              <w:bottom w:val="single" w:sz="12" w:color="9b2c2c"/>
              <w:right w:val="single" w:sz="12" w:color="9b2c2c"/>
            </w:tcBorders>
          </w:tcPr>
          <w:p>
            <w:pPr>
              <w:spacing w:before="160"/>
            </w:pPr>
            <w:r>
              <w:rPr>
                <w:b/>
                <w:color w:val="9B2C2C"/>
                <w:sz w:val="18"/>
              </w:rPr>
              <w:t xml:space="preserve">[CRITICAL] </w:t>
            </w:r>
            <w:r>
              <w:rPr>
                <w:color w:val="1A202C"/>
                <w:sz w:val="22"/>
              </w:rPr>
              <w:t>Incident SLA compliance at 64.2%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Customer SLO commitments at risk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d7d7"/>
            <w:tcBorders>
              <w:top w:val="single" w:sz="12" w:color="9b2c2c"/>
              <w:left w:val="single" w:sz="12" w:color="9b2c2c"/>
              <w:bottom w:val="single" w:sz="12" w:color="9b2c2c"/>
              <w:right w:val="single" w:sz="12" w:color="9b2c2c"/>
            </w:tcBorders>
          </w:tcPr>
          <w:p>
            <w:pPr>
              <w:spacing w:before="160"/>
            </w:pPr>
            <w:r>
              <w:rPr>
                <w:b/>
                <w:color w:val="9B2C2C"/>
                <w:sz w:val="18"/>
              </w:rPr>
              <w:t xml:space="preserve">[CRITICAL] </w:t>
            </w:r>
            <w:r>
              <w:rPr>
                <w:color w:val="1A202C"/>
                <w:sz w:val="22"/>
              </w:rPr>
              <w:t>9 changes caused incidents (18.0%)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Changes are causing service incidents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bc8"/>
            <w:tcBorders>
              <w:top w:val="single" w:sz="12" w:color="c05621"/>
              <w:left w:val="single" w:sz="12" w:color="c05621"/>
              <w:bottom w:val="single" w:sz="12" w:color="c05621"/>
              <w:right w:val="single" w:sz="12" w:color="c05621"/>
            </w:tcBorders>
          </w:tcPr>
          <w:p>
            <w:pPr>
              <w:spacing w:before="160"/>
            </w:pPr>
            <w:r>
              <w:rPr>
                <w:b/>
                <w:color w:val="C05621"/>
                <w:sz w:val="18"/>
              </w:rPr>
              <w:t xml:space="preserve">[WARNING] </w:t>
            </w:r>
            <w:r>
              <w:rPr>
                <w:color w:val="1A202C"/>
                <w:sz w:val="22"/>
              </w:rPr>
              <w:t>Category 'Compliance' MTTR is 67.8h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Extended resolution times affecting service levels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bc8"/>
            <w:tcBorders>
              <w:top w:val="single" w:sz="12" w:color="c05621"/>
              <w:left w:val="single" w:sz="12" w:color="c05621"/>
              <w:bottom w:val="single" w:sz="12" w:color="c05621"/>
              <w:right w:val="single" w:sz="12" w:color="c05621"/>
            </w:tcBorders>
          </w:tcPr>
          <w:p>
            <w:pPr>
              <w:spacing w:before="160"/>
            </w:pPr>
            <w:r>
              <w:rPr>
                <w:b/>
                <w:color w:val="C05621"/>
                <w:sz w:val="18"/>
              </w:rPr>
              <w:t xml:space="preserve">[WARNING] </w:t>
            </w:r>
            <w:r>
              <w:rPr>
                <w:color w:val="1A202C"/>
                <w:sz w:val="22"/>
              </w:rPr>
              <w:t>Category 'Customer Complaint' MTTR is 341.8h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Extended resolution times affecting service levels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bc8"/>
            <w:tcBorders>
              <w:top w:val="single" w:sz="12" w:color="c05621"/>
              <w:left w:val="single" w:sz="12" w:color="c05621"/>
              <w:bottom w:val="single" w:sz="12" w:color="c05621"/>
              <w:right w:val="single" w:sz="12" w:color="c05621"/>
            </w:tcBorders>
          </w:tcPr>
          <w:p>
            <w:pPr>
              <w:spacing w:before="160"/>
            </w:pPr>
            <w:r>
              <w:rPr>
                <w:b/>
                <w:color w:val="C05621"/>
                <w:sz w:val="18"/>
              </w:rPr>
              <w:t xml:space="preserve">[WARNING] </w:t>
            </w:r>
            <w:r>
              <w:rPr>
                <w:color w:val="1A202C"/>
                <w:sz w:val="22"/>
              </w:rPr>
              <w:t>Category 'Infra' MTTR is 70.3h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Extended resolution times affecting service levels</w:t>
            </w:r>
          </w:p>
        </w:tc>
      </w:tr>
    </w:tbl>
    <w:p/>
    <w:p>
      <w:pPr>
        <w:pStyle w:val="Heading1"/>
      </w:pPr>
      <w:r>
        <w:t>改进建议</w:t>
      </w:r>
    </w:p>
    <w:p>
      <w:pPr>
        <w:spacing w:after="240"/>
      </w:pPr>
      <w:r>
        <w:rPr>
          <w:i/>
          <w:color w:val="4A5568"/>
          <w:sz w:val="20"/>
        </w:rPr>
        <w:t>AI Analysis: 最紧急的行动项是立即审查并优化事件SLA合规流程，同时实施变更后验证与监控。这将显著提升服务可靠性，减少违规风险并确保变更质量。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9B2C2C"/>
                <w:sz w:val="18"/>
              </w:rPr>
              <w:t xml:space="preserve">[URGENT] </w:t>
            </w:r>
            <w:r>
              <w:rPr>
                <w:color w:val="1A202C"/>
                <w:sz w:val="22"/>
              </w:rPr>
              <w:t>Review and optimize incident SLA compliance processes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Improve SLA rate by 10-15%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9B2C2C"/>
                <w:sz w:val="18"/>
              </w:rPr>
              <w:t xml:space="preserve">[URGENT] </w:t>
            </w:r>
            <w:r>
              <w:rPr>
                <w:color w:val="1A202C"/>
                <w:sz w:val="22"/>
              </w:rPr>
              <w:t>Implement post-change validation and monitoring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Reduce change-induced incidents by 50%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C05621"/>
                <w:sz w:val="18"/>
              </w:rPr>
              <w:t xml:space="preserve">[HIGH] </w:t>
            </w:r>
            <w:r>
              <w:rPr>
                <w:color w:val="1A202C"/>
                <w:sz w:val="22"/>
              </w:rPr>
              <w:t>Strengthen change assessment and testing procedures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Improve change success rate to 95%+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3182CE"/>
                <w:sz w:val="18"/>
              </w:rPr>
              <w:t xml:space="preserve">[MEDIUM] </w:t>
            </w:r>
            <w:r>
              <w:rPr>
                <w:color w:val="1A202C"/>
                <w:sz w:val="22"/>
              </w:rPr>
              <w:t>Analyze and streamline incident resolution workflow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Reduce average MTTR by 20-30%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3182CE"/>
                <w:sz w:val="18"/>
              </w:rPr>
              <w:t xml:space="preserve">[MEDIUM] </w:t>
            </w:r>
            <w:r>
              <w:rPr>
                <w:color w:val="1A202C"/>
                <w:sz w:val="22"/>
              </w:rPr>
              <w:t>Analyze customer feedback and improve service delivery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Improve CSAT to 4.0+</w:t>
            </w:r>
          </w:p>
        </w:tc>
      </w:tr>
    </w:tbl>
    <w:p/>
    <w:p>
      <w:pPr>
        <w:pStyle w:val="Heading1"/>
      </w:pPr>
      <w:r>
        <w:t>重大事件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40a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6"/>
            <w:shd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56"/>
            <w:shd w:fill="1e40af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56"/>
            <w:shd w:fill="1e40af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80006875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du_269399978864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29.7h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80001510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du_603668284656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80007959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du_284454479271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44.8h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80005246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du_249539738683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0.2h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80002519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du_811061671688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28.3h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pPr>
              <w:jc w:val="center"/>
            </w:pPr>
            <w:r>
              <w:rPr>
                <w:color w:val="4A5568"/>
                <w:sz w:val="16"/>
              </w:rPr>
              <w:t>生成时间: 2026-01-29 01:42 | 机密 - 仅供内部使用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