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3a5f"/>
          </w:tcPr>
          <w:p>
            <w:pPr>
              <w:spacing w:before="240"/>
              <w:ind w:left="216"/>
            </w:pPr>
            <w:r>
              <w:rPr>
                <w:b/>
                <w:color w:val="FFFFFF"/>
                <w:sz w:val="44"/>
              </w:rPr>
              <w:t>Operation Quality Report</w:t>
            </w:r>
          </w:p>
          <w:p>
            <w:pPr>
              <w:spacing w:after="240"/>
              <w:ind w:left="216"/>
            </w:pPr>
            <w:r>
              <w:rPr>
                <w:color w:val="CBD5E0"/>
                <w:sz w:val="22"/>
              </w:rPr>
              <w:t>Analysis Period: 2024-04-19 to 2025-07-06</w:t>
            </w:r>
          </w:p>
        </w:tc>
      </w:tr>
    </w:tbl>
    <w:p/>
    <w:p>
      <w:pPr>
        <w:pStyle w:val="Heading1"/>
      </w:pPr>
      <w:r>
        <w:t>Service Health Score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9b2c2c"/>
          </w:tcPr>
          <w:p>
            <w:pPr>
              <w:jc w:val="center"/>
            </w:pPr>
            <w:r>
              <w:rPr>
                <w:b/>
                <w:color w:val="FFFFFF"/>
                <w:sz w:val="96"/>
              </w:rPr>
              <w:t>33</w:t>
            </w:r>
          </w:p>
          <w:p>
            <w:pPr>
              <w:jc w:val="center"/>
            </w:pPr>
            <w:r>
              <w:rPr>
                <w:color w:val="FFFFFF"/>
                <w:sz w:val="24"/>
              </w:rPr>
              <w:t>🔴 At Risk</w:t>
            </w:r>
          </w:p>
        </w:tc>
        <w:tc>
          <w:tcPr>
            <w:tcW w:type="dxa" w:w="5112"/>
            <w:shd w:fill="edf2f7"/>
          </w:tcPr>
          <w:p>
            <w:pPr>
              <w:ind w:left="216"/>
            </w:pP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SLA Compliance: </w:t>
            </w:r>
            <w:r>
              <w:rPr>
                <w:b/>
                <w:color w:val="9B2C2C"/>
                <w:sz w:val="22"/>
              </w:rPr>
              <w:t>64.2%</w:t>
            </w:r>
            <w:r>
              <w:rPr>
                <w:color w:val="718096"/>
                <w:sz w:val="18"/>
              </w:rPr>
              <w:t xml:space="preserve"> (→1.5%)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Change Success Rate: </w:t>
            </w:r>
            <w:r>
              <w:rPr>
                <w:b/>
                <w:color w:val="9B2C2C"/>
                <w:sz w:val="22"/>
              </w:rPr>
              <w:t>84.0%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CSAT Score: </w:t>
            </w:r>
            <w:r>
              <w:rPr>
                <w:b/>
                <w:color w:val="276749"/>
                <w:sz w:val="22"/>
              </w:rPr>
              <w:t>3.61/5</w:t>
            </w:r>
          </w:p>
          <w:p>
            <w:pPr>
              <w:spacing w:before="80" w:after="80"/>
            </w:pPr>
            <w:r>
              <w:rPr>
                <w:color w:val="4A5568"/>
                <w:sz w:val="20"/>
              </w:rPr>
              <w:t xml:space="preserve">Problem Closure Rate: </w:t>
            </w:r>
            <w:r>
              <w:rPr>
                <w:b/>
                <w:color w:val="C05621"/>
                <w:sz w:val="22"/>
              </w:rPr>
              <w:t>48.0%</w:t>
            </w:r>
          </w:p>
        </w:tc>
      </w:tr>
    </w:tbl>
    <w:p/>
    <w:p>
      <w:pPr>
        <w:pStyle w:val="Heading1"/>
      </w:pPr>
      <w:r>
        <w:t>Process Overview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Incidents</w:t>
            </w:r>
          </w:p>
        </w:tc>
        <w:tc>
          <w:tcPr>
            <w:tcW w:type="dxa" w:w="2556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Changes</w:t>
            </w:r>
          </w:p>
        </w:tc>
        <w:tc>
          <w:tcPr>
            <w:tcW w:type="dxa" w:w="2556"/>
            <w:shd w:fill="92400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Requests</w:t>
            </w:r>
          </w:p>
        </w:tc>
        <w:tc>
          <w:tcPr>
            <w:tcW w:type="dxa" w:w="2556"/>
            <w:shd w:fill="9d1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Problems</w:t>
            </w:r>
          </w:p>
        </w:tc>
      </w:tr>
      <w:tr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1E40AF"/>
                <w:sz w:val="36"/>
              </w:rPr>
              <w:t>8977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065F46"/>
                <w:sz w:val="36"/>
              </w:rPr>
              <w:t>50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92400E"/>
                <w:sz w:val="36"/>
              </w:rPr>
              <w:t>50</w:t>
            </w:r>
          </w:p>
        </w:tc>
        <w:tc>
          <w:tcPr>
            <w:tcW w:type="dxa" w:w="2556"/>
            <w:shd w:fill="f7fafc"/>
          </w:tcPr>
          <w:p>
            <w:pPr>
              <w:jc w:val="center"/>
            </w:pPr>
            <w:r>
              <w:rPr>
                <w:b/>
                <w:color w:val="9D174D"/>
                <w:sz w:val="36"/>
              </w:rPr>
              <w:t>50</w:t>
            </w:r>
          </w:p>
        </w:tc>
      </w:tr>
    </w:tbl>
    <w:p/>
    <w:p>
      <w:pPr>
        <w:pStyle w:val="Heading1"/>
      </w:pPr>
      <w:r>
        <w:t>Key Performance Indicators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SLA Compliance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Avg MTTR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P1/P2 Incidents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Backlog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64.2%</w:t>
            </w:r>
            <w:r>
              <w:rPr>
                <w:color w:val="718096"/>
                <w:sz w:val="18"/>
              </w:rPr>
              <w:t xml:space="preserve"> →1.5%</w:t>
            </w:r>
          </w:p>
        </w:tc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29.4h</w:t>
            </w:r>
            <w:r>
              <w:rPr>
                <w:color w:val="718096"/>
                <w:sz w:val="18"/>
              </w:rPr>
              <w:t xml:space="preserve"> ↑25.2%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1794</w:t>
            </w:r>
            <w:r>
              <w:rPr>
                <w:color w:val="718096"/>
                <w:sz w:val="18"/>
              </w:rPr>
              <w:t xml:space="preserve"> ↓84.5%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0</w:t>
            </w:r>
          </w:p>
        </w:tc>
      </w:tr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Change Success Rate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Change-Induced Incidents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Request SLA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CSAT Score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84.0%</w:t>
            </w:r>
          </w:p>
        </w:tc>
        <w:tc>
          <w:tcPr>
            <w:tcW w:type="dxa" w:w="2556"/>
          </w:tcPr>
          <w:p>
            <w:r>
              <w:rPr>
                <w:b/>
                <w:color w:val="9B2C2C"/>
                <w:sz w:val="28"/>
              </w:rPr>
              <w:t>0</w:t>
            </w:r>
          </w:p>
        </w:tc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75.8%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3.61/5</w:t>
            </w:r>
          </w:p>
        </w:tc>
      </w:tr>
      <w:tr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Problem Closure Rate</w:t>
            </w:r>
          </w:p>
        </w:tc>
        <w:tc>
          <w:tcPr>
            <w:tcW w:type="dxa" w:w="2556"/>
            <w:shd w:fill="edf2f7"/>
          </w:tcPr>
          <w:p>
            <w:r>
              <w:rPr>
                <w:color w:val="4A5568"/>
                <w:sz w:val="18"/>
              </w:rPr>
              <w:t>RCA Completion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  <w:tr>
        <w:tc>
          <w:tcPr>
            <w:tcW w:type="dxa" w:w="2556"/>
          </w:tcPr>
          <w:p>
            <w:r>
              <w:rPr>
                <w:b/>
                <w:color w:val="C05621"/>
                <w:sz w:val="28"/>
              </w:rPr>
              <w:t>48.0%</w:t>
            </w:r>
          </w:p>
        </w:tc>
        <w:tc>
          <w:tcPr>
            <w:tcW w:type="dxa" w:w="2556"/>
          </w:tcPr>
          <w:p>
            <w:r>
              <w:rPr>
                <w:b/>
                <w:color w:val="276749"/>
                <w:sz w:val="28"/>
              </w:rPr>
              <w:t>0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p>
      <w:pPr>
        <w:pStyle w:val="Heading1"/>
      </w:pPr>
      <w:r>
        <w:t>SLA Breakdown by Priority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Target (hours)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Total Tickets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Compliant</w:t>
            </w:r>
          </w:p>
        </w:tc>
        <w:tc>
          <w:tcPr>
            <w:tcW w:type="dxa" w:w="2045"/>
            <w:shd w:fill="1a202c"/>
          </w:tcPr>
          <w:p>
            <w:r>
              <w:rPr>
                <w:b/>
                <w:color w:val="FFFFFF"/>
                <w:sz w:val="18"/>
              </w:rPr>
              <w:t>SLA Rate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6.9%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6h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1346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15.5%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24h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3141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1495</w:t>
            </w:r>
          </w:p>
        </w:tc>
        <w:tc>
          <w:tcPr>
            <w:tcW w:type="dxa" w:w="2045"/>
            <w:shd w:fill="fed7d7"/>
          </w:tcPr>
          <w:p>
            <w:r>
              <w:rPr>
                <w:b/>
                <w:color w:val="9B2C2C"/>
                <w:sz w:val="20"/>
              </w:rPr>
              <w:t>47.6%</w:t>
            </w:r>
          </w:p>
        </w:tc>
      </w:tr>
      <w:tr>
        <w:tc>
          <w:tcPr>
            <w:tcW w:type="dxa" w:w="2045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48h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4042</w:t>
            </w:r>
          </w:p>
        </w:tc>
        <w:tc>
          <w:tcPr>
            <w:tcW w:type="dxa" w:w="2045"/>
          </w:tcPr>
          <w:p>
            <w:r>
              <w:rPr>
                <w:sz w:val="20"/>
              </w:rPr>
              <w:t>4029</w:t>
            </w:r>
          </w:p>
        </w:tc>
        <w:tc>
          <w:tcPr>
            <w:tcW w:type="dxa" w:w="2045"/>
            <w:shd w:fill="c6f6d5"/>
          </w:tcPr>
          <w:p>
            <w:r>
              <w:rPr>
                <w:b/>
                <w:color w:val="276749"/>
                <w:sz w:val="20"/>
              </w:rPr>
              <w:t>99.7%</w:t>
            </w:r>
          </w:p>
        </w:tc>
      </w:tr>
    </w:tbl>
    <w:p/>
    <w:p>
      <w:pPr>
        <w:pStyle w:val="Heading1"/>
      </w:pPr>
      <w:r>
        <w:t>Trend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19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19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80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80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Risk Radar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d7d7"/>
            <w:tcBorders>
              <w:top w:val="single" w:sz="12" w:color="9b2c2c"/>
              <w:left w:val="single" w:sz="12" w:color="9b2c2c"/>
              <w:bottom w:val="single" w:sz="12" w:color="9b2c2c"/>
              <w:right w:val="single" w:sz="12" w:color="9b2c2c"/>
            </w:tcBorders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[CRITICAL] </w:t>
            </w:r>
            <w:r>
              <w:rPr>
                <w:color w:val="1A202C"/>
                <w:sz w:val="22"/>
              </w:rPr>
              <w:t>Incident SLA compliance at 64.2%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Customer SLO commitments at risk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d7d7"/>
            <w:tcBorders>
              <w:top w:val="single" w:sz="12" w:color="9b2c2c"/>
              <w:left w:val="single" w:sz="12" w:color="9b2c2c"/>
              <w:bottom w:val="single" w:sz="12" w:color="9b2c2c"/>
              <w:right w:val="single" w:sz="12" w:color="9b2c2c"/>
            </w:tcBorders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[CRITICAL] </w:t>
            </w:r>
            <w:r>
              <w:rPr>
                <w:color w:val="1A202C"/>
                <w:sz w:val="22"/>
              </w:rPr>
              <w:t>9 changes caused incidents (18.0%)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Changes are causing service incidents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'Compliance' MTTR is 67.8h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'Customer Complaint' MTTR is 341.8h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eebc8"/>
            <w:tcBorders>
              <w:top w:val="single" w:sz="12" w:color="c05621"/>
              <w:left w:val="single" w:sz="12" w:color="c05621"/>
              <w:bottom w:val="single" w:sz="12" w:color="c05621"/>
              <w:right w:val="single" w:sz="12" w:color="c05621"/>
            </w:tcBorders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[WARNING] </w:t>
            </w:r>
            <w:r>
              <w:rPr>
                <w:color w:val="1A202C"/>
                <w:sz w:val="22"/>
              </w:rPr>
              <w:t>Category 'Infra' MTTR is 70.3h</w:t>
            </w:r>
          </w:p>
          <w:p>
            <w:pPr>
              <w:spacing w:after="160"/>
            </w:pPr>
            <w:r>
              <w:rPr>
                <w:i/>
                <w:color w:val="4A5568"/>
                <w:sz w:val="18"/>
              </w:rPr>
              <w:t>Impact: Extended resolution times affecting service levels</w:t>
            </w:r>
          </w:p>
        </w:tc>
      </w:tr>
    </w:tbl>
    <w:p/>
    <w:p>
      <w:pPr>
        <w:pStyle w:val="Heading1"/>
      </w:pPr>
      <w:r>
        <w:t>Recommended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[URGENT] </w:t>
            </w:r>
            <w:r>
              <w:rPr>
                <w:color w:val="1A202C"/>
                <w:sz w:val="22"/>
              </w:rPr>
              <w:t>Review and optimize incident SLA compliance processes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SLA rate by 10-15%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9B2C2C"/>
                <w:sz w:val="18"/>
              </w:rPr>
              <w:t xml:space="preserve">[URGENT] </w:t>
            </w:r>
            <w:r>
              <w:rPr>
                <w:color w:val="1A202C"/>
                <w:sz w:val="22"/>
              </w:rPr>
              <w:t>Implement post-change validation and monitoring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Reduce change-induced incidents by 50%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C05621"/>
                <w:sz w:val="18"/>
              </w:rPr>
              <w:t xml:space="preserve">[HIGH] </w:t>
            </w:r>
            <w:r>
              <w:rPr>
                <w:color w:val="1A202C"/>
                <w:sz w:val="22"/>
              </w:rPr>
              <w:t>Strengthen change assessment and testing procedures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change success rate to 95%+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3182CE"/>
                <w:sz w:val="18"/>
              </w:rPr>
              <w:t xml:space="preserve">[MEDIUM] </w:t>
            </w:r>
            <w:r>
              <w:rPr>
                <w:color w:val="1A202C"/>
                <w:sz w:val="22"/>
              </w:rPr>
              <w:t>Analyze and streamline incident resolution workflow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Reduce average MTTR by 20-30%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2f7"/>
          </w:tcPr>
          <w:p>
            <w:pPr>
              <w:spacing w:before="160"/>
            </w:pPr>
            <w:r>
              <w:rPr>
                <w:b/>
                <w:color w:val="3182CE"/>
                <w:sz w:val="18"/>
              </w:rPr>
              <w:t xml:space="preserve">[MEDIUM] </w:t>
            </w:r>
            <w:r>
              <w:rPr>
                <w:color w:val="1A202C"/>
                <w:sz w:val="22"/>
              </w:rPr>
              <w:t>Analyze customer feedback and improve service delivery</w:t>
            </w:r>
          </w:p>
          <w:p>
            <w:pPr>
              <w:spacing w:after="160"/>
            </w:pPr>
            <w:r>
              <w:rPr>
                <w:color w:val="4A5568"/>
                <w:sz w:val="18"/>
              </w:rPr>
              <w:t>Expected: Improve CSAT to 4.0+</w:t>
            </w:r>
          </w:p>
        </w:tc>
      </w:tr>
    </w:tbl>
    <w:p/>
    <w:p>
      <w:pPr>
        <w:pStyle w:val="Heading1"/>
      </w:pPr>
      <w:r>
        <w:t>Major Incidents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56"/>
            <w:shd w:fill="1e40af"/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80006875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du_269399978864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29.7h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80001510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du_603668284656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80007959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du_284454479271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44.8h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80005246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du_249539738683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0.2h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80002519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du_811061671688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28.3h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e8f0"/>
          </w:tcPr>
          <w:p>
            <w:pPr>
              <w:jc w:val="center"/>
            </w:pPr>
            <w:r>
              <w:rPr>
                <w:color w:val="4A5568"/>
                <w:sz w:val="16"/>
              </w:rPr>
              <w:t>Generated on: 2026-01-29 01:20 | Confidential - Internal Use Only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