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SLA违约归因分析报告</w:t>
      </w:r>
    </w:p>
    <w:p>
      <w:pPr>
        <w:jc w:val="center"/>
      </w:pPr>
      <w:r>
        <w:t>数据周期: 2024-04-19 ~ 2025-07-06</w:t>
      </w:r>
    </w:p>
    <w:p/>
    <w:p>
      <w:pPr>
        <w:pStyle w:val="Heading1"/>
      </w:pPr>
      <w:r>
        <w:t>执行摘要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总工单数</w:t>
            </w:r>
          </w:p>
        </w:tc>
        <w:tc>
          <w:tcPr>
            <w:tcW w:type="dxa" w:w="1728"/>
          </w:tcPr>
          <w:p>
            <w:r>
              <w:t>响应SLA</w:t>
            </w:r>
          </w:p>
        </w:tc>
        <w:tc>
          <w:tcPr>
            <w:tcW w:type="dxa" w:w="1728"/>
          </w:tcPr>
          <w:p>
            <w:r>
              <w:t>解决SLA</w:t>
            </w:r>
          </w:p>
        </w:tc>
        <w:tc>
          <w:tcPr>
            <w:tcW w:type="dxa" w:w="1728"/>
          </w:tcPr>
          <w:p>
            <w:r>
              <w:t>违约总数</w:t>
            </w:r>
          </w:p>
        </w:tc>
        <w:tc>
          <w:tcPr>
            <w:tcW w:type="dxa" w:w="1728"/>
          </w:tcPr>
          <w:p>
            <w:r>
              <w:t>高风险工单</w:t>
            </w:r>
          </w:p>
        </w:tc>
      </w:tr>
      <w:tr>
        <w:tc>
          <w:tcPr>
            <w:tcW w:type="dxa" w:w="1728"/>
          </w:tcPr>
          <w:p>
            <w:r>
              <w:t>8,977</w:t>
            </w:r>
          </w:p>
        </w:tc>
        <w:tc>
          <w:tcPr>
            <w:tcW w:type="dxa" w:w="1728"/>
          </w:tcPr>
          <w:p>
            <w:r>
              <w:t>99.9%</w:t>
            </w:r>
          </w:p>
        </w:tc>
        <w:tc>
          <w:tcPr>
            <w:tcW w:type="dxa" w:w="1728"/>
          </w:tcPr>
          <w:p>
            <w:r>
              <w:t>64.2%</w:t>
            </w:r>
          </w:p>
        </w:tc>
        <w:tc>
          <w:tcPr>
            <w:tcW w:type="dxa" w:w="1728"/>
          </w:tcPr>
          <w:p>
            <w:r>
              <w:t>3,214</w:t>
            </w:r>
          </w:p>
        </w:tc>
        <w:tc>
          <w:tcPr>
            <w:tcW w:type="dxa" w:w="1728"/>
          </w:tcPr>
          <w:p>
            <w:r>
              <w:t>4,423</w:t>
            </w:r>
          </w:p>
        </w:tc>
      </w:tr>
    </w:tbl>
    <w:p/>
    <w:p>
      <w:r>
        <w:rPr>
          <w:b/>
        </w:rPr>
        <w:t xml:space="preserve">严重告警: </w:t>
      </w:r>
      <w:r>
        <w:t>解决SLA (64.2%) 显著低于95%目标。P1解决SLA仅6.9%，P2为15.5%。需立即采取行动。</w:t>
      </w:r>
    </w:p>
    <w:p>
      <w:pPr>
        <w:pStyle w:val="Heading1"/>
      </w:pPr>
      <w:r>
        <w:t>高优先级分析 (P1/P2)</w:t>
      </w:r>
    </w:p>
    <w:p>
      <w:r>
        <w:t>P1和P2事件需要立即关注。SLA目标：P1响应15分钟/解决2小时，P2响应30分钟/解决6小时。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响应SLA</w:t>
            </w:r>
          </w:p>
        </w:tc>
        <w:tc>
          <w:tcPr>
            <w:tcW w:type="dxa" w:w="2880"/>
          </w:tcPr>
          <w:p>
            <w:r>
              <w:t>解决SLA</w:t>
            </w:r>
          </w:p>
        </w:tc>
      </w:tr>
      <w:tr>
        <w:tc>
          <w:tcPr>
            <w:tcW w:type="dxa" w:w="2880"/>
          </w:tcPr>
          <w:p>
            <w:r>
              <w:t>P1 (n=448)</w:t>
            </w:r>
          </w:p>
        </w:tc>
        <w:tc>
          <w:tcPr>
            <w:tcW w:type="dxa" w:w="2880"/>
          </w:tcPr>
          <w:p>
            <w:r>
              <w:t>98.9%</w:t>
            </w:r>
          </w:p>
        </w:tc>
        <w:tc>
          <w:tcPr>
            <w:tcW w:type="dxa" w:w="2880"/>
          </w:tcPr>
          <w:p>
            <w:r>
              <w:t>6.9%</w:t>
            </w:r>
          </w:p>
        </w:tc>
      </w:tr>
      <w:tr>
        <w:tc>
          <w:tcPr>
            <w:tcW w:type="dxa" w:w="2880"/>
          </w:tcPr>
          <w:p>
            <w:r>
              <w:t>P2 (n=1346)</w:t>
            </w:r>
          </w:p>
        </w:tc>
        <w:tc>
          <w:tcPr>
            <w:tcW w:type="dxa" w:w="2880"/>
          </w:tcPr>
          <w:p>
            <w:r>
              <w:t>99.7%</w:t>
            </w:r>
          </w:p>
        </w:tc>
        <w:tc>
          <w:tcPr>
            <w:tcW w:type="dxa" w:w="2880"/>
          </w:tcPr>
          <w:p>
            <w:r>
              <w:t>15.5%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p2_analysis_C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月度趋势分析</w:t>
      </w:r>
    </w:p>
    <w:p>
      <w:r>
        <w:drawing>
          <wp:inline xmlns:a="http://schemas.openxmlformats.org/drawingml/2006/main" xmlns:pic="http://schemas.openxmlformats.org/drawingml/2006/picture">
            <wp:extent cx="54864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trend_C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按优先级SLA达成率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a_by_priority_C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优先级</w:t>
            </w:r>
          </w:p>
        </w:tc>
        <w:tc>
          <w:tcPr>
            <w:tcW w:type="dxa" w:w="1440"/>
          </w:tcPr>
          <w:p>
            <w:r>
              <w:t>响应目标</w:t>
            </w:r>
          </w:p>
        </w:tc>
        <w:tc>
          <w:tcPr>
            <w:tcW w:type="dxa" w:w="1440"/>
          </w:tcPr>
          <w:p>
            <w:r>
              <w:t>响应SLA</w:t>
            </w:r>
          </w:p>
        </w:tc>
        <w:tc>
          <w:tcPr>
            <w:tcW w:type="dxa" w:w="1440"/>
          </w:tcPr>
          <w:p>
            <w:r>
              <w:t>解决目标</w:t>
            </w:r>
          </w:p>
        </w:tc>
        <w:tc>
          <w:tcPr>
            <w:tcW w:type="dxa" w:w="1440"/>
          </w:tcPr>
          <w:p>
            <w:r>
              <w:t>解决SLA</w:t>
            </w:r>
          </w:p>
        </w:tc>
        <w:tc>
          <w:tcPr>
            <w:tcW w:type="dxa" w:w="1440"/>
          </w:tcPr>
          <w:p>
            <w:r>
              <w:t>总计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15 min</w:t>
            </w:r>
          </w:p>
        </w:tc>
        <w:tc>
          <w:tcPr>
            <w:tcW w:type="dxa" w:w="1440"/>
          </w:tcPr>
          <w:p>
            <w:r>
              <w:t>98.9%</w:t>
            </w:r>
          </w:p>
        </w:tc>
        <w:tc>
          <w:tcPr>
            <w:tcW w:type="dxa" w:w="1440"/>
          </w:tcPr>
          <w:p>
            <w:r>
              <w:t>2 h</w:t>
            </w:r>
          </w:p>
        </w:tc>
        <w:tc>
          <w:tcPr>
            <w:tcW w:type="dxa" w:w="1440"/>
          </w:tcPr>
          <w:p>
            <w:r>
              <w:t>6.9%</w:t>
            </w:r>
          </w:p>
        </w:tc>
        <w:tc>
          <w:tcPr>
            <w:tcW w:type="dxa" w:w="1440"/>
          </w:tcPr>
          <w:p>
            <w:r>
              <w:t>448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30 min</w:t>
            </w:r>
          </w:p>
        </w:tc>
        <w:tc>
          <w:tcPr>
            <w:tcW w:type="dxa" w:w="1440"/>
          </w:tcPr>
          <w:p>
            <w:r>
              <w:t>99.7%</w:t>
            </w:r>
          </w:p>
        </w:tc>
        <w:tc>
          <w:tcPr>
            <w:tcW w:type="dxa" w:w="1440"/>
          </w:tcPr>
          <w:p>
            <w:r>
              <w:t>6 h</w:t>
            </w:r>
          </w:p>
        </w:tc>
        <w:tc>
          <w:tcPr>
            <w:tcW w:type="dxa" w:w="1440"/>
          </w:tcPr>
          <w:p>
            <w:r>
              <w:t>15.5%</w:t>
            </w:r>
          </w:p>
        </w:tc>
        <w:tc>
          <w:tcPr>
            <w:tcW w:type="dxa" w:w="1440"/>
          </w:tcPr>
          <w:p>
            <w:r>
              <w:t>1,346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45 min</w:t>
            </w:r>
          </w:p>
        </w:tc>
        <w:tc>
          <w:tcPr>
            <w:tcW w:type="dxa" w:w="1440"/>
          </w:tcPr>
          <w:p>
            <w:r>
              <w:t>99.9%</w:t>
            </w:r>
          </w:p>
        </w:tc>
        <w:tc>
          <w:tcPr>
            <w:tcW w:type="dxa" w:w="1440"/>
          </w:tcPr>
          <w:p>
            <w:r>
              <w:t>24 h</w:t>
            </w:r>
          </w:p>
        </w:tc>
        <w:tc>
          <w:tcPr>
            <w:tcW w:type="dxa" w:w="1440"/>
          </w:tcPr>
          <w:p>
            <w:r>
              <w:t>47.6%</w:t>
            </w:r>
          </w:p>
        </w:tc>
        <w:tc>
          <w:tcPr>
            <w:tcW w:type="dxa" w:w="1440"/>
          </w:tcPr>
          <w:p>
            <w:r>
              <w:t>3,141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60 min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  <w:tc>
          <w:tcPr>
            <w:tcW w:type="dxa" w:w="1440"/>
          </w:tcPr>
          <w:p>
            <w:r>
              <w:t>48 h</w:t>
            </w:r>
          </w:p>
        </w:tc>
        <w:tc>
          <w:tcPr>
            <w:tcW w:type="dxa" w:w="1440"/>
          </w:tcPr>
          <w:p>
            <w:r>
              <w:t>99.7%</w:t>
            </w:r>
          </w:p>
        </w:tc>
        <w:tc>
          <w:tcPr>
            <w:tcW w:type="dxa" w:w="1440"/>
          </w:tcPr>
          <w:p>
            <w:r>
              <w:t>4,042</w:t>
            </w:r>
          </w:p>
        </w:tc>
      </w:tr>
    </w:tbl>
    <w:p>
      <w:pPr>
        <w:pStyle w:val="Heading1"/>
      </w:pPr>
      <w:r>
        <w:t>风险分析</w:t>
      </w:r>
    </w:p>
    <w:p>
      <w:r>
        <w:drawing>
          <wp:inline xmlns:a="http://schemas.openxmlformats.org/drawingml/2006/main" xmlns:pic="http://schemas.openxmlformats.org/drawingml/2006/picture">
            <wp:extent cx="4572000" cy="3265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distribution_C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归因分析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ion_C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流程</w:t>
            </w:r>
          </w:p>
        </w:tc>
        <w:tc>
          <w:tcPr>
            <w:tcW w:type="dxa" w:w="2160"/>
          </w:tcPr>
          <w:p>
            <w:r>
              <w:t>资源</w:t>
            </w:r>
          </w:p>
        </w:tc>
        <w:tc>
          <w:tcPr>
            <w:tcW w:type="dxa" w:w="2160"/>
          </w:tcPr>
          <w:p>
            <w:r>
              <w:t>外部</w:t>
            </w:r>
          </w:p>
        </w:tc>
        <w:tc>
          <w:tcPr>
            <w:tcW w:type="dxa" w:w="2160"/>
          </w:tcPr>
          <w:p>
            <w:r>
              <w:t>时间窗</w:t>
            </w:r>
          </w:p>
        </w:tc>
      </w:tr>
      <w:tr>
        <w:tc>
          <w:tcPr>
            <w:tcW w:type="dxa" w:w="2160"/>
          </w:tcPr>
          <w:p>
            <w:r>
              <w:t>1,024 (23%)</w:t>
            </w:r>
          </w:p>
        </w:tc>
        <w:tc>
          <w:tcPr>
            <w:tcW w:type="dxa" w:w="2160"/>
          </w:tcPr>
          <w:p>
            <w:r>
              <w:t>692 (15%)</w:t>
            </w:r>
          </w:p>
        </w:tc>
        <w:tc>
          <w:tcPr>
            <w:tcW w:type="dxa" w:w="2160"/>
          </w:tcPr>
          <w:p>
            <w:r>
              <w:t>842 (19%)</w:t>
            </w:r>
          </w:p>
        </w:tc>
        <w:tc>
          <w:tcPr>
            <w:tcW w:type="dxa" w:w="2160"/>
          </w:tcPr>
          <w:p>
            <w:r>
              <w:t>1,986 (44%)</w:t>
            </w:r>
          </w:p>
        </w:tc>
      </w:tr>
    </w:tbl>
    <w:p>
      <w:r>
        <w:t>注：归因总数 (4,544) 可能与违约数 (3,214) 不同，因为单个工单可能有多个归因因素。</w:t>
      </w:r>
    </w:p>
    <w:p>
      <w:pPr>
        <w:pStyle w:val="Heading1"/>
      </w:pPr>
      <w:r>
        <w:t>违约深度分析</w:t>
      </w:r>
    </w:p>
    <w:p>
      <w:r>
        <w:drawing>
          <wp:inline xmlns:a="http://schemas.openxmlformats.org/drawingml/2006/main" xmlns:pic="http://schemas.openxmlformats.org/drawingml/2006/picture">
            <wp:extent cx="4572000" cy="39188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verity_distribution_C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按类别违约分布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olations_by_category_C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改进建议</w:t>
      </w:r>
    </w:p>
    <w:p>
      <w:r>
        <w:rPr>
          <w:b/>
        </w:rPr>
        <w:t>[紧急] P1/P2 SLA表现</w:t>
      </w:r>
    </w:p>
    <w:p>
      <w:r>
        <w:t>P1解决SLA为6.9%（目标：95%）。P2为15.5%。</w:t>
      </w:r>
    </w:p>
    <w:p>
      <w:r>
        <w:t>• 建立专门的P1/P2响应团队，确保&lt;15分钟初始响应</w:t>
      </w:r>
    </w:p>
    <w:p>
      <w:r>
        <w:t>• 实施50% SLA消耗后自动升级机制</w:t>
      </w:r>
    </w:p>
    <w:p>
      <w:r>
        <w:t>• 创建P1战时协议，实现多团队协调</w:t>
      </w:r>
    </w:p>
    <w:p>
      <w:r>
        <w:t>• 审查P1/P2分类标准，确保正确优先级排序</w:t>
      </w:r>
    </w:p>
    <w:p/>
    <w:p>
      <w:r>
        <w:rPr>
          <w:b/>
        </w:rPr>
        <w:t>[紧急] 时间窗口因素 (占违约44%)</w:t>
      </w:r>
    </w:p>
    <w:p>
      <w:r>
        <w:t>大多数违约发生在非工作时间（18:00-09:00）和周末。</w:t>
      </w:r>
    </w:p>
    <w:p>
      <w:r>
        <w:t>• 加强18:00-09:00班次的值班覆盖</w:t>
      </w:r>
    </w:p>
    <w:p>
      <w:r>
        <w:t>• 实施周末轮值制度，配备专门升级路径</w:t>
      </w:r>
    </w:p>
    <w:p>
      <w:r>
        <w:t>• 考虑非工作时间工单的自动分诊和路由</w:t>
      </w:r>
    </w:p>
    <w:p>
      <w:r>
        <w:t>• 评估P1/P2事件的24/7 NOC覆盖</w:t>
      </w:r>
    </w:p>
    <w:p/>
    <w:p>
      <w:r>
        <w:rPr>
          <w:b/>
        </w:rPr>
        <w:t>[高] 外部依赖 (占违约19%)</w:t>
      </w:r>
    </w:p>
    <w:p>
      <w:r>
        <w:t>等待外部团队或客户导致显著延迟。</w:t>
      </w:r>
    </w:p>
    <w:p>
      <w:r>
        <w:t>• 与依赖团队建立SLA协议（内部OLA）</w:t>
      </w:r>
    </w:p>
    <w:p>
      <w:r>
        <w:t>• 实施自动客户跟进提醒</w:t>
      </w:r>
    </w:p>
    <w:p>
      <w:r>
        <w:t>• 创建"等待外部"仪表板，主动管理</w:t>
      </w:r>
    </w:p>
    <w:p>
      <w:r>
        <w:t>• 定义外部等待超过阈值时的升级触发器</w:t>
      </w:r>
    </w:p>
    <w:p/>
    <w:p>
      <w:r>
        <w:rPr>
          <w:b/>
        </w:rPr>
        <w:t>[高] 流程改进 (占违约23%)</w:t>
      </w:r>
    </w:p>
    <w:p>
      <w:r>
        <w:t>转派和升级延迟导致SLA违约。</w:t>
      </w:r>
    </w:p>
    <w:p>
      <w:r>
        <w:t>• 减少平均转派次数（目标：&lt;2次/工单）</w:t>
      </w:r>
    </w:p>
    <w:p>
      <w:r>
        <w:t>• 实施基于技能的路由，减少转派</w:t>
      </w:r>
    </w:p>
    <w:p>
      <w:r>
        <w:t>• 创建清晰的升级矩阵，定义触发条件</w:t>
      </w:r>
    </w:p>
    <w:p>
      <w:r>
        <w:t>• 培训L1团队更好地进行初始分类</w:t>
      </w:r>
    </w:p>
    <w:p/>
    <w:p>
      <w:r>
        <w:rPr>
          <w:b/>
        </w:rPr>
        <w:t>[中] 类别聚焦：Digital View Monitoring</w:t>
      </w:r>
    </w:p>
    <w:p>
      <w:r>
        <w:t>该类别占1,480个违约（总数的46%）。</w:t>
      </w:r>
    </w:p>
    <w:p>
      <w:r>
        <w:t>• 审查监控告警阈值，减少误报</w:t>
      </w:r>
    </w:p>
    <w:p>
      <w:r>
        <w:t>• 为常见场景创建操作手册</w:t>
      </w:r>
    </w:p>
    <w:p>
      <w:r>
        <w:t>• 考虑自动化重复性任务</w:t>
      </w:r>
    </w:p>
    <w:p/>
    <w:p>
      <w:r>
        <w:rPr>
          <w:b/>
        </w:rPr>
        <w:t>[中] 处理人工作负荷</w:t>
      </w:r>
    </w:p>
    <w:p>
      <w:r>
        <w:t>排名第一的处理人有154个违约。考虑工作负荷均衡。</w:t>
      </w:r>
    </w:p>
    <w:p>
      <w:r>
        <w:t>• 审查团队成员间的工作负荷分配</w:t>
      </w:r>
    </w:p>
    <w:p>
      <w:r>
        <w:t>• 实施工作负荷上限和自动重分配</w:t>
      </w:r>
    </w:p>
    <w:p>
      <w:r>
        <w:t>• 识别表现较差处理人的培训需求</w:t>
      </w:r>
    </w:p>
    <w:p/>
    <w:p>
      <w:pPr>
        <w:jc w:val="center"/>
      </w:pPr>
      <w:r>
        <w:t>生成时间 2026-01-28 23:05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