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SLA Violation Attribution Analysis Report</w:t>
      </w:r>
    </w:p>
    <w:p>
      <w:pPr>
        <w:jc w:val="center"/>
      </w:pPr>
      <w:r>
        <w:t>Data Period: 2024-04-19 ~ 2025-07-06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Total Tickets</w:t>
            </w:r>
          </w:p>
        </w:tc>
        <w:tc>
          <w:tcPr>
            <w:tcW w:type="dxa" w:w="1728"/>
          </w:tcPr>
          <w:p>
            <w:r>
              <w:t>Response SLA</w:t>
            </w:r>
          </w:p>
        </w:tc>
        <w:tc>
          <w:tcPr>
            <w:tcW w:type="dxa" w:w="1728"/>
          </w:tcPr>
          <w:p>
            <w:r>
              <w:t>Resolution SLA</w:t>
            </w:r>
          </w:p>
        </w:tc>
        <w:tc>
          <w:tcPr>
            <w:tcW w:type="dxa" w:w="1728"/>
          </w:tcPr>
          <w:p>
            <w:r>
              <w:t>Total Violations</w:t>
            </w:r>
          </w:p>
        </w:tc>
        <w:tc>
          <w:tcPr>
            <w:tcW w:type="dxa" w:w="1728"/>
          </w:tcPr>
          <w:p>
            <w:r>
              <w:t>High Risk Tickets</w:t>
            </w:r>
          </w:p>
        </w:tc>
      </w:tr>
      <w:tr>
        <w:tc>
          <w:tcPr>
            <w:tcW w:type="dxa" w:w="1728"/>
          </w:tcPr>
          <w:p>
            <w:r>
              <w:t>8,977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  <w:tc>
          <w:tcPr>
            <w:tcW w:type="dxa" w:w="1728"/>
          </w:tcPr>
          <w:p>
            <w:r>
              <w:t>64.2%</w:t>
            </w:r>
          </w:p>
        </w:tc>
        <w:tc>
          <w:tcPr>
            <w:tcW w:type="dxa" w:w="1728"/>
          </w:tcPr>
          <w:p>
            <w:r>
              <w:t>3,214</w:t>
            </w:r>
          </w:p>
        </w:tc>
        <w:tc>
          <w:tcPr>
            <w:tcW w:type="dxa" w:w="1728"/>
          </w:tcPr>
          <w:p>
            <w:r>
              <w:t>4,423</w:t>
            </w:r>
          </w:p>
        </w:tc>
      </w:tr>
    </w:tbl>
    <w:p/>
    <w:p>
      <w:r>
        <w:rPr>
          <w:b/>
        </w:rPr>
        <w:t xml:space="preserve">Critical Alert: </w:t>
      </w:r>
      <w:r>
        <w:t>Resolution SLA (64.2%) is significantly below the 95% target. P1 Resolution SLA is only 6.9% and P2 is 15.5%. Immediate action required.</w:t>
      </w:r>
    </w:p>
    <w:p>
      <w:pPr>
        <w:pStyle w:val="Heading1"/>
      </w:pPr>
      <w:r>
        <w:t>High Priority Analysis (P1/P2)</w:t>
      </w:r>
    </w:p>
    <w:p>
      <w:r>
        <w:t>P1 and P2 incidents require immediate attention. SLA targets: P1 Response 15min/Resolution 2h, P2 Response 30min/Resolution 6h.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Response SLA</w:t>
            </w:r>
          </w:p>
        </w:tc>
        <w:tc>
          <w:tcPr>
            <w:tcW w:type="dxa" w:w="2880"/>
          </w:tcPr>
          <w:p>
            <w:r>
              <w:t>Resolution SLA</w:t>
            </w:r>
          </w:p>
        </w:tc>
      </w:tr>
      <w:tr>
        <w:tc>
          <w:tcPr>
            <w:tcW w:type="dxa" w:w="2880"/>
          </w:tcPr>
          <w:p>
            <w:r>
              <w:t>P1 (n=448)</w:t>
            </w:r>
          </w:p>
        </w:tc>
        <w:tc>
          <w:tcPr>
            <w:tcW w:type="dxa" w:w="2880"/>
          </w:tcPr>
          <w:p>
            <w:r>
              <w:t>98.9%</w:t>
            </w:r>
          </w:p>
        </w:tc>
        <w:tc>
          <w:tcPr>
            <w:tcW w:type="dxa" w:w="2880"/>
          </w:tcPr>
          <w:p>
            <w:r>
              <w:t>6.9%</w:t>
            </w:r>
          </w:p>
        </w:tc>
      </w:tr>
      <w:tr>
        <w:tc>
          <w:tcPr>
            <w:tcW w:type="dxa" w:w="2880"/>
          </w:tcPr>
          <w:p>
            <w:r>
              <w:t>P2 (n=1346)</w:t>
            </w:r>
          </w:p>
        </w:tc>
        <w:tc>
          <w:tcPr>
            <w:tcW w:type="dxa" w:w="2880"/>
          </w:tcPr>
          <w:p>
            <w:r>
              <w:t>99.7%</w:t>
            </w:r>
          </w:p>
        </w:tc>
        <w:tc>
          <w:tcPr>
            <w:tcW w:type="dxa" w:w="2880"/>
          </w:tcPr>
          <w:p>
            <w:r>
              <w:t>15.5%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p2_analysis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Monthly Trend Analysis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trend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SLA Compliance by Priority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_by_priority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Response Target</w:t>
            </w:r>
          </w:p>
        </w:tc>
        <w:tc>
          <w:tcPr>
            <w:tcW w:type="dxa" w:w="1440"/>
          </w:tcPr>
          <w:p>
            <w:r>
              <w:t>Response SLA</w:t>
            </w:r>
          </w:p>
        </w:tc>
        <w:tc>
          <w:tcPr>
            <w:tcW w:type="dxa" w:w="1440"/>
          </w:tcPr>
          <w:p>
            <w:r>
              <w:t>Resolution Target</w:t>
            </w:r>
          </w:p>
        </w:tc>
        <w:tc>
          <w:tcPr>
            <w:tcW w:type="dxa" w:w="1440"/>
          </w:tcPr>
          <w:p>
            <w:r>
              <w:t>Resolution SLA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15 min</w:t>
            </w:r>
          </w:p>
        </w:tc>
        <w:tc>
          <w:tcPr>
            <w:tcW w:type="dxa" w:w="1440"/>
          </w:tcPr>
          <w:p>
            <w:r>
              <w:t>98.9%</w:t>
            </w:r>
          </w:p>
        </w:tc>
        <w:tc>
          <w:tcPr>
            <w:tcW w:type="dxa" w:w="1440"/>
          </w:tcPr>
          <w:p>
            <w:r>
              <w:t>2 h</w:t>
            </w:r>
          </w:p>
        </w:tc>
        <w:tc>
          <w:tcPr>
            <w:tcW w:type="dxa" w:w="1440"/>
          </w:tcPr>
          <w:p>
            <w:r>
              <w:t>6.9%</w:t>
            </w:r>
          </w:p>
        </w:tc>
        <w:tc>
          <w:tcPr>
            <w:tcW w:type="dxa" w:w="1440"/>
          </w:tcPr>
          <w:p>
            <w:r>
              <w:t>448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30 min</w:t>
            </w:r>
          </w:p>
        </w:tc>
        <w:tc>
          <w:tcPr>
            <w:tcW w:type="dxa" w:w="1440"/>
          </w:tcPr>
          <w:p>
            <w:r>
              <w:t>99.7%</w:t>
            </w:r>
          </w:p>
        </w:tc>
        <w:tc>
          <w:tcPr>
            <w:tcW w:type="dxa" w:w="1440"/>
          </w:tcPr>
          <w:p>
            <w:r>
              <w:t>6 h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1,346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45 min</w:t>
            </w:r>
          </w:p>
        </w:tc>
        <w:tc>
          <w:tcPr>
            <w:tcW w:type="dxa" w:w="1440"/>
          </w:tcPr>
          <w:p>
            <w:r>
              <w:t>99.9%</w:t>
            </w:r>
          </w:p>
        </w:tc>
        <w:tc>
          <w:tcPr>
            <w:tcW w:type="dxa" w:w="1440"/>
          </w:tcPr>
          <w:p>
            <w:r>
              <w:t>24 h</w:t>
            </w:r>
          </w:p>
        </w:tc>
        <w:tc>
          <w:tcPr>
            <w:tcW w:type="dxa" w:w="1440"/>
          </w:tcPr>
          <w:p>
            <w:r>
              <w:t>47.6%</w:t>
            </w:r>
          </w:p>
        </w:tc>
        <w:tc>
          <w:tcPr>
            <w:tcW w:type="dxa" w:w="1440"/>
          </w:tcPr>
          <w:p>
            <w:r>
              <w:t>3,141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60 min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48 h</w:t>
            </w:r>
          </w:p>
        </w:tc>
        <w:tc>
          <w:tcPr>
            <w:tcW w:type="dxa" w:w="1440"/>
          </w:tcPr>
          <w:p>
            <w:r>
              <w:t>99.7%</w:t>
            </w:r>
          </w:p>
        </w:tc>
        <w:tc>
          <w:tcPr>
            <w:tcW w:type="dxa" w:w="1440"/>
          </w:tcPr>
          <w:p>
            <w:r>
              <w:t>4,042</w:t>
            </w:r>
          </w:p>
        </w:tc>
      </w:tr>
    </w:tbl>
    <w:p>
      <w:pPr>
        <w:pStyle w:val="Heading1"/>
      </w:pPr>
      <w:r>
        <w:t>Risk Analysis</w:t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distribution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Attribution Analysis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ion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External</w:t>
            </w:r>
          </w:p>
        </w:tc>
        <w:tc>
          <w:tcPr>
            <w:tcW w:type="dxa" w:w="2160"/>
          </w:tcPr>
          <w:p>
            <w:r>
              <w:t>TimeWindow</w:t>
            </w:r>
          </w:p>
        </w:tc>
      </w:tr>
      <w:tr>
        <w:tc>
          <w:tcPr>
            <w:tcW w:type="dxa" w:w="2160"/>
          </w:tcPr>
          <w:p>
            <w:r>
              <w:t>1,024 (23%)</w:t>
            </w:r>
          </w:p>
        </w:tc>
        <w:tc>
          <w:tcPr>
            <w:tcW w:type="dxa" w:w="2160"/>
          </w:tcPr>
          <w:p>
            <w:r>
              <w:t>692 (15%)</w:t>
            </w:r>
          </w:p>
        </w:tc>
        <w:tc>
          <w:tcPr>
            <w:tcW w:type="dxa" w:w="2160"/>
          </w:tcPr>
          <w:p>
            <w:r>
              <w:t>842 (19%)</w:t>
            </w:r>
          </w:p>
        </w:tc>
        <w:tc>
          <w:tcPr>
            <w:tcW w:type="dxa" w:w="2160"/>
          </w:tcPr>
          <w:p>
            <w:r>
              <w:t>1,986 (44%)</w:t>
            </w:r>
          </w:p>
        </w:tc>
      </w:tr>
    </w:tbl>
    <w:p>
      <w:r>
        <w:t>Note: Attribution total (4,544) may differ from violation count (3,214) because a single ticket can have multiple contributing factors.</w:t>
      </w:r>
    </w:p>
    <w:p>
      <w:pPr>
        <w:pStyle w:val="Heading1"/>
      </w:pPr>
      <w:r>
        <w:t>Violation Deep Dive</w:t>
      </w:r>
    </w:p>
    <w:p>
      <w:r>
        <w:drawing>
          <wp:inline xmlns:a="http://schemas.openxmlformats.org/drawingml/2006/main" xmlns:pic="http://schemas.openxmlformats.org/drawingml/2006/picture">
            <wp:extent cx="4572000" cy="3918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distribution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Violations by Category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olations_by_category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Improvement Recommendations</w:t>
      </w:r>
    </w:p>
    <w:p>
      <w:r>
        <w:rPr>
          <w:b/>
        </w:rPr>
        <w:t>[CRITICAL] P1/P2 SLA Performance</w:t>
      </w:r>
    </w:p>
    <w:p>
      <w:r>
        <w:t>P1 Resolution SLA is at 6.9% (target: 95%). P2 is at 15.5%.</w:t>
      </w:r>
    </w:p>
    <w:p>
      <w:r>
        <w:t>• Establish dedicated P1/P2 response team with &lt;15min initial response</w:t>
      </w:r>
    </w:p>
    <w:p>
      <w:r>
        <w:t>• Implement automatic escalation after 50% SLA consumption</w:t>
      </w:r>
    </w:p>
    <w:p>
      <w:r>
        <w:t>• Create P1 war room protocol with multi-team coordination</w:t>
      </w:r>
    </w:p>
    <w:p>
      <w:r>
        <w:t>• Review P1/P2 classification criteria - ensure proper prioritization</w:t>
      </w:r>
    </w:p>
    <w:p/>
    <w:p>
      <w:r>
        <w:rPr>
          <w:b/>
        </w:rPr>
        <w:t>[CRITICAL] Time Window Factor (44% of violations)</w:t>
      </w:r>
    </w:p>
    <w:p>
      <w:r>
        <w:t>Majority of violations occur during off-hours (18:00-09:00) and weekends.</w:t>
      </w:r>
    </w:p>
    <w:p>
      <w:r>
        <w:t>• Strengthen on-call coverage during 18:00-09:00 shift</w:t>
      </w:r>
    </w:p>
    <w:p>
      <w:r>
        <w:t>• Implement weekend duty rotation with dedicated escalation path</w:t>
      </w:r>
    </w:p>
    <w:p>
      <w:r>
        <w:t>• Consider automated triage and routing for off-hours tickets</w:t>
      </w:r>
    </w:p>
    <w:p>
      <w:r>
        <w:t>• Evaluate 24/7 NOC coverage for P1/P2 incidents</w:t>
      </w:r>
    </w:p>
    <w:p/>
    <w:p>
      <w:r>
        <w:rPr>
          <w:b/>
        </w:rPr>
        <w:t>[HIGH] External Dependencies (19% of violations)</w:t>
      </w:r>
    </w:p>
    <w:p>
      <w:r>
        <w:t>Tickets pending on external teams or customers cause significant delays.</w:t>
      </w:r>
    </w:p>
    <w:p>
      <w:r>
        <w:t>• Establish SLA agreements with dependent teams (internal OLAs)</w:t>
      </w:r>
    </w:p>
    <w:p>
      <w:r>
        <w:t>• Implement automated customer follow-up reminders</w:t>
      </w:r>
    </w:p>
    <w:p>
      <w:r>
        <w:t>• Create "pending external" dashboard for proactive management</w:t>
      </w:r>
    </w:p>
    <w:p>
      <w:r>
        <w:t>• Define escalation triggers when external wait exceeds threshold</w:t>
      </w:r>
    </w:p>
    <w:p/>
    <w:p>
      <w:r>
        <w:rPr>
          <w:b/>
        </w:rPr>
        <w:t>[HIGH] Process Improvement (23% of violations)</w:t>
      </w:r>
    </w:p>
    <w:p>
      <w:r>
        <w:t>Reassignment and escalation delays contribute to SLA breaches.</w:t>
      </w:r>
    </w:p>
    <w:p>
      <w:r>
        <w:t>• Reduce average reassignment count (target: &lt;2 per ticket)</w:t>
      </w:r>
    </w:p>
    <w:p>
      <w:r>
        <w:t>• Implement skill-based routing to minimize transfers</w:t>
      </w:r>
    </w:p>
    <w:p>
      <w:r>
        <w:t>• Create clear escalation matrix with defined triggers</w:t>
      </w:r>
    </w:p>
    <w:p>
      <w:r>
        <w:t>• Train L1 team on better initial categorization</w:t>
      </w:r>
    </w:p>
    <w:p/>
    <w:p>
      <w:r>
        <w:rPr>
          <w:b/>
        </w:rPr>
        <w:t>[MEDIUM] Category Focus: Digital View Monitoring</w:t>
      </w:r>
    </w:p>
    <w:p>
      <w:r>
        <w:t>This category accounts for 1,480 violations (46% of total).</w:t>
      </w:r>
    </w:p>
    <w:p>
      <w:r>
        <w:t>• Review monitoring alert thresholds to reduce false positives</w:t>
      </w:r>
    </w:p>
    <w:p>
      <w:r>
        <w:t>• Create runbooks for common scenarios</w:t>
      </w:r>
    </w:p>
    <w:p>
      <w:r>
        <w:t>• Consider automation for repetitive tasks</w:t>
      </w:r>
    </w:p>
    <w:p/>
    <w:p>
      <w:r>
        <w:rPr>
          <w:b/>
        </w:rPr>
        <w:t>[MEDIUM] Top Resolvers Workload</w:t>
      </w:r>
    </w:p>
    <w:p>
      <w:r>
        <w:t>Top resolver has 154 violations. Consider workload balancing.</w:t>
      </w:r>
    </w:p>
    <w:p>
      <w:r>
        <w:t>• Review workload distribution across team members</w:t>
      </w:r>
    </w:p>
    <w:p>
      <w:r>
        <w:t>• Implement workload caps and automatic redistribution</w:t>
      </w:r>
    </w:p>
    <w:p>
      <w:r>
        <w:t>• Identify training needs for lower-performing resolvers</w:t>
      </w:r>
    </w:p>
    <w:p/>
    <w:p>
      <w:pPr>
        <w:jc w:val="center"/>
      </w:pPr>
      <w:r>
        <w:t>Generated on 2026-01-28 23:05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