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Microsoft YaHei"/>
          <w:b/>
          <w:color w:val="2E74B5"/>
          <w:sz w:val="20"/>
        </w:rPr>
        <w:t>技术审计与汇报手册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B2545"/>
          <w:sz w:val="48"/>
        </w:rPr>
        <w:t>CTO超声换能器虚拟阻抗建模与</w:t>
        <w:br/>
        <w:t>自适应驱动控制</w:t>
      </w:r>
    </w:p>
    <w:p>
      <w:pPr>
        <w:spacing w:before="0" w:after="360" w:line="300" w:lineRule="auto"/>
      </w:pPr>
      <w:r>
        <w:rPr>
          <w:rFonts w:ascii="Calibri" w:hAnsi="Calibri" w:eastAsia="Microsoft YaHei"/>
          <w:b w:val="0"/>
          <w:color w:val="1F4D78"/>
          <w:sz w:val="26"/>
        </w:rPr>
        <w:t>第一月任务完成度、真实工作痕迹、逐页讲稿与教授问答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1"/>
        </w:rPr>
        <w:t>审计依据：</w:t>
      </w:r>
      <w:r>
        <w:rPr>
          <w:rFonts w:ascii="Calibri" w:hAnsi="Calibri" w:eastAsia="Microsoft YaHei"/>
          <w:color w:val="333333"/>
          <w:sz w:val="21"/>
        </w:rPr>
        <w:t>《CTO超声换能器虚拟阻抗建模与自适应驱动控制_第一月计划书》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1"/>
        </w:rPr>
        <w:t>活动模型：</w:t>
      </w:r>
      <w:r>
        <w:rPr>
          <w:rFonts w:ascii="Calibri" w:hAnsi="Calibri" w:eastAsia="Microsoft YaHei"/>
          <w:color w:val="333333"/>
          <w:sz w:val="21"/>
        </w:rPr>
        <w:t>MODEL_V2_1_HYPOTHETICAL（假设基线，非实测）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1"/>
        </w:rPr>
        <w:t>审计日期：</w:t>
      </w:r>
      <w:r>
        <w:rPr>
          <w:rFonts w:ascii="Calibri" w:hAnsi="Calibri" w:eastAsia="Microsoft YaHei"/>
          <w:color w:val="333333"/>
          <w:sz w:val="21"/>
        </w:rPr>
        <w:t>2026-08-16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1"/>
        </w:rPr>
        <w:t>证据包：</w:t>
      </w:r>
      <w:r>
        <w:rPr>
          <w:rFonts w:ascii="Calibri" w:hAnsi="Calibri" w:eastAsia="Microsoft YaHei"/>
          <w:color w:val="333333"/>
          <w:sz w:val="21"/>
        </w:rPr>
        <w:t>97个可读条目；ZIP SHA-256: 04B680BE41F965D1ABE0546058717B8BD5AA90A5F06E2D8297703F4E881AC7FA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总判定：</w:t>
            </w:r>
            <w:r>
              <w:rPr>
                <w:rFonts w:ascii="Calibri" w:hAnsi="Calibri" w:eastAsia="Microsoft YaHei"/>
                <w:color w:val="9B1C1C"/>
                <w:sz w:val="21"/>
              </w:rPr>
              <w:t>不能宣称第一月任务100%完成。38条周任务中，31条有完整证据、2条部分完成、4条缺少独立完成证据、1条为条件项且当前不适用。电学建模与扰动/选频主线基本完成；文献学习痕迹和正式相位闭环综合比较仍需补齐。</w:t>
            </w:r>
          </w:p>
        </w:tc>
      </w:tr>
    </w:tbl>
    <w:p>
      <w:pPr>
        <w:spacing w:after="40"/>
      </w:pPr>
    </w:p>
    <w:p>
      <w:pPr>
        <w:spacing w:before="0" w:after="200" w:line="300" w:lineRule="auto"/>
      </w:pPr>
      <w:r>
        <w:rPr>
          <w:rFonts w:ascii="Calibri" w:hAnsi="Calibri" w:eastAsia="Microsoft YaHei"/>
          <w:b/>
          <w:color w:val="9B1C1C"/>
          <w:sz w:val="21"/>
        </w:rPr>
        <w:t>证据边界：现有LTspice/Python结果证明的是特定假设BVD模型内的数值实现与控制逻辑，不证明真实换能器、声场输出、温升、组织效应或CTO开通效果。</w:t>
      </w:r>
    </w:p>
    <w:p>
      <w:r>
        <w:br w:type="page"/>
      </w:r>
    </w:p>
    <w:p>
      <w:pPr>
        <w:pStyle w:val="Heading1"/>
        <w:keepNext/>
      </w:pPr>
      <w:r>
        <w:t>1. 总体结论：哪些完成，哪些没有完成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可以对外说：</w:t>
            </w:r>
            <w:r>
              <w:rPr>
                <w:rFonts w:ascii="Calibri" w:hAnsi="Calibri" w:eastAsia="Microsoft YaHei"/>
                <w:color w:val="1F4D78"/>
                <w:sz w:val="21"/>
              </w:rPr>
              <w:t>第一月电学虚拟建模流程已经基本打通，并保留了真实LTspice运行、解析交叉验证、扰动、选频、控制、保护和复现脚本证据。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不可以对外说：</w:t>
            </w:r>
            <w:r>
              <w:rPr>
                <w:rFonts w:ascii="Calibri" w:hAnsi="Calibri" w:eastAsia="Microsoft YaHei"/>
                <w:color w:val="9B1C1C"/>
                <w:sz w:val="21"/>
              </w:rPr>
              <w:t>所有月度任务均已完成；三种正式策略已经严格按原任务书完成；已经获得自己的ANSYS/COMSOL结构声场结果；结果代表真实换能器性能。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20"/>
        <w:gridCol w:w="650"/>
        <w:gridCol w:w="650"/>
        <w:gridCol w:w="650"/>
        <w:gridCol w:w="760"/>
        <w:gridCol w:w="650"/>
        <w:gridCol w:w="5080"/>
      </w:tblGrid>
      <w:tr>
        <w:trPr>
          <w:tblHeader w:val="true"/>
          <w:cantSplit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条目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完成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部分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缺证据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N.A.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第1周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电路基础和范围冻结有证据；CTO/病理/技术比较阅读缺独立笔记。</w:t>
            </w:r>
          </w:p>
        </w:tc>
      </w:tr>
      <w:tr>
        <w:trPr>
          <w:cantSplit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第2周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裸BVD、匹配、损耗、功率和LTspice/Python核验完整。</w:t>
            </w:r>
          </w:p>
        </w:tc>
      </w:tr>
      <w:tr>
        <w:trPr>
          <w:cantSplit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第3周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扰动、选频、步长窗口、相位增益试验和数据追溯完整。</w:t>
            </w:r>
          </w:p>
        </w:tc>
      </w:tr>
      <w:tr>
        <w:trPr>
          <w:cantSplit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第4周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保护和综合表完成；相位闭环未作为正式第三策略进入统一总表；COMSOL为条件项。</w:t>
            </w:r>
          </w:p>
        </w:tc>
      </w:tr>
      <w:tr>
        <w:trPr>
          <w:cantSplit/>
        </w:trPr>
        <w:tc>
          <w:tcPr>
            <w:tcW w:type="dxa" w:w="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合计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38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31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2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严格结论：不能标记100%完成。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为什么不能把P&amp;O直接当作任务书中的相位闭环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1"/>
        </w:rPr>
        <w:t>任务书原文要求比较固定频率、周期扫频和相位误差闭环。当前v2.1正式综合表比较的是固定频率、周期扫频和扫描辅助P&amp;O；相位闭环虽然完成了目标相位、符号修正和5–100 Hz/deg增益消融，但被明确排除在正式三策略排名之外。P&amp;O是合理的新增策略，却不能在验收语义上自动替代原任务书指定的相位闭环。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1"/>
        </w:rPr>
        <w:t>因此，正式汇报有两种严谨处理：①明确说明‘根据选频结果，第三策略由相位闭环修订为P&amp;O，相位闭环降为消融对照’，并取得导师认可；或②补跑相位闭环在完全相同扰动序列下的完整综合指标，把结果追加为第四行。</w:t>
      </w:r>
    </w:p>
    <w:p>
      <w:pPr>
        <w:pStyle w:val="Heading2"/>
        <w:keepNext/>
      </w:pPr>
      <w:r>
        <w:t>1.2 COMSOL/ANSYS是否影响第一月验收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1"/>
        </w:rPr>
        <w:t>按原任务书，COMSOL不是主工具：有声场表时才接入；没有时只需定义标准接口字段。因此没有结构—声场结果不构成原第一月计划的必然失败。目前接口模板已经建立，条件项可标记为N.A.。但是，如果教授把后续扩展要求也纳入本次考核，则结构—声场仍是明确未完成项，不能用Python云图或文献图片冒充。</w:t>
      </w:r>
    </w:p>
    <w:p>
      <w:pPr>
        <w:pStyle w:val="Heading1"/>
        <w:keepNext/>
      </w:pPr>
      <w:r>
        <w:t>2. 按第一月计划书逐条验收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666666"/>
          <w:sz w:val="19"/>
        </w:rPr>
        <w:t>状态定义：‘完成’表示有可定位的脚本、数据、RAW/LOG、表格或审核文件；‘部分完成’表示方法或部分指标存在，但未按任务书原比较口径闭环；‘缺少证据’表示可能学习过，但当前交付物无法独立证明；‘条件项/N.A.’表示前提不成立时不要求执行。</w:t>
      </w:r>
    </w:p>
    <w:p>
      <w:pPr>
        <w:pStyle w:val="Heading2"/>
        <w:keepNext/>
      </w:pPr>
      <w:r>
        <w:t>2.1 第1周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850"/>
        <w:gridCol w:w="1150"/>
        <w:gridCol w:w="44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计划书要求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证据或缺口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阅读CTO临床共识</w:t>
            </w:r>
          </w:p>
        </w:tc>
        <w:tc>
          <w:tcPr>
            <w:tcW w:type="dxa" w:w="11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缺少证据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未发现逐篇阅读笔记、引用页码或文献矩阵。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梳理临床与未来物理候选参数</w:t>
            </w:r>
          </w:p>
        </w:tc>
        <w:tc>
          <w:tcPr>
            <w:tcW w:type="dxa" w:w="11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缺少证据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任务书中有参数框架，但未发现学生独立参数登记/来源表。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学习组织化血栓、纤维化、钙化及帽结构</w:t>
            </w:r>
          </w:p>
        </w:tc>
        <w:tc>
          <w:tcPr>
            <w:tcW w:type="dxa" w:w="11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缺少证据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未发现病理阅读摘要或图文笔记。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比较IVUS、旋磨/激光、IVL与治疗性超声边界</w:t>
            </w:r>
          </w:p>
        </w:tc>
        <w:tc>
          <w:tcPr>
            <w:tcW w:type="dxa" w:w="115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缺少证据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未发现机制—证据—边界对照表。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复阻抗、复功率、谐振与Q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公式、单位检查、复功率输出和特征频率均已在代码/表格中实现。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理解BVD参数并画最小电路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活动BVD参数表、网表和模型脚本齐全。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熟悉LTspice并选Python后处理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真实LTspice 26.0.2 RAW/LOG、GUI截图及Python脚本齐全。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W1-08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冻结第一月模型边界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修订版v2.1任务说明和参数身份分类已冻结。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第2周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850"/>
        <w:gridCol w:w="1150"/>
        <w:gridCol w:w="44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计划书要求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证据或缺口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搭建裸BVD并观察谐振/反谐振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阶段一.cir/.raw/.log及特征审核。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输出|Z|、ReZ、ImZ、相位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逐频CSV和交叉验证图。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加入源阻抗并观察各测量面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源端、端口和运动支路变量在模型中显式定义。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计算复功率和有功功率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P_Rm、P/Q/S、P_source和损耗均输出。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加入L型匹配并比较前后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活动含损耗L型网络及同源条件对比。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只做基线附近窄带匹配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0.9 MHz目标匹配，未宣称宽带优化。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加入有限损耗并观察Q、峰宽、功率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ESR和电感Q=100/50/20场景。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识别串/并联谐振和参数趋势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fs/fm/fr/fp分开定义并输出存在状态。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核对单位、相位符号和参数身份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v2.1参数表、manifest及审计JSON。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W2-10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电路软件与后处理一致性检查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LTspice/Python误差远低于5%验收线。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第3周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850"/>
        <w:gridCol w:w="1150"/>
        <w:gridCol w:w="44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计划书要求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证据或缺口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单因素改变BVD/源/匹配参数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28场景登记及逐场景参数快照。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归纳峰位、峰高和峰宽影响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趋势表与单因素敏感性图。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构造低/中/高组合扰动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组合场景及代表响应曲线。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定义电压、电流和功率约束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130/160 Vpp与5.5/6 mA假设阈值已登记。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比较功率、相位和反射三准则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每场景三准则频率表。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比较步长和扫描窗口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1008条窗口/步长/准则记录及时间代理。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建立相位误差离散更新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符号和目标相位修正后的相位消融代码。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小增益起步并观察收敛/振荡/饱和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5–100 Hz/deg增益扫描和错误锁定指标。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统一导出阻抗、电压、电流和功率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CSV、JSON、PNG/PDF/SVG输出齐全。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W3-10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关联电路版本、参数和扰动编号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model_id、case_id、schedule hash和manifest。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第4周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2850"/>
        <w:gridCol w:w="1150"/>
        <w:gridCol w:w="44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计划书要求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证据或缺口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同序列运行固定频率/幅度基线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FIXED_0P9时序和逐段指标。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区分基线失配与模型错误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参数冲突审核、同源比较和交叉验证。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运行扫频和相位闭环并记录完整指标</w:t>
            </w:r>
          </w:p>
        </w:tc>
        <w:tc>
          <w:tcPr>
            <w:tcW w:type="dxa" w:w="115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部分完成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扫频完整；相位有逐段功率/相位/频率，但未完整汇总恢复时间、峰值电流等。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约束触发时限制幅度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五状态保护、施加前裁剪、实际硬越限0次。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正式比较固定/扫频/相位三策略</w:t>
            </w:r>
          </w:p>
        </w:tc>
        <w:tc>
          <w:tcPr>
            <w:tcW w:type="dxa" w:w="1150"/>
            <w:shd w:fill="FFF4C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部分完成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正式表为固定/扫频/P&amp;O；相位被排除在正式排名之外。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分析扫频与相位闭环适用情景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相位消融显示漂移场景和错误锁定风险。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已有COMSOL时接入声学表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条件项/N.A.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当前无可用声场表；任务书允许不执行。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无COMSOL时定义接口字段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electro_acoustic_interface_template.csv为SCHEMA_ONLY。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限制结论范围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任务说明、审核文件和图注均限定为模型内电学结果。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W4-10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明确下一阶段实验验证</w:t>
            </w:r>
          </w:p>
        </w:tc>
        <w:tc>
          <w:tcPr>
            <w:tcW w:type="dxa" w:w="1150"/>
            <w:shd w:fill="DDEB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实测阻抗、功率、水听器和有限元输入缺口已列明。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真实工作痕迹：哪些可以作为证据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1"/>
        </w:rPr>
        <w:t>证据不是越多越好，而是要形成‘输入—执行—原始输出—后处理—结论’闭环。现有97条目ZIP已经逐项读取成功；以下按证明力排序。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2600"/>
        <w:gridCol w:w="2700"/>
        <w:gridCol w:w="25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等级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文件类型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能证明什么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A级：直接运行证据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.cir/.raw/.log、LTspice GUI、Output Log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证明LTspice实际运行以及原始输出存在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不能证明器件真实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B级：实现核验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Python/LTspice逐频误差CSV、audit JSON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证明同拓扑、同测量面实现一致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不是独立物理验证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B级：可复现输入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活动参数表、场景登记、控制器配置、schedule hash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证明比较条件和参数身份可追溯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假设参数仍非实测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B级：结果数据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扰动、选频、控制、保护CSV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支持图表和汇总数字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只适用于当前模型和场景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C级：汇报图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14张PNG及GUI截图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便于展示趋势和软件痕迹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图不能替代RAW、LOG和脚本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C级：复现链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11个脚本、manifest、SHA-256清单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证明结果可重新生成并检查版本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重跑仍需相同依赖和软件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D级：方案/模板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结构声场规格、接口模板、截图清单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6"/>
              </w:rPr>
              <w:t>证明后续方案已设计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6"/>
              </w:rPr>
              <w:t>不等于ANSYS/COMSOL已经求解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汇报时优先展示的证据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裸BVD LTspice/Python交叉验证：说明实现一致，而不是物理真实。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匹配前后输入阻抗、功率与反射代理：说明同源条件和测量平面。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LTspice GUI与Output Log：作为真实软件运行痕迹，放正文末页或附录。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单因素敏感性、Qm峰宽变化和组合场景：支持因果与压力测试。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三种选频准则图：直接展示相位最小与功率最大不等价。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保护状态机和统一扰动综合表：展示控制比较与边界。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最终manifest和ZIP哈希：答辩时被问到可复现性再展示。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56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spice_SPICE_Error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6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7"/>
        </w:rPr>
        <w:t>图3-1 真实LTspice 26.0.2 Output Log；属于运行证据，不是器件实测。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6033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3_selection_01_criteria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03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7"/>
        </w:rPr>
        <w:t>图3-2 三种离线选频准则：功率最大、相位最小和反射最小并不普遍重合。</w:t>
      </w:r>
    </w:p>
    <w:p>
      <w:pPr>
        <w:pStyle w:val="Heading2"/>
        <w:keepNext/>
      </w:pPr>
      <w:r>
        <w:t>3.2 当前绝对不能伪装成已完成的证据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ANSYS/COMSOL模型树、网格、模态、谐响应、声压云图和Solver Log：当前没有真实求解。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实测阻抗曲线、功放波形、温升、水听器声压和CTO组织效应：当前均未测量。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硬件级恢复时间、PLL稳定性、实时采样噪声和功放保护动作：当前准稳态模型没有覆盖。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临床安全限或器件额定限：160 Vpp和6 mA只是项目假设边界。</w:t>
      </w:r>
    </w:p>
    <w:p>
      <w:pPr>
        <w:pStyle w:val="Heading1"/>
        <w:keepNext/>
      </w:pPr>
      <w:r>
        <w:t>4. 组会汇报：按12页逐步讲述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整场主线：</w:t>
            </w:r>
            <w:r>
              <w:rPr>
                <w:rFonts w:ascii="Calibri" w:hAnsi="Calibri" w:eastAsia="Microsoft YaHei"/>
                <w:color w:val="1F4D78"/>
                <w:sz w:val="21"/>
              </w:rPr>
              <w:t>问题边界 → 参数自洽 → 模型定义 → 实现核验 → 匹配 → 扰动 → 选频 → 控制保护 → 综合结果 → 局限 → 下一步。不要按‘我先运行了什么软件’流水账讲。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第1页：研究问题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本页结论：在无实测数据条件下，先建立可验证的虚拟电学和控制流程。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建议讲法：本项目研究的是换能器驱动在负载变化下的电学稳定性。目前没有实测阻抗和结构声场输入，因此本月目标不是预测真实声压，而是建立BVD、匹配、扰动、选频和保护控制的可复现流程。</w:t>
      </w:r>
    </w:p>
    <w:p>
      <w:pPr>
        <w:pStyle w:val="Heading2"/>
        <w:keepNext/>
      </w:pPr>
      <w:r>
        <w:t>第2页：边界与参数身份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本页结论：所有数值都必须有身份，假设参数不能写成真实器件参数。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建议讲法：我把数值分为用户约束、文献参考、假设基线、扫描变量和派生值。100 Vpp、0.8–1.0 MHz是项目约束；BVD和保护阈值属于假设，不是器件额定值。</w:t>
      </w:r>
    </w:p>
    <w:p>
      <w:pPr>
        <w:pStyle w:val="Heading2"/>
        <w:keepNext/>
      </w:pPr>
      <w:r>
        <w:t>第3页：参数冲突与v2.1修订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本页结论：原参数不能同时满足100 Vpp、5 mA和低Rm。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建议讲法：如果Rm为100欧且正好串联谐振，100 Vpp会产生约354 mA和12.5 W，与5 mA矛盾。因此我冻结了约7 k欧端口量级的自洽假设基线，并把旧结果隔离为LEGACY。</w:t>
      </w:r>
    </w:p>
    <w:p>
      <w:pPr>
        <w:pStyle w:val="Heading2"/>
        <w:keepNext/>
      </w:pPr>
      <w:r>
        <w:t>第4页：BVD与目标函数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本页结论：主目标是受约束最大化运动支路有功功率。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建议讲法：BVD由C0并联Rm-Lm-Cm运动支路组成。控制量是频率，幅度正常态不主动提高，只允许保护foldback降低。P_Rm是运动支路代理，不称为声功率。</w:t>
      </w:r>
    </w:p>
    <w:p>
      <w:pPr>
        <w:pStyle w:val="Heading2"/>
        <w:keepNext/>
      </w:pPr>
      <w:r>
        <w:t>第5页：数值实现核验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本页结论：LTspice与Python对齐说明实现没有明显单位、符号和节点错误。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建议讲法：两条路径使用同一拓扑、源定义、测量平面和频率网格，误差远低于5%。这验证实现，不验证真实器件。</w:t>
      </w:r>
    </w:p>
    <w:p>
      <w:pPr>
        <w:pStyle w:val="Heading2"/>
        <w:keepNext/>
      </w:pPr>
      <w:r>
        <w:t>第6页：匹配网络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本页结论：同源条件下比较，才能判断匹配是否真正改善功率传输。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建议讲法：先以1 Vrms源比较无匹配、理想匹配和含损耗匹配；冻结网络后才校准源幅度。含损耗匹配使0.9 MHz处P_Rm约提高32.8倍，但电学功率分配代理约46.9%，因为源电阻和ESR也耗能。</w:t>
      </w:r>
    </w:p>
    <w:p>
      <w:pPr>
        <w:pStyle w:val="Heading2"/>
        <w:keepNext/>
      </w:pPr>
      <w:r>
        <w:t>第7页：扰动敏感性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本页结论：fs控制峰位，Rm、源/匹配和ESR更明显影响峰高和峰宽。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建议讲法：单因素只改变一个抽象变量，组合扰动只用于压力测试。Qm从500升至1000时峰高按定义基本不变，但FWHM从3.451 kHz缩小到1.713 kHz。</w:t>
      </w:r>
    </w:p>
    <w:p>
      <w:pPr>
        <w:pStyle w:val="Heading2"/>
        <w:keepNext/>
      </w:pPr>
      <w:r>
        <w:t>第8页：三种选频准则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本页结论：相位最小不能普遍替代功率最大。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建议讲法：基准场景最大功率在0.9000 MHz、最小相位在0.9070 MHz；fs下降5%时两者相差约49.5 kHz，因此主控制准则应直接对应P_Rm。</w:t>
      </w:r>
    </w:p>
    <w:p>
      <w:pPr>
        <w:pStyle w:val="Heading2"/>
        <w:keepNext/>
      </w:pPr>
      <w:r>
        <w:t>第9页：窗口和步长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本页结论：窗口决定是否漏峰，步长决定局部离散误差。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建议讲法：以高分辨率离线网格作数值参考，±50 kHz和1 kHz步长是当前28场景下的最快合格组合；151.5 ms只是点数乘1.5 ms的时间代理。</w:t>
      </w:r>
    </w:p>
    <w:p>
      <w:pPr>
        <w:pStyle w:val="Heading2"/>
        <w:keepNext/>
      </w:pPr>
      <w:r>
        <w:t>第10页：控制与保护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本页结论：保护状态先调幅并冻结频率，正常后再恢复追踪。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建议讲法：正式策略为固定、周期扫频和扫描辅助P&amp;O；相位控制作为消融。保护包含NORMAL、SOFT_FOLDBACK、HARD_TRIP、RECOVERY_HOLD和RAMP_UP，危险命令施加前被裁剪。</w:t>
      </w:r>
    </w:p>
    <w:p>
      <w:pPr>
        <w:pStyle w:val="Heading2"/>
        <w:keepNext/>
      </w:pPr>
      <w:r>
        <w:t>第11页：同序列比较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本页结论：自适应策略恢复模型内最优点，但不能外推硬件优劣。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建议讲法：固定0.9 MHz的稳态功率误差约30.14%；周期扫频和P&amp;O在确定性模型中达到离线网格最优。P&amp;O扫描点更少，但真实噪声、延迟和瞬态尚未建模。</w:t>
      </w:r>
    </w:p>
    <w:p>
      <w:pPr>
        <w:pStyle w:val="Heading2"/>
        <w:keepNext/>
      </w:pPr>
      <w:r>
        <w:t>第12页：结论与下一步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本页结论：最强结论是流程可复现，不是器件性能已验证。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sz w:val="20"/>
        </w:rPr>
        <w:t>建议讲法：下一步先补任务书缺口：文献阅读矩阵和相位闭环正式综合行；随后再用实测阻抗或有限元端口阻抗替换假设BVD，重新验收匹配与控制。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28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4_02_protection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8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666666"/>
          <w:sz w:val="17"/>
        </w:rPr>
        <w:t>图4-1 保护动作示例。图中的时间是离散准稳态仿真时间，不是硬件实测时间。</w:t>
      </w:r>
    </w:p>
    <w:p>
      <w:pPr>
        <w:pStyle w:val="Heading1"/>
        <w:keepNext/>
      </w:pPr>
      <w:r>
        <w:t>5. 教授组会追问：建议回答口径</w:t>
      </w:r>
    </w:p>
    <w:p>
      <w:pPr>
        <w:pStyle w:val="Heading3"/>
        <w:keepNext/>
      </w:pPr>
      <w:r>
        <w:t>1. 你的参数是真实换能器参数吗？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不是。它们是满足0.9 MHz、约100 Vpp和约5 mA约束的假设基线。物理真实性需要实测阻抗或有限元端口辨识。</w:t>
      </w:r>
    </w:p>
    <w:p>
      <w:pPr>
        <w:pStyle w:val="Heading3"/>
        <w:keepNext/>
      </w:pPr>
      <w:r>
        <w:t>2. 为什么原参数必须推翻？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因为在Rm=100欧且串联谐振时，100 Vpp意味着约354 mA RMS和12.5 W，与约5 mA明显矛盾。继续使用会让后续控制结论建立在不自洽条件上。</w:t>
      </w:r>
    </w:p>
    <w:p>
      <w:pPr>
        <w:pStyle w:val="Heading3"/>
        <w:keepNext/>
      </w:pPr>
      <w:r>
        <w:t>3. LTspice和Python一致能证明模型正确吗？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只能证明实现一致，不能证明模型代表真实器件。它主要排查网表拓扑、单位、相位、RMS/Vpp和复功率错误。</w:t>
      </w:r>
    </w:p>
    <w:p>
      <w:pPr>
        <w:pStyle w:val="Heading3"/>
        <w:keepNext/>
      </w:pPr>
      <w:r>
        <w:t>4. 为什么选择BVD？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BVD是解释压电换能器端口谐振、反谐振和损耗的最小电学模型，适合第一月方法验证；它不包含完整结构模态和声传播。</w:t>
      </w:r>
    </w:p>
    <w:p>
      <w:pPr>
        <w:pStyle w:val="Heading3"/>
        <w:keepNext/>
      </w:pPr>
      <w:r>
        <w:t>5. 为什么最大化P_Rm？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Rm吸收的有功功率是运动支路能量输入代理，能与电学控制直接对应；但它不是声功率，后续需声场或实验标定。</w:t>
      </w:r>
    </w:p>
    <w:p>
      <w:pPr>
        <w:pStyle w:val="Heading3"/>
        <w:keepNext/>
      </w:pPr>
      <w:r>
        <w:t>6. 100 Vpp为什么还能用小信号模型？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这里‘小信号’是线性参数不随幅度变化的建模假设。把结果缩放到100 Vpp并不能证明真实材料仍线性，这是限制。</w:t>
      </w:r>
    </w:p>
    <w:p>
      <w:pPr>
        <w:pStyle w:val="Heading3"/>
        <w:keepNext/>
      </w:pPr>
      <w:r>
        <w:t>7. 反射代理是不是S11？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不是。它由输入阻抗和参考阻抗计算，没有VNA测量和校准，因此只能称电学反射代理。</w:t>
      </w:r>
    </w:p>
    <w:p>
      <w:pPr>
        <w:pStyle w:val="Heading3"/>
        <w:keepNext/>
      </w:pPr>
      <w:r>
        <w:t>8. 为什么匹配后端口电压高于源电压？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L型网络完成阻抗变换并产生电压提升。Thevenin源电压与换能器端电压不是同一测量平面。</w:t>
      </w:r>
    </w:p>
    <w:p>
      <w:pPr>
        <w:pStyle w:val="Heading3"/>
        <w:keepNext/>
      </w:pPr>
      <w:r>
        <w:t>9. 为什么匹配提高32.8倍却不能称效率提高32.8倍？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32.8倍指相同源条件下P_Rm比值；源电阻和ESR仍耗能。效率必须按明确输入输出功率定义，且这里没有声功率。</w:t>
      </w:r>
    </w:p>
    <w:p>
      <w:pPr>
        <w:pStyle w:val="Heading3"/>
        <w:keepNext/>
      </w:pPr>
      <w:r>
        <w:t>10. 为什么C0扰动影响很小？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这是当前基线、匹配拓扑和指标定义下的局部结论，不是一般规律。C0更多改变无功分量，其他基线下可能更敏感。</w:t>
      </w:r>
    </w:p>
    <w:p>
      <w:pPr>
        <w:pStyle w:val="Heading3"/>
        <w:keepNext/>
      </w:pPr>
      <w:r>
        <w:t>11. Qm变化为什么峰高不变？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本次Qm敏感性固定fs和Rm，并重算Lm/Cm，所以谐振处Rm有功峰值按定义基本不变；主要变化是峰宽。</w:t>
      </w:r>
    </w:p>
    <w:p>
      <w:pPr>
        <w:pStyle w:val="Heading3"/>
        <w:keepNext/>
      </w:pPr>
      <w:r>
        <w:t>12. 为什么相位零点不是功率最大？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C0、匹配网络和损耗改变端口无功平衡，使端口相位条件与运动支路最大有功条件分离。fs−5%场景中两点相差约49.5 kHz。</w:t>
      </w:r>
    </w:p>
    <w:p>
      <w:pPr>
        <w:pStyle w:val="Heading3"/>
        <w:keepNext/>
      </w:pPr>
      <w:r>
        <w:t>13. 为什么第三策略改成P&amp;O？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因为控制目标是最大P_Rm，P&amp;O直接观察目标函数；相位闭环在消融中存在漂移失锁和低功率错误锁定。该修订必须在汇报中主动说明，不能假装任务书原本就是P&amp;O。</w:t>
      </w:r>
    </w:p>
    <w:p>
      <w:pPr>
        <w:pStyle w:val="Heading3"/>
        <w:keepNext/>
      </w:pPr>
      <w:r>
        <w:t>14. 当前三策略比较完全符合任务书吗？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不完全。固定和周期扫频符合；P&amp;O是合理新增策略；相位闭环目前只完成消融，没有进入正式综合表，所以这一项应标部分完成。</w:t>
      </w:r>
    </w:p>
    <w:p>
      <w:pPr>
        <w:pStyle w:val="Heading3"/>
        <w:keepNext/>
      </w:pPr>
      <w:r>
        <w:t>15. 恢复时间是真实硬件时间吗？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不是。它依赖20 ms控制步长和1.5 ms/频点的假设，是准稳态时间代理。</w:t>
      </w:r>
    </w:p>
    <w:p>
      <w:pPr>
        <w:pStyle w:val="Heading3"/>
        <w:keepNext/>
      </w:pPr>
      <w:r>
        <w:t>16. 为什么电压电流没有越限？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模型采用危险命令施加前裁剪，所以实际硬越限为0。它验证软件状态机逻辑，不等于真实硬件保护必然无过冲。</w:t>
      </w:r>
    </w:p>
    <w:p>
      <w:pPr>
        <w:pStyle w:val="Heading3"/>
        <w:keepNext/>
      </w:pPr>
      <w:r>
        <w:t>17. 扰动序列有现实依据吗？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它是确定性压力测试序列，不是由患者或器件数据统计得到；意义是保证三种策略在相同条件下比较。</w:t>
      </w:r>
    </w:p>
    <w:p>
      <w:pPr>
        <w:pStyle w:val="Heading3"/>
        <w:keepNext/>
      </w:pPr>
      <w:r>
        <w:t>18. 为什么没有COMSOL？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原任务书把COMSOL设为可选接口。当前缺少软件许可证、几何和完整材料矩阵，因此不能可信求解；已完成的是接口字段和后续规格。</w:t>
      </w:r>
    </w:p>
    <w:p>
      <w:pPr>
        <w:pStyle w:val="Heading3"/>
        <w:keepNext/>
      </w:pPr>
      <w:r>
        <w:t>19. 你的结果能说明CTO开通效果吗？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不能。本模型只有线性电学端口，没有声压、空化、温升、组织破坏或临床过程。</w:t>
      </w:r>
    </w:p>
    <w:p>
      <w:pPr>
        <w:pStyle w:val="Heading3"/>
        <w:keepNext/>
      </w:pPr>
      <w:r>
        <w:t>20. 这个月最有价值的成果是什么？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发现并修正参数矛盾；建立LTspice/Python/场景/控制的可追溯链；证明功率、相位和反射准则不普遍等价。</w:t>
      </w:r>
    </w:p>
    <w:p>
      <w:pPr>
        <w:pStyle w:val="Heading3"/>
        <w:keepNext/>
      </w:pPr>
      <w:r>
        <w:t>21. 目前最大缺口是什么？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19"/>
        </w:rPr>
        <w:t>不是多跑几张图，而是用可追溯数据替换假设对象：先补文献笔记和正式相位比较，再获取实测阻抗或有限元端口阻抗。</w:t>
      </w:r>
    </w:p>
    <w:p>
      <w:pPr>
        <w:pStyle w:val="Heading1"/>
        <w:keepNext/>
      </w:pPr>
      <w:r>
        <w:t>6. 汇报前必须补齐的工作与痕迹</w:t>
      </w:r>
    </w:p>
    <w:p>
      <w:pPr>
        <w:pStyle w:val="Heading2"/>
        <w:keepNext/>
      </w:pPr>
      <w:r>
        <w:t>6.1 原任务书必须补齐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建立4类第1周阅读笔记：CTO临床共识、病理机制、临床/物理候选参数、IVUS/旋磨/激光/IVL/治疗性超声边界。每篇至少记录研究对象、方法、结论、局限、对本项目用途和不可用于什么。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把相位闭环加入与FIXED、PERIODIC_SCAN、P_AND_O完全相同的8段扰动序列，输出稳态功率误差、恢复时间、CV、过冲、锁定频率、峰值电流/电压、保护事件、频率饱和和错误锁定。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更新正式综合表：可以保留P&amp;O为第四策略，但必须让任务书原定相位闭环有一行完整结果，或者取得导师对策略变更的明确认可。</w:t>
      </w:r>
    </w:p>
    <w:p>
      <w:pPr>
        <w:pStyle w:val="Heading2"/>
        <w:keepNext/>
      </w:pPr>
      <w:r>
        <w:t>6.2 原任务书不强制、但扩展汇报可能要求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在有许可证的软件中实际建立ANSYS/COMSOL模型；保存软件版本、许可证、模型树、几何、材料矩阵、极化方向、边界和Solver Log。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完成粗/中/细三档网格、模态、端口阻抗/导纳、位移和声压结果，并形成网格收敛表。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用有限元端口阻抗拟合BVD，再与当前假设模型比较；在此之前不得把结构声场结果写成已完成。</w:t>
      </w:r>
    </w:p>
    <w:p>
      <w:pPr>
        <w:pStyle w:val="Heading2"/>
        <w:keepNext/>
      </w:pPr>
      <w:r>
        <w:t>6.3 最终工作痕迹总清单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需要保留的工作痕迹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任务与边界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原任务书、修订说明、参数身份表、活动模型ID、旧结果隔离说明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文献学习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逐篇阅读笔记、引用页码、文献—结论对应表、机制边界表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LTspice原始证据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.cir/.raw/.log、GUI波形、Output Log、软件版本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解析与交叉验证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Python脚本、逐频CSV、误差表、audit JSON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匹配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拓扑、参数优化记录、同源匹配前后图、损耗与功率分配表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扰动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场景登记、绝对参数快照、单因素/组合/Qm数据和图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选频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三准则表、窗口/步长比较、驻留时间假设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控制与保护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控制代码、统一扰动序列、状态机、逐段时序和事件记录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综合比较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固定/扫频/相位/P&amp;O完整指标表、图和结论边界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复现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运行命令、依赖版本、manifest、随机种子、SHA-256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有限元扩展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若执行：版本/许可证、模型树、几何、材料、边界、网格、模态、阻抗、声压、收敛、Solver Log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汇报前一晚检查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正文每张图下方注明：数据来源、模型ID、是否RAW-derived、单位和适用范围。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把LTspice GUI、Output Log、参数表、完整场景表和哈希清单放附录，不挤占主线。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PPT中凡出现‘效率’改成‘电学功率分配代理’，凡出现‘安全限’改成‘项目假设硬限’。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确保不引用LEGACY旧模型数值；正式使用report_evidence_final目录。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准备一句话承认未完成项，不在现场临时解释或猜测。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建议最终表述：</w:t>
            </w:r>
            <w:r>
              <w:rPr>
                <w:rFonts w:ascii="Calibri" w:hAnsi="Calibri" w:eastAsia="Microsoft YaHei"/>
                <w:color w:val="1F4D78"/>
                <w:sz w:val="21"/>
              </w:rPr>
              <w:t>第一月电学虚拟建模、匹配、扰动、选频和保护控制主线已基本完成并具有可追溯证据；文献学习痕迹和相位闭环正式综合比较尚未完全闭环；COMSOL/ANSYS属于当前未执行的扩展项。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附录A：现有证据包使用方法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sz w:val="21"/>
        </w:rPr>
        <w:t>建议从以下文件开始，不要从旧的README_CURRENT.md判断最终状态，因为该文件生成于阶段三至五完成之前：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README_汇报工作痕迹索引.md：文件夹用途和14张汇报图索引。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FINAL_COMPLETION_AUDIT_2026-08-15.md：阶段三至五结果和结构声场阻塞说明。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03_Codex任务说明_修订版_v2_1.md：活动参数、功率口径和控制验收定义。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sz w:val="20"/>
        </w:rPr>
        <w:t>final_run_manifest.json与SHA256_文件清单.csv：版本、文件哈希和复现证据。</w:t>
      </w:r>
    </w:p>
    <w:p>
      <w:pPr>
        <w:pStyle w:val="Heading1"/>
        <w:keepNext/>
      </w:pPr>
      <w:r>
        <w:t>附录B：关键数字速查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4200"/>
        <w:gridCol w:w="30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指标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口径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活动频段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0.8–1.0 MHz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用户约束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基准频率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0.9 MHz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假设基线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端口工况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约100 Vpp、约5 mA RMS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用户约束/待实测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活动BVD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C0=6.858 pF, Rm=7.353 kΩ, Qm=800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假设基线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活动匹配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L≈106.726 µH, C≈283.599 pF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派生/优化值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基准P_Rm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约0.170 W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模型内运动支路功率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Qm峰宽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500: 3.451 kHz; 800: 2.144 kHz; 1000: 1.713 kHz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固定fs和Rm定义下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fs−5%三准则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Pmax≈0.8550 MHz; |phase|min≈0.9045 MHz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相差约49.5 kHz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固定策略误差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30.14%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当前8段确定性序列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周期/P&amp;O恢复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约95.5/95.1 ms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准稳态时间代理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相位5 Hz/deg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7"/>
              </w:rPr>
              <w:t>平均稳态功率误差约39.91%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</w:rPr>
              <w:t>消融对照，不在正式排名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6"/>
      </w:rPr>
      <w:t>MODEL_V2_1_HYPOTHETICAL ·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7"/>
      </w:rPr>
      <w:t>第一月任务完成度与组会答辩手册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第一月任务完成度与组会答辩手册</dc:title>
  <dc:subject>CTO超声换能器虚拟阻抗建模与自适应驱动控制</dc:subject>
  <dc:creator>Project audit compilation</dc:creator>
  <cp:keywords>BVD, LTspice, Python, 匹配, 扰动, 控制, 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