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53F6F" w:rsidP="00353F6F">
      <w:pPr>
        <w:spacing w:line="276" w:lineRule="auto"/>
        <w:jc w:val="center"/>
        <w:textAlignment w:val="center"/>
        <w:rPr>
          <w:rFonts w:ascii="宋体" w:hAnsi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前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言</w:t>
      </w:r>
    </w:p>
    <w:p w:rsidR="00000000" w:rsidRDefault="00353F6F" w:rsidP="00353F6F">
      <w:pPr>
        <w:spacing w:line="276" w:lineRule="auto"/>
        <w:textAlignment w:val="center"/>
        <w:rPr>
          <w:rFonts w:ascii="宋体" w:hAnsi="宋体" w:hint="eastAsia"/>
          <w:color w:val="000000"/>
          <w:sz w:val="21"/>
          <w:szCs w:val="21"/>
        </w:rPr>
      </w:pPr>
      <w:r>
        <w:rPr>
          <w:rStyle w:val="barfont1"/>
          <w:rFonts w:hint="default"/>
        </w:rPr>
        <w:t>第</w:t>
      </w:r>
      <w:r>
        <w:rPr>
          <w:rStyle w:val="barfont1"/>
          <w:rFonts w:hint="default"/>
        </w:rPr>
        <w:t>01</w:t>
      </w:r>
      <w:r>
        <w:rPr>
          <w:rStyle w:val="barfont1"/>
          <w:rFonts w:hint="default"/>
        </w:rPr>
        <w:t>讲</w:t>
      </w:r>
      <w:r>
        <w:rPr>
          <w:rStyle w:val="barfont1"/>
          <w:rFonts w:hint="default"/>
        </w:rPr>
        <w:t xml:space="preserve"> </w:t>
      </w:r>
      <w:r>
        <w:rPr>
          <w:rStyle w:val="barfont1"/>
          <w:rFonts w:hint="default"/>
        </w:rPr>
        <w:t>前言</w:t>
      </w:r>
      <w:r>
        <w:rPr>
          <w:rFonts w:ascii="楷体" w:eastAsia="楷体" w:hAnsi="楷体" w:hint="eastAsia"/>
          <w:b/>
          <w:bCs/>
          <w:color w:val="00AAB2"/>
          <w:sz w:val="23"/>
          <w:szCs w:val="23"/>
        </w:rPr>
        <w:br/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【《涉税服务实务》科目特点】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1.</w:t>
      </w:r>
      <w:r>
        <w:rPr>
          <w:rFonts w:ascii="宋体" w:hAnsi="宋体" w:hint="eastAsia"/>
          <w:color w:val="000000"/>
          <w:sz w:val="21"/>
          <w:szCs w:val="21"/>
        </w:rPr>
        <w:t>《涉税服务实务》具有</w:t>
      </w:r>
      <w:r>
        <w:rPr>
          <w:rStyle w:val="font14zd2"/>
          <w:rFonts w:ascii="宋体" w:hAnsi="宋体" w:hint="eastAsia"/>
        </w:rPr>
        <w:t>综合性强、贴近实务</w:t>
      </w:r>
      <w:r>
        <w:rPr>
          <w:rFonts w:ascii="宋体" w:hAnsi="宋体" w:hint="eastAsia"/>
          <w:color w:val="000000"/>
          <w:sz w:val="21"/>
          <w:szCs w:val="21"/>
        </w:rPr>
        <w:t>的特点。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2.</w:t>
      </w:r>
      <w:r>
        <w:rPr>
          <w:rStyle w:val="font14zd2"/>
          <w:rFonts w:ascii="宋体" w:hAnsi="宋体" w:hint="eastAsia"/>
        </w:rPr>
        <w:t>《税法（Ⅰ）》、《税法（</w:t>
      </w:r>
      <w:r>
        <w:rPr>
          <w:rStyle w:val="font14zd2"/>
          <w:rFonts w:ascii="宋体" w:hAnsi="宋体" w:hint="eastAsia"/>
        </w:rPr>
        <w:t>II</w:t>
      </w:r>
      <w:r>
        <w:rPr>
          <w:rStyle w:val="font14zd2"/>
          <w:rFonts w:ascii="宋体" w:hAnsi="宋体" w:hint="eastAsia"/>
        </w:rPr>
        <w:t>）》</w:t>
      </w:r>
      <w:r>
        <w:rPr>
          <w:rFonts w:ascii="宋体" w:hAnsi="宋体" w:hint="eastAsia"/>
          <w:color w:val="000000"/>
          <w:sz w:val="21"/>
          <w:szCs w:val="21"/>
        </w:rPr>
        <w:t>等是学好《涉税服务实务》的必要条件。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3.</w:t>
      </w:r>
      <w:r>
        <w:rPr>
          <w:rFonts w:ascii="宋体" w:hAnsi="宋体" w:hint="eastAsia"/>
          <w:color w:val="000000"/>
          <w:sz w:val="21"/>
          <w:szCs w:val="21"/>
        </w:rPr>
        <w:t>本科目考试适用的已颁布法律、法规、规章和规范性文件的</w:t>
      </w:r>
      <w:r>
        <w:rPr>
          <w:rStyle w:val="font14zd2"/>
          <w:rFonts w:ascii="宋体" w:hAnsi="宋体" w:hint="eastAsia"/>
        </w:rPr>
        <w:t>截止日期为</w:t>
      </w:r>
      <w:r>
        <w:rPr>
          <w:rStyle w:val="font14zd2"/>
          <w:rFonts w:ascii="宋体" w:hAnsi="宋体" w:hint="eastAsia"/>
        </w:rPr>
        <w:t>2026</w:t>
      </w:r>
      <w:r>
        <w:rPr>
          <w:rStyle w:val="font14zd2"/>
          <w:rFonts w:ascii="宋体" w:hAnsi="宋体" w:hint="eastAsia"/>
        </w:rPr>
        <w:t>年</w:t>
      </w:r>
      <w:r>
        <w:rPr>
          <w:rStyle w:val="font14zd2"/>
          <w:rFonts w:ascii="宋体" w:hAnsi="宋体" w:hint="eastAsia"/>
        </w:rPr>
        <w:t>3</w:t>
      </w:r>
      <w:r>
        <w:rPr>
          <w:rStyle w:val="font14zd2"/>
          <w:rFonts w:ascii="宋体" w:hAnsi="宋体" w:hint="eastAsia"/>
        </w:rPr>
        <w:t>月</w:t>
      </w:r>
      <w:r>
        <w:rPr>
          <w:rStyle w:val="font14zd2"/>
          <w:rFonts w:ascii="宋体" w:hAnsi="宋体" w:hint="eastAsia"/>
        </w:rPr>
        <w:t>31</w:t>
      </w:r>
      <w:r>
        <w:rPr>
          <w:rStyle w:val="font14zd2"/>
          <w:rFonts w:ascii="宋体" w:hAnsi="宋体" w:hint="eastAsia"/>
        </w:rPr>
        <w:t>日</w:t>
      </w:r>
      <w:r>
        <w:rPr>
          <w:rFonts w:ascii="宋体" w:hAnsi="宋体" w:hint="eastAsia"/>
          <w:color w:val="000000"/>
          <w:sz w:val="21"/>
          <w:szCs w:val="21"/>
        </w:rPr>
        <w:t>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【《涉税服务实务》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2026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年教材主要变动】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2026</w:t>
      </w:r>
      <w:r>
        <w:rPr>
          <w:rFonts w:ascii="宋体" w:hAnsi="宋体" w:hint="eastAsia"/>
          <w:color w:val="000000"/>
          <w:sz w:val="21"/>
          <w:szCs w:val="21"/>
        </w:rPr>
        <w:t>年《涉税服务实务》教材章节体系没有变化，仍旧是</w:t>
      </w:r>
      <w:r>
        <w:rPr>
          <w:rFonts w:ascii="宋体" w:hAnsi="宋体" w:hint="eastAsia"/>
          <w:color w:val="000000"/>
          <w:sz w:val="21"/>
          <w:szCs w:val="21"/>
        </w:rPr>
        <w:t>9</w:t>
      </w:r>
      <w:r>
        <w:rPr>
          <w:rFonts w:ascii="宋体" w:hAnsi="宋体" w:hint="eastAsia"/>
          <w:color w:val="000000"/>
          <w:sz w:val="21"/>
          <w:szCs w:val="21"/>
        </w:rPr>
        <w:t>章，部分章节名称发生变动或者缩减节数。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根据数电发票和新增值税法、新颁布的《涉税专业服务信用评价管理</w:t>
      </w:r>
      <w:r>
        <w:rPr>
          <w:rFonts w:ascii="宋体" w:hAnsi="宋体" w:hint="eastAsia"/>
          <w:color w:val="000000"/>
          <w:sz w:val="21"/>
          <w:szCs w:val="21"/>
        </w:rPr>
        <w:t>办法》与《纳税缴费信用管理办法》等政策调整具体内容。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同时，各章新增【本章导读】与【思考题】。其中，【本章导读】主要介绍了政策背景、编写依据与学习提示，【思考题】主要以问题的形式，用于本章关键内容的回顾。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第一章　导论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1.</w:t>
      </w:r>
      <w:r>
        <w:rPr>
          <w:rFonts w:ascii="宋体" w:hAnsi="宋体" w:hint="eastAsia"/>
          <w:color w:val="000000"/>
          <w:sz w:val="21"/>
          <w:szCs w:val="21"/>
        </w:rPr>
        <w:t>新增“税务师行业高质量发展的要求”有关内容。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2.</w:t>
      </w:r>
      <w:r>
        <w:rPr>
          <w:rFonts w:ascii="宋体" w:hAnsi="宋体" w:hint="eastAsia"/>
          <w:color w:val="000000"/>
          <w:sz w:val="21"/>
          <w:szCs w:val="21"/>
        </w:rPr>
        <w:t>重新编写“税务师行业发展的重点任务”有关内容。</w:t>
      </w:r>
      <w:r>
        <w:rPr>
          <w:rFonts w:ascii="宋体" w:hAnsi="宋体" w:hint="eastAsia"/>
          <w:color w:val="000000"/>
          <w:sz w:val="21"/>
          <w:szCs w:val="21"/>
        </w:rPr>
        <w:t xml:space="preserve"> 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3.</w:t>
      </w:r>
      <w:r>
        <w:rPr>
          <w:rFonts w:ascii="宋体" w:hAnsi="宋体" w:hint="eastAsia"/>
          <w:color w:val="000000"/>
          <w:sz w:val="21"/>
          <w:szCs w:val="21"/>
        </w:rPr>
        <w:t>重新编写“信用评价”有关内容。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4.</w:t>
      </w:r>
      <w:r>
        <w:rPr>
          <w:rFonts w:ascii="宋体" w:hAnsi="宋体" w:hint="eastAsia"/>
          <w:color w:val="000000"/>
          <w:sz w:val="21"/>
          <w:szCs w:val="21"/>
        </w:rPr>
        <w:t>新增“执业检查”有关内容。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5.</w:t>
      </w:r>
      <w:r>
        <w:rPr>
          <w:rFonts w:ascii="宋体" w:hAnsi="宋体" w:hint="eastAsia"/>
          <w:color w:val="000000"/>
          <w:sz w:val="21"/>
          <w:szCs w:val="21"/>
        </w:rPr>
        <w:t>新增“处理与处罚”有关内容。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6.</w:t>
      </w:r>
      <w:r>
        <w:rPr>
          <w:rFonts w:ascii="宋体" w:hAnsi="宋体" w:hint="eastAsia"/>
          <w:color w:val="000000"/>
          <w:sz w:val="21"/>
          <w:szCs w:val="21"/>
        </w:rPr>
        <w:t>新增“管理与服务”有关内容。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7.</w:t>
      </w:r>
      <w:r>
        <w:rPr>
          <w:rFonts w:ascii="宋体" w:hAnsi="宋体" w:hint="eastAsia"/>
          <w:color w:val="000000"/>
          <w:sz w:val="21"/>
          <w:szCs w:val="21"/>
        </w:rPr>
        <w:t>重新编写“税务机关、税务师行业协会、税务师事务所（税务师）的关系”有关内容。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第二章　税收征收管理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1.</w:t>
      </w:r>
      <w:r>
        <w:rPr>
          <w:rFonts w:ascii="宋体" w:hAnsi="宋体" w:hint="eastAsia"/>
          <w:color w:val="000000"/>
          <w:sz w:val="21"/>
          <w:szCs w:val="21"/>
        </w:rPr>
        <w:t>调整“新时期深化税收征管改革的要求与成效”相关表述。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2.</w:t>
      </w:r>
      <w:r>
        <w:rPr>
          <w:rFonts w:ascii="宋体" w:hAnsi="宋体" w:hint="eastAsia"/>
          <w:color w:val="000000"/>
          <w:sz w:val="21"/>
          <w:szCs w:val="21"/>
        </w:rPr>
        <w:t>新增“智慧税务与数字化建设”有关内容。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3.</w:t>
      </w:r>
      <w:r>
        <w:rPr>
          <w:rFonts w:ascii="宋体" w:hAnsi="宋体" w:hint="eastAsia"/>
          <w:color w:val="000000"/>
          <w:sz w:val="21"/>
          <w:szCs w:val="21"/>
        </w:rPr>
        <w:t>重新编写“税务合规”有关内容。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4.</w:t>
      </w:r>
      <w:r>
        <w:rPr>
          <w:rFonts w:ascii="宋体" w:hAnsi="宋体" w:hint="eastAsia"/>
          <w:color w:val="000000"/>
          <w:sz w:val="21"/>
          <w:szCs w:val="21"/>
        </w:rPr>
        <w:t>重新编写“税务登记管理概述”、“设立税务登记”、“注销税务登记”有关内容。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5.</w:t>
      </w:r>
      <w:r>
        <w:rPr>
          <w:rFonts w:ascii="宋体" w:hAnsi="宋体" w:hint="eastAsia"/>
          <w:color w:val="000000"/>
          <w:sz w:val="21"/>
          <w:szCs w:val="21"/>
        </w:rPr>
        <w:t>新增“停业、复业登记”、“跨区域涉税事项报验管理”“非正常户处理”及“税务登记违规处理”有关内容。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6.</w:t>
      </w:r>
      <w:r>
        <w:rPr>
          <w:rFonts w:ascii="宋体" w:hAnsi="宋体" w:hint="eastAsia"/>
          <w:color w:val="000000"/>
          <w:sz w:val="21"/>
          <w:szCs w:val="21"/>
        </w:rPr>
        <w:t>重新编写“发票管理概述”、“发票的开具</w:t>
      </w:r>
      <w:r>
        <w:rPr>
          <w:rFonts w:ascii="宋体" w:hAnsi="宋体" w:hint="eastAsia"/>
          <w:color w:val="000000"/>
          <w:sz w:val="21"/>
          <w:szCs w:val="21"/>
        </w:rPr>
        <w:t>和保管”有关内容。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7.</w:t>
      </w:r>
      <w:r>
        <w:rPr>
          <w:rFonts w:ascii="宋体" w:hAnsi="宋体" w:hint="eastAsia"/>
          <w:color w:val="000000"/>
          <w:sz w:val="21"/>
          <w:szCs w:val="21"/>
        </w:rPr>
        <w:t>新增“互联网平台企业涉税信息报送规定”内容以及“互联网平台企业违法违规行为处罚”规定。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8.</w:t>
      </w:r>
      <w:r>
        <w:rPr>
          <w:rFonts w:ascii="宋体" w:hAnsi="宋体" w:hint="eastAsia"/>
          <w:color w:val="000000"/>
          <w:sz w:val="21"/>
          <w:szCs w:val="21"/>
        </w:rPr>
        <w:t>重新编写“纳税缴费信用管理”有关内容。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9.</w:t>
      </w:r>
      <w:r>
        <w:rPr>
          <w:rFonts w:ascii="宋体" w:hAnsi="宋体" w:hint="eastAsia"/>
          <w:color w:val="000000"/>
          <w:sz w:val="21"/>
          <w:szCs w:val="21"/>
        </w:rPr>
        <w:t>新增“欠税公告”有关内容。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10.</w:t>
      </w:r>
      <w:r>
        <w:rPr>
          <w:rFonts w:ascii="宋体" w:hAnsi="宋体" w:hint="eastAsia"/>
          <w:color w:val="000000"/>
          <w:sz w:val="21"/>
          <w:szCs w:val="21"/>
        </w:rPr>
        <w:t>删除“首次申领发票”、“后续申领发票”、开具“未发生销售行为的不征税项目”编码发票、“备注栏注明经营业务的发票开具”、“机动车发票开具”、“稀土企业发票开具”、“成品油发票开具”等内容，简化“数电发票”相关内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第三章　涉税专业服务程序、方法和内容（结合税一，税二修订）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1.</w:t>
      </w:r>
      <w:r>
        <w:rPr>
          <w:rFonts w:ascii="宋体" w:hAnsi="宋体" w:hint="eastAsia"/>
          <w:color w:val="000000"/>
          <w:sz w:val="21"/>
          <w:szCs w:val="21"/>
        </w:rPr>
        <w:t>增值</w:t>
      </w:r>
      <w:r>
        <w:rPr>
          <w:rFonts w:ascii="宋体" w:hAnsi="宋体" w:hint="eastAsia"/>
          <w:color w:val="000000"/>
          <w:sz w:val="21"/>
          <w:szCs w:val="21"/>
        </w:rPr>
        <w:t>税。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根据《增值税法》、《增值税法实施条例》、关于增值税一般纳税人登记管理有关事项的公告、关于增值税法施行后增值税优惠政策衔接事项的公告、关于起征点标准等增值税征管事项的公告、关于增值税进项税额抵扣等有关事项的公告、长期资产进项税额抵扣暂行办法、增值税预缴税款管理办法、关于完善增值税期末留抵退税政策的公告等征管文件全面修订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2.</w:t>
      </w:r>
      <w:r>
        <w:rPr>
          <w:rFonts w:ascii="宋体" w:hAnsi="宋体" w:hint="eastAsia"/>
          <w:color w:val="000000"/>
          <w:sz w:val="21"/>
          <w:szCs w:val="21"/>
        </w:rPr>
        <w:t>消费税。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lastRenderedPageBreak/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2025</w:t>
      </w:r>
      <w:r>
        <w:rPr>
          <w:rFonts w:ascii="宋体" w:hAnsi="宋体" w:hint="eastAsia"/>
          <w:color w:val="000000"/>
          <w:sz w:val="21"/>
          <w:szCs w:val="21"/>
        </w:rPr>
        <w:t>年</w:t>
      </w:r>
      <w:r>
        <w:rPr>
          <w:rFonts w:ascii="宋体" w:hAnsi="宋体" w:hint="eastAsia"/>
          <w:color w:val="000000"/>
          <w:sz w:val="21"/>
          <w:szCs w:val="21"/>
        </w:rPr>
        <w:t>7</w:t>
      </w:r>
      <w:r>
        <w:rPr>
          <w:rFonts w:ascii="宋体" w:hAnsi="宋体" w:hint="eastAsia"/>
          <w:color w:val="000000"/>
          <w:sz w:val="21"/>
          <w:szCs w:val="21"/>
        </w:rPr>
        <w:t>月</w:t>
      </w:r>
      <w:r>
        <w:rPr>
          <w:rFonts w:ascii="宋体" w:hAnsi="宋体" w:hint="eastAsia"/>
          <w:color w:val="000000"/>
          <w:sz w:val="21"/>
          <w:szCs w:val="21"/>
        </w:rPr>
        <w:t>20</w:t>
      </w:r>
      <w:r>
        <w:rPr>
          <w:rFonts w:ascii="宋体" w:hAnsi="宋体" w:hint="eastAsia"/>
          <w:color w:val="000000"/>
          <w:sz w:val="21"/>
          <w:szCs w:val="21"/>
        </w:rPr>
        <w:t>日起，超豪华小汽车征收范围调整为“每辆零售价格</w:t>
      </w:r>
      <w:r>
        <w:rPr>
          <w:rFonts w:ascii="宋体" w:hAnsi="宋体" w:hint="eastAsia"/>
          <w:color w:val="000000"/>
          <w:sz w:val="21"/>
          <w:szCs w:val="21"/>
        </w:rPr>
        <w:t>90</w:t>
      </w:r>
      <w:r>
        <w:rPr>
          <w:rFonts w:ascii="宋体" w:hAnsi="宋体" w:hint="eastAsia"/>
          <w:color w:val="000000"/>
          <w:sz w:val="21"/>
          <w:szCs w:val="21"/>
        </w:rPr>
        <w:t>万元（不含增值税）及以上的各种动力类型（含纯电动、燃料电池等动力类型）的乘用车和中轻</w:t>
      </w:r>
      <w:r>
        <w:rPr>
          <w:rFonts w:ascii="宋体" w:hAnsi="宋体" w:hint="eastAsia"/>
          <w:color w:val="000000"/>
          <w:sz w:val="21"/>
          <w:szCs w:val="21"/>
        </w:rPr>
        <w:t>型商用客车”。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3.</w:t>
      </w:r>
      <w:r>
        <w:rPr>
          <w:rFonts w:ascii="宋体" w:hAnsi="宋体" w:hint="eastAsia"/>
          <w:color w:val="000000"/>
          <w:sz w:val="21"/>
          <w:szCs w:val="21"/>
        </w:rPr>
        <w:t>企业所得税。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（</w:t>
      </w:r>
      <w:r>
        <w:rPr>
          <w:rFonts w:ascii="宋体" w:hAnsi="宋体" w:hint="eastAsia"/>
          <w:color w:val="000000"/>
          <w:sz w:val="21"/>
          <w:szCs w:val="21"/>
        </w:rPr>
        <w:t>1</w:t>
      </w:r>
      <w:r>
        <w:rPr>
          <w:rFonts w:ascii="宋体" w:hAnsi="宋体" w:hint="eastAsia"/>
          <w:color w:val="000000"/>
          <w:sz w:val="21"/>
          <w:szCs w:val="21"/>
        </w:rPr>
        <w:t>）部分优惠政策延长至</w:t>
      </w:r>
      <w:r>
        <w:rPr>
          <w:rFonts w:ascii="宋体" w:hAnsi="宋体" w:hint="eastAsia"/>
          <w:color w:val="000000"/>
          <w:sz w:val="21"/>
          <w:szCs w:val="21"/>
        </w:rPr>
        <w:t>2027</w:t>
      </w:r>
      <w:r>
        <w:rPr>
          <w:rFonts w:ascii="宋体" w:hAnsi="宋体" w:hint="eastAsia"/>
          <w:color w:val="000000"/>
          <w:sz w:val="21"/>
          <w:szCs w:val="21"/>
        </w:rPr>
        <w:t>年</w:t>
      </w:r>
      <w:r>
        <w:rPr>
          <w:rFonts w:ascii="宋体" w:hAnsi="宋体" w:hint="eastAsia"/>
          <w:color w:val="000000"/>
          <w:sz w:val="21"/>
          <w:szCs w:val="21"/>
        </w:rPr>
        <w:t>12</w:t>
      </w:r>
      <w:r>
        <w:rPr>
          <w:rFonts w:ascii="宋体" w:hAnsi="宋体" w:hint="eastAsia"/>
          <w:color w:val="000000"/>
          <w:sz w:val="21"/>
          <w:szCs w:val="21"/>
        </w:rPr>
        <w:t>月</w:t>
      </w:r>
      <w:r>
        <w:rPr>
          <w:rFonts w:ascii="宋体" w:hAnsi="宋体" w:hint="eastAsia"/>
          <w:color w:val="000000"/>
          <w:sz w:val="21"/>
          <w:szCs w:val="21"/>
        </w:rPr>
        <w:t>31</w:t>
      </w:r>
      <w:r>
        <w:rPr>
          <w:rFonts w:ascii="宋体" w:hAnsi="宋体" w:hint="eastAsia"/>
          <w:color w:val="000000"/>
          <w:sz w:val="21"/>
          <w:szCs w:val="21"/>
        </w:rPr>
        <w:t>日止，例如对化妆品制造或销售、医药制造和饮料制造（不含酒类制造）企业发生的广告费和业务宣传费支出，不超过当年销售（营业）收入</w:t>
      </w:r>
      <w:r>
        <w:rPr>
          <w:rFonts w:ascii="宋体" w:hAnsi="宋体" w:hint="eastAsia"/>
          <w:color w:val="000000"/>
          <w:sz w:val="21"/>
          <w:szCs w:val="21"/>
        </w:rPr>
        <w:t>30</w:t>
      </w:r>
      <w:r>
        <w:rPr>
          <w:rFonts w:ascii="宋体" w:hAnsi="宋体" w:hint="eastAsia"/>
          <w:color w:val="000000"/>
          <w:sz w:val="21"/>
          <w:szCs w:val="21"/>
        </w:rPr>
        <w:t>％的部分，准予扣除；超过部分，准予在以后纳税年度结转扣除等。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（</w:t>
      </w:r>
      <w:r>
        <w:rPr>
          <w:rFonts w:ascii="宋体" w:hAnsi="宋体" w:hint="eastAsia"/>
          <w:color w:val="000000"/>
          <w:sz w:val="21"/>
          <w:szCs w:val="21"/>
        </w:rPr>
        <w:t>2</w:t>
      </w:r>
      <w:r>
        <w:rPr>
          <w:rFonts w:ascii="宋体" w:hAnsi="宋体" w:hint="eastAsia"/>
          <w:color w:val="000000"/>
          <w:sz w:val="21"/>
          <w:szCs w:val="21"/>
        </w:rPr>
        <w:t>）新增境外投资者以分配利润直接投资税收抵免政策，境外投资者以中国境内居民企业分配的利润，在</w:t>
      </w:r>
      <w:r>
        <w:rPr>
          <w:rFonts w:ascii="宋体" w:hAnsi="宋体" w:hint="eastAsia"/>
          <w:color w:val="000000"/>
          <w:sz w:val="21"/>
          <w:szCs w:val="21"/>
        </w:rPr>
        <w:t>2025</w:t>
      </w:r>
      <w:r>
        <w:rPr>
          <w:rFonts w:ascii="宋体" w:hAnsi="宋体" w:hint="eastAsia"/>
          <w:color w:val="000000"/>
          <w:sz w:val="21"/>
          <w:szCs w:val="21"/>
        </w:rPr>
        <w:t>年</w:t>
      </w:r>
      <w:r>
        <w:rPr>
          <w:rFonts w:ascii="宋体" w:hAnsi="宋体" w:hint="eastAsia"/>
          <w:color w:val="000000"/>
          <w:sz w:val="21"/>
          <w:szCs w:val="21"/>
        </w:rPr>
        <w:t>1</w:t>
      </w:r>
      <w:r>
        <w:rPr>
          <w:rFonts w:ascii="宋体" w:hAnsi="宋体" w:hint="eastAsia"/>
          <w:color w:val="000000"/>
          <w:sz w:val="21"/>
          <w:szCs w:val="21"/>
        </w:rPr>
        <w:t>月</w:t>
      </w:r>
      <w:r>
        <w:rPr>
          <w:rFonts w:ascii="宋体" w:hAnsi="宋体" w:hint="eastAsia"/>
          <w:color w:val="000000"/>
          <w:sz w:val="21"/>
          <w:szCs w:val="21"/>
        </w:rPr>
        <w:t>1</w:t>
      </w:r>
      <w:r>
        <w:rPr>
          <w:rFonts w:ascii="宋体" w:hAnsi="宋体" w:hint="eastAsia"/>
          <w:color w:val="000000"/>
          <w:sz w:val="21"/>
          <w:szCs w:val="21"/>
        </w:rPr>
        <w:t>日至</w:t>
      </w:r>
      <w:r>
        <w:rPr>
          <w:rFonts w:ascii="宋体" w:hAnsi="宋体" w:hint="eastAsia"/>
          <w:color w:val="000000"/>
          <w:sz w:val="21"/>
          <w:szCs w:val="21"/>
        </w:rPr>
        <w:t>2028</w:t>
      </w:r>
      <w:r>
        <w:rPr>
          <w:rFonts w:ascii="宋体" w:hAnsi="宋体" w:hint="eastAsia"/>
          <w:color w:val="000000"/>
          <w:sz w:val="21"/>
          <w:szCs w:val="21"/>
        </w:rPr>
        <w:t>年</w:t>
      </w:r>
      <w:r>
        <w:rPr>
          <w:rFonts w:ascii="宋体" w:hAnsi="宋体" w:hint="eastAsia"/>
          <w:color w:val="000000"/>
          <w:sz w:val="21"/>
          <w:szCs w:val="21"/>
        </w:rPr>
        <w:t>12</w:t>
      </w:r>
      <w:r>
        <w:rPr>
          <w:rFonts w:ascii="宋体" w:hAnsi="宋体" w:hint="eastAsia"/>
          <w:color w:val="000000"/>
          <w:sz w:val="21"/>
          <w:szCs w:val="21"/>
        </w:rPr>
        <w:t>月</w:t>
      </w:r>
      <w:r>
        <w:rPr>
          <w:rFonts w:ascii="宋体" w:hAnsi="宋体" w:hint="eastAsia"/>
          <w:color w:val="000000"/>
          <w:sz w:val="21"/>
          <w:szCs w:val="21"/>
        </w:rPr>
        <w:t>31</w:t>
      </w:r>
      <w:r>
        <w:rPr>
          <w:rFonts w:ascii="宋体" w:hAnsi="宋体" w:hint="eastAsia"/>
          <w:color w:val="000000"/>
          <w:sz w:val="21"/>
          <w:szCs w:val="21"/>
        </w:rPr>
        <w:t>日期间用于境内直接投资符合条件的，可按照投资额的</w:t>
      </w:r>
      <w:r>
        <w:rPr>
          <w:rFonts w:ascii="宋体" w:hAnsi="宋体" w:hint="eastAsia"/>
          <w:color w:val="000000"/>
          <w:sz w:val="21"/>
          <w:szCs w:val="21"/>
        </w:rPr>
        <w:t>10</w:t>
      </w:r>
      <w:r>
        <w:rPr>
          <w:rFonts w:ascii="宋体" w:hAnsi="宋体" w:hint="eastAsia"/>
          <w:color w:val="000000"/>
          <w:sz w:val="21"/>
          <w:szCs w:val="21"/>
        </w:rPr>
        <w:t>％抵免境外投资者当年的应纳税额，当年不足</w:t>
      </w:r>
      <w:r>
        <w:rPr>
          <w:rFonts w:ascii="宋体" w:hAnsi="宋体" w:hint="eastAsia"/>
          <w:color w:val="000000"/>
          <w:sz w:val="21"/>
          <w:szCs w:val="21"/>
        </w:rPr>
        <w:t>抵免的准予向以后结转。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（</w:t>
      </w:r>
      <w:r>
        <w:rPr>
          <w:rFonts w:ascii="宋体" w:hAnsi="宋体" w:hint="eastAsia"/>
          <w:color w:val="000000"/>
          <w:sz w:val="21"/>
          <w:szCs w:val="21"/>
        </w:rPr>
        <w:t>3</w:t>
      </w:r>
      <w:r>
        <w:rPr>
          <w:rFonts w:ascii="宋体" w:hAnsi="宋体" w:hint="eastAsia"/>
          <w:color w:val="000000"/>
          <w:sz w:val="21"/>
          <w:szCs w:val="21"/>
        </w:rPr>
        <w:t>）新增保险合同准则转换有关企业所得税处理规定。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4.</w:t>
      </w:r>
      <w:r>
        <w:rPr>
          <w:rFonts w:ascii="宋体" w:hAnsi="宋体" w:hint="eastAsia"/>
          <w:color w:val="000000"/>
          <w:sz w:val="21"/>
          <w:szCs w:val="21"/>
        </w:rPr>
        <w:t>个人所得税。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（</w:t>
      </w:r>
      <w:r>
        <w:rPr>
          <w:rFonts w:ascii="宋体" w:hAnsi="宋体" w:hint="eastAsia"/>
          <w:color w:val="000000"/>
          <w:sz w:val="21"/>
          <w:szCs w:val="21"/>
        </w:rPr>
        <w:t>1</w:t>
      </w:r>
      <w:r>
        <w:rPr>
          <w:rFonts w:ascii="宋体" w:hAnsi="宋体" w:hint="eastAsia"/>
          <w:color w:val="000000"/>
          <w:sz w:val="21"/>
          <w:szCs w:val="21"/>
        </w:rPr>
        <w:t>）部分优惠政策延长至</w:t>
      </w:r>
      <w:r>
        <w:rPr>
          <w:rFonts w:ascii="宋体" w:hAnsi="宋体" w:hint="eastAsia"/>
          <w:color w:val="000000"/>
          <w:sz w:val="21"/>
          <w:szCs w:val="21"/>
        </w:rPr>
        <w:t>2027</w:t>
      </w:r>
      <w:r>
        <w:rPr>
          <w:rFonts w:ascii="宋体" w:hAnsi="宋体" w:hint="eastAsia"/>
          <w:color w:val="000000"/>
          <w:sz w:val="21"/>
          <w:szCs w:val="21"/>
        </w:rPr>
        <w:t>年</w:t>
      </w:r>
      <w:r>
        <w:rPr>
          <w:rFonts w:ascii="宋体" w:hAnsi="宋体" w:hint="eastAsia"/>
          <w:color w:val="000000"/>
          <w:sz w:val="21"/>
          <w:szCs w:val="21"/>
        </w:rPr>
        <w:t>12</w:t>
      </w:r>
      <w:r>
        <w:rPr>
          <w:rFonts w:ascii="宋体" w:hAnsi="宋体" w:hint="eastAsia"/>
          <w:color w:val="000000"/>
          <w:sz w:val="21"/>
          <w:szCs w:val="21"/>
        </w:rPr>
        <w:t>月</w:t>
      </w:r>
      <w:r>
        <w:rPr>
          <w:rFonts w:ascii="宋体" w:hAnsi="宋体" w:hint="eastAsia"/>
          <w:color w:val="000000"/>
          <w:sz w:val="21"/>
          <w:szCs w:val="21"/>
        </w:rPr>
        <w:t>31</w:t>
      </w:r>
      <w:r>
        <w:rPr>
          <w:rFonts w:ascii="宋体" w:hAnsi="宋体" w:hint="eastAsia"/>
          <w:color w:val="000000"/>
          <w:sz w:val="21"/>
          <w:szCs w:val="21"/>
        </w:rPr>
        <w:t>日止，例如对出售自有住房并在现住房出售后</w:t>
      </w:r>
      <w:r>
        <w:rPr>
          <w:rFonts w:ascii="宋体" w:hAnsi="宋体" w:hint="eastAsia"/>
          <w:color w:val="000000"/>
          <w:sz w:val="21"/>
          <w:szCs w:val="21"/>
        </w:rPr>
        <w:t>1</w:t>
      </w:r>
      <w:r>
        <w:rPr>
          <w:rFonts w:ascii="宋体" w:hAnsi="宋体" w:hint="eastAsia"/>
          <w:color w:val="000000"/>
          <w:sz w:val="21"/>
          <w:szCs w:val="21"/>
        </w:rPr>
        <w:t>年内在市场重新购买住房的纳税人，对其出售现住房已缴纳的个人所得税予以退税。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（</w:t>
      </w:r>
      <w:r>
        <w:rPr>
          <w:rFonts w:ascii="宋体" w:hAnsi="宋体" w:hint="eastAsia"/>
          <w:color w:val="000000"/>
          <w:sz w:val="21"/>
          <w:szCs w:val="21"/>
        </w:rPr>
        <w:t>2</w:t>
      </w:r>
      <w:r>
        <w:rPr>
          <w:rFonts w:ascii="宋体" w:hAnsi="宋体" w:hint="eastAsia"/>
          <w:color w:val="000000"/>
          <w:sz w:val="21"/>
          <w:szCs w:val="21"/>
        </w:rPr>
        <w:t>）新增从业人员自互联网平台企业取得劳务报酬所得，互联网平台企业按照累计预扣法计算并预扣预缴税款。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5.</w:t>
      </w:r>
      <w:r>
        <w:rPr>
          <w:rFonts w:ascii="宋体" w:hAnsi="宋体" w:hint="eastAsia"/>
          <w:color w:val="000000"/>
          <w:sz w:val="21"/>
          <w:szCs w:val="21"/>
        </w:rPr>
        <w:t>土地增值税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新增土地增值税若干征管口径，明确土地增值税预征的申报起止时间，预征土地增值税的计征依据＝预收款÷（</w:t>
      </w:r>
      <w:r>
        <w:rPr>
          <w:rFonts w:ascii="宋体" w:hAnsi="宋体" w:hint="eastAsia"/>
          <w:color w:val="000000"/>
          <w:sz w:val="21"/>
          <w:szCs w:val="21"/>
        </w:rPr>
        <w:t>1</w:t>
      </w:r>
      <w:r>
        <w:rPr>
          <w:rFonts w:ascii="宋体" w:hAnsi="宋体" w:hint="eastAsia"/>
          <w:color w:val="000000"/>
          <w:sz w:val="21"/>
          <w:szCs w:val="21"/>
        </w:rPr>
        <w:t>＋</w:t>
      </w:r>
      <w:r>
        <w:rPr>
          <w:rFonts w:ascii="宋体" w:hAnsi="宋体" w:hint="eastAsia"/>
          <w:color w:val="000000"/>
          <w:sz w:val="21"/>
          <w:szCs w:val="21"/>
        </w:rPr>
        <w:t>增值税适用税率或征收率），因转让房地产缴纳的印花税和地方教育附加准予扣除等。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6.</w:t>
      </w:r>
      <w:r>
        <w:rPr>
          <w:rFonts w:ascii="宋体" w:hAnsi="宋体" w:hint="eastAsia"/>
          <w:color w:val="000000"/>
          <w:sz w:val="21"/>
          <w:szCs w:val="21"/>
        </w:rPr>
        <w:t>删除资源税、环境保护税、社会保险费审核内容。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第四章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t>涉税会计核算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1.</w:t>
      </w:r>
      <w:r>
        <w:rPr>
          <w:rFonts w:ascii="宋体" w:hAnsi="宋体" w:hint="eastAsia"/>
          <w:color w:val="000000"/>
          <w:sz w:val="21"/>
          <w:szCs w:val="21"/>
        </w:rPr>
        <w:t>调整“其他收益”科目核算内容。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2.</w:t>
      </w:r>
      <w:r>
        <w:rPr>
          <w:rFonts w:ascii="宋体" w:hAnsi="宋体" w:hint="eastAsia"/>
          <w:color w:val="000000"/>
          <w:sz w:val="21"/>
          <w:szCs w:val="21"/>
        </w:rPr>
        <w:t>部分与增值税核算相关的内容，按《增值税法》调整或者删除。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第五章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t>纳税申报代办服务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1.</w:t>
      </w:r>
      <w:r>
        <w:rPr>
          <w:rFonts w:ascii="宋体" w:hAnsi="宋体" w:hint="eastAsia"/>
          <w:color w:val="000000"/>
          <w:sz w:val="21"/>
          <w:szCs w:val="21"/>
        </w:rPr>
        <w:t>调整《增值税及附加税费申报表（一般纳税人适用）》及其附列资料、《增值税及附加税费申报表（小规模纳税人适用）》及其附列资料、《增值税及附加税费预缴表》及其附列资料部分栏次填报要求。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2.</w:t>
      </w:r>
      <w:r>
        <w:rPr>
          <w:rFonts w:ascii="宋体" w:hAnsi="宋体" w:hint="eastAsia"/>
          <w:color w:val="000000"/>
          <w:sz w:val="21"/>
          <w:szCs w:val="21"/>
        </w:rPr>
        <w:t>修订《企</w:t>
      </w:r>
      <w:r>
        <w:rPr>
          <w:rFonts w:ascii="宋体" w:hAnsi="宋体" w:hint="eastAsia"/>
          <w:color w:val="000000"/>
          <w:sz w:val="21"/>
          <w:szCs w:val="21"/>
        </w:rPr>
        <w:t>业所得税月（季）度预缴纳税申报表（</w:t>
      </w:r>
      <w:r>
        <w:rPr>
          <w:rFonts w:ascii="宋体" w:hAnsi="宋体" w:hint="eastAsia"/>
          <w:color w:val="000000"/>
          <w:sz w:val="21"/>
          <w:szCs w:val="21"/>
        </w:rPr>
        <w:t>A</w:t>
      </w:r>
      <w:r>
        <w:rPr>
          <w:rFonts w:ascii="宋体" w:hAnsi="宋体" w:hint="eastAsia"/>
          <w:color w:val="000000"/>
          <w:sz w:val="21"/>
          <w:szCs w:val="21"/>
        </w:rPr>
        <w:t>类）》，企业适用节能节水、环境保护、安全生产专用设备抵免所得税政策的，可结合自身情况自主选择在预缴申报时享受抵免所得税政策，也可在年度汇算清缴申报时享受抵免所得税政策，在“优惠及附报事项有关信息”部分增加“职工薪酬”和“出口方式”项目，进一步明确了出口企业预缴申报要求，调整总分机构税款分摊计算方法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第六章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t>涉税鉴证与纳税情况审查服务，变动较小，部分表述微调，无实质性影响。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第七章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t>税务咨询服务，新增部分例题。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第八章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t>其他税务事项代办服务，变动较小，删</w:t>
      </w:r>
      <w:r>
        <w:rPr>
          <w:rFonts w:ascii="宋体" w:hAnsi="宋体" w:hint="eastAsia"/>
          <w:color w:val="000000"/>
          <w:sz w:val="21"/>
          <w:szCs w:val="21"/>
        </w:rPr>
        <w:t>除部分涉税信息报告事项代办服务的具体内容。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第九章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t>其他税务代理，“税务行政复议”部分表述微调，无实质性影响。删除原“第三节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t>涉税培训和税务信息化管理服务”。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hint="eastAsia"/>
          <w:color w:val="000000"/>
          <w:sz w:val="21"/>
          <w:szCs w:val="21"/>
        </w:rPr>
        <w:t>【《涉税服务实务》学习建议】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1.</w:t>
      </w:r>
      <w:r>
        <w:rPr>
          <w:rFonts w:ascii="宋体" w:hAnsi="宋体" w:hint="eastAsia"/>
          <w:color w:val="000000"/>
          <w:sz w:val="21"/>
          <w:szCs w:val="21"/>
        </w:rPr>
        <w:t>做笔记。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第一遍（</w:t>
      </w:r>
      <w:r>
        <w:rPr>
          <w:rFonts w:ascii="宋体" w:hAnsi="宋体" w:hint="eastAsia"/>
          <w:color w:val="000000"/>
          <w:sz w:val="21"/>
          <w:szCs w:val="21"/>
        </w:rPr>
        <w:t>9</w:t>
      </w:r>
      <w:r>
        <w:rPr>
          <w:rFonts w:ascii="宋体" w:hAnsi="宋体" w:hint="eastAsia"/>
          <w:color w:val="000000"/>
          <w:sz w:val="21"/>
          <w:szCs w:val="21"/>
        </w:rPr>
        <w:t>月</w:t>
      </w:r>
      <w:r>
        <w:rPr>
          <w:rFonts w:ascii="宋体" w:hAnsi="宋体" w:hint="eastAsia"/>
          <w:color w:val="000000"/>
          <w:sz w:val="21"/>
          <w:szCs w:val="21"/>
        </w:rPr>
        <w:t>15</w:t>
      </w:r>
      <w:r>
        <w:rPr>
          <w:rFonts w:ascii="宋体" w:hAnsi="宋体" w:hint="eastAsia"/>
          <w:color w:val="000000"/>
          <w:sz w:val="21"/>
          <w:szCs w:val="21"/>
        </w:rPr>
        <w:t>日前完成）：全面学习笔记；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第二遍（</w:t>
      </w:r>
      <w:r>
        <w:rPr>
          <w:rFonts w:ascii="宋体" w:hAnsi="宋体" w:hint="eastAsia"/>
          <w:color w:val="000000"/>
          <w:sz w:val="21"/>
          <w:szCs w:val="21"/>
        </w:rPr>
        <w:t>10</w:t>
      </w:r>
      <w:r>
        <w:rPr>
          <w:rFonts w:ascii="宋体" w:hAnsi="宋体" w:hint="eastAsia"/>
          <w:color w:val="000000"/>
          <w:sz w:val="21"/>
          <w:szCs w:val="21"/>
        </w:rPr>
        <w:t>月</w:t>
      </w:r>
      <w:r>
        <w:rPr>
          <w:rFonts w:ascii="宋体" w:hAnsi="宋体" w:hint="eastAsia"/>
          <w:color w:val="000000"/>
          <w:sz w:val="21"/>
          <w:szCs w:val="21"/>
        </w:rPr>
        <w:t>31</w:t>
      </w:r>
      <w:r>
        <w:rPr>
          <w:rFonts w:ascii="宋体" w:hAnsi="宋体" w:hint="eastAsia"/>
          <w:color w:val="000000"/>
          <w:sz w:val="21"/>
          <w:szCs w:val="21"/>
        </w:rPr>
        <w:t>日前完成）：重点、难点笔记；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第三遍（</w:t>
      </w:r>
      <w:r>
        <w:rPr>
          <w:rFonts w:ascii="宋体" w:hAnsi="宋体" w:hint="eastAsia"/>
          <w:color w:val="000000"/>
          <w:sz w:val="21"/>
          <w:szCs w:val="21"/>
        </w:rPr>
        <w:t>11</w:t>
      </w:r>
      <w:r>
        <w:rPr>
          <w:rFonts w:ascii="宋体" w:hAnsi="宋体" w:hint="eastAsia"/>
          <w:color w:val="000000"/>
          <w:sz w:val="21"/>
          <w:szCs w:val="21"/>
        </w:rPr>
        <w:t>月</w:t>
      </w:r>
      <w:r>
        <w:rPr>
          <w:rFonts w:ascii="宋体" w:hAnsi="宋体" w:hint="eastAsia"/>
          <w:color w:val="000000"/>
          <w:sz w:val="21"/>
          <w:szCs w:val="21"/>
        </w:rPr>
        <w:t>10</w:t>
      </w:r>
      <w:r>
        <w:rPr>
          <w:rFonts w:ascii="宋体" w:hAnsi="宋体" w:hint="eastAsia"/>
          <w:color w:val="000000"/>
          <w:sz w:val="21"/>
          <w:szCs w:val="21"/>
        </w:rPr>
        <w:t>日前完成）：考前快速提分复习笔记。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2.</w:t>
      </w:r>
      <w:r>
        <w:rPr>
          <w:rFonts w:ascii="宋体" w:hAnsi="宋体" w:hint="eastAsia"/>
          <w:color w:val="000000"/>
          <w:sz w:val="21"/>
          <w:szCs w:val="21"/>
        </w:rPr>
        <w:t>做习题。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包括但不限于网校</w:t>
      </w:r>
      <w:r>
        <w:rPr>
          <w:rFonts w:ascii="宋体" w:hAnsi="宋体" w:hint="eastAsia"/>
          <w:color w:val="000000"/>
          <w:sz w:val="21"/>
          <w:szCs w:val="21"/>
        </w:rPr>
        <w:t>2026</w:t>
      </w:r>
      <w:r>
        <w:rPr>
          <w:rFonts w:ascii="宋体" w:hAnsi="宋体" w:hint="eastAsia"/>
          <w:color w:val="000000"/>
          <w:sz w:val="21"/>
          <w:szCs w:val="21"/>
        </w:rPr>
        <w:t>年辅导课程提供的习题，网校</w:t>
      </w:r>
      <w:r>
        <w:rPr>
          <w:rFonts w:ascii="宋体" w:hAnsi="宋体" w:hint="eastAsia"/>
          <w:color w:val="000000"/>
          <w:sz w:val="21"/>
          <w:szCs w:val="21"/>
        </w:rPr>
        <w:t>2026</w:t>
      </w:r>
      <w:r>
        <w:rPr>
          <w:rFonts w:ascii="宋体" w:hAnsi="宋体" w:hint="eastAsia"/>
          <w:color w:val="000000"/>
          <w:sz w:val="21"/>
          <w:szCs w:val="21"/>
        </w:rPr>
        <w:t>年税务师《梦想成真系列辅导书》习题，</w:t>
      </w:r>
      <w:r>
        <w:rPr>
          <w:rFonts w:ascii="宋体" w:hAnsi="宋体" w:hint="eastAsia"/>
          <w:color w:val="000000"/>
          <w:sz w:val="21"/>
          <w:szCs w:val="21"/>
        </w:rPr>
        <w:t>202</w:t>
      </w:r>
      <w:r>
        <w:rPr>
          <w:rFonts w:ascii="宋体" w:hAnsi="宋体" w:hint="eastAsia"/>
          <w:color w:val="000000"/>
          <w:sz w:val="21"/>
          <w:szCs w:val="21"/>
        </w:rPr>
        <w:t>3</w:t>
      </w:r>
      <w:r>
        <w:rPr>
          <w:rFonts w:ascii="宋体" w:hAnsi="宋体" w:hint="eastAsia"/>
          <w:color w:val="000000"/>
          <w:sz w:val="21"/>
          <w:szCs w:val="21"/>
        </w:rPr>
        <w:t>年至</w:t>
      </w:r>
      <w:r>
        <w:rPr>
          <w:rFonts w:ascii="宋体" w:hAnsi="宋体" w:hint="eastAsia"/>
          <w:color w:val="000000"/>
          <w:sz w:val="21"/>
          <w:szCs w:val="21"/>
        </w:rPr>
        <w:t>2025</w:t>
      </w:r>
      <w:r>
        <w:rPr>
          <w:rFonts w:ascii="宋体" w:hAnsi="宋体" w:hint="eastAsia"/>
          <w:color w:val="000000"/>
          <w:sz w:val="21"/>
          <w:szCs w:val="21"/>
        </w:rPr>
        <w:t>年真实考题（按最新规定修订），</w:t>
      </w:r>
      <w:r>
        <w:rPr>
          <w:rFonts w:ascii="宋体" w:hAnsi="宋体" w:hint="eastAsia"/>
          <w:color w:val="000000"/>
          <w:sz w:val="21"/>
          <w:szCs w:val="21"/>
        </w:rPr>
        <w:t>2026</w:t>
      </w:r>
      <w:r>
        <w:rPr>
          <w:rFonts w:ascii="宋体" w:hAnsi="宋体" w:hint="eastAsia"/>
          <w:color w:val="000000"/>
          <w:sz w:val="21"/>
          <w:szCs w:val="21"/>
        </w:rPr>
        <w:t>年教材例题。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3.</w:t>
      </w:r>
      <w:r>
        <w:rPr>
          <w:rFonts w:ascii="宋体" w:hAnsi="宋体" w:hint="eastAsia"/>
          <w:color w:val="000000"/>
          <w:sz w:val="21"/>
          <w:szCs w:val="21"/>
        </w:rPr>
        <w:t>做计划。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lastRenderedPageBreak/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8</w:t>
      </w:r>
      <w:r>
        <w:rPr>
          <w:rFonts w:ascii="宋体" w:hAnsi="宋体" w:hint="eastAsia"/>
          <w:color w:val="000000"/>
          <w:sz w:val="21"/>
          <w:szCs w:val="21"/>
        </w:rPr>
        <w:t>月</w:t>
      </w:r>
      <w:r>
        <w:rPr>
          <w:rFonts w:ascii="宋体" w:hAnsi="宋体" w:hint="eastAsia"/>
          <w:color w:val="000000"/>
          <w:sz w:val="21"/>
          <w:szCs w:val="21"/>
        </w:rPr>
        <w:t>31</w:t>
      </w:r>
      <w:r>
        <w:rPr>
          <w:rFonts w:ascii="宋体" w:hAnsi="宋体" w:hint="eastAsia"/>
          <w:color w:val="000000"/>
          <w:sz w:val="21"/>
          <w:szCs w:val="21"/>
        </w:rPr>
        <w:t>日前，争取完成“基础班”课程学习。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10</w:t>
      </w:r>
      <w:r>
        <w:rPr>
          <w:rFonts w:ascii="宋体" w:hAnsi="宋体" w:hint="eastAsia"/>
          <w:color w:val="000000"/>
          <w:sz w:val="21"/>
          <w:szCs w:val="21"/>
        </w:rPr>
        <w:t>月</w:t>
      </w:r>
      <w:r>
        <w:rPr>
          <w:rFonts w:ascii="宋体" w:hAnsi="宋体" w:hint="eastAsia"/>
          <w:color w:val="000000"/>
          <w:sz w:val="21"/>
          <w:szCs w:val="21"/>
        </w:rPr>
        <w:t>15</w:t>
      </w:r>
      <w:r>
        <w:rPr>
          <w:rFonts w:ascii="宋体" w:hAnsi="宋体" w:hint="eastAsia"/>
          <w:color w:val="000000"/>
          <w:sz w:val="21"/>
          <w:szCs w:val="21"/>
        </w:rPr>
        <w:t>日前，争取完成“习题班”课程学习并同步做题。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11</w:t>
      </w:r>
      <w:r>
        <w:rPr>
          <w:rFonts w:ascii="宋体" w:hAnsi="宋体" w:hint="eastAsia"/>
          <w:color w:val="000000"/>
          <w:sz w:val="21"/>
          <w:szCs w:val="21"/>
        </w:rPr>
        <w:t>月初，全面复习、考前突击记忆（快速提高多选题得分率）。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</w:p>
    <w:sectPr w:rsidR="00000000">
      <w:headerReference w:type="default" r:id="rId6"/>
      <w:footerReference w:type="default" r:id="rId7"/>
      <w:pgSz w:w="11907" w:h="16840"/>
      <w:pgMar w:top="1304" w:right="1134" w:bottom="1304" w:left="1134" w:header="425" w:footer="709" w:gutter="0"/>
      <w:cols w:space="425"/>
      <w:docGrid w:type="lines"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0000" w:rsidRDefault="00353F6F">
      <w:pPr>
        <w:rPr>
          <w:color w:val="000000"/>
        </w:rPr>
      </w:pPr>
      <w:r>
        <w:rPr>
          <w:color w:val="000000"/>
        </w:rPr>
        <w:separator/>
      </w:r>
    </w:p>
  </w:endnote>
  <w:endnote w:type="continuationSeparator" w:id="1">
    <w:p w:rsidR="00000000" w:rsidRDefault="00353F6F">
      <w:pPr>
        <w:rPr>
          <w:color w:val="000000"/>
        </w:rPr>
      </w:pPr>
      <w:r>
        <w:rPr>
          <w:color w:val="000000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353F6F">
    <w:pPr>
      <w:pStyle w:val="aa"/>
      <w:rPr>
        <w:rFonts w:ascii="Arial Unicode MS" w:hAnsi="Arial Unicode MS" w:cs="Arial Unicode MS"/>
        <w:b/>
        <w:bCs/>
        <w:color w:val="000000"/>
        <w:sz w:val="24"/>
      </w:rPr>
    </w:pPr>
    <w:r>
      <w:rPr>
        <w:rFonts w:ascii="Arial Unicode MS" w:hAnsi="Arial Unicode MS" w:cs="Arial Unicode MS"/>
        <w:b/>
        <w:noProof/>
        <w:color w:val="000000"/>
        <w:sz w:val="24"/>
      </w:rPr>
      <w:drawing>
        <wp:inline distT="0" distB="0" distL="0" distR="0">
          <wp:extent cx="1790700" cy="161925"/>
          <wp:effectExtent l="19050" t="0" r="0" b="0"/>
          <wp:docPr id="1" name="图片 2" descr="chinaacc_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chinaacc_foote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161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Arial Unicode MS" w:hAnsi="Arial Unicode MS" w:cs="Arial Unicode MS" w:hint="eastAsia"/>
        <w:b/>
        <w:bCs/>
        <w:color w:val="000000"/>
        <w:sz w:val="24"/>
      </w:rPr>
      <w:t xml:space="preserve">　　　　　</w:t>
    </w:r>
    <w:r>
      <w:rPr>
        <w:rFonts w:ascii="Arial Unicode MS" w:hAnsi="Arial Unicode MS" w:cs="Arial Unicode MS" w:hint="eastAsia"/>
        <w:b/>
        <w:bCs/>
        <w:color w:val="000000"/>
        <w:sz w:val="24"/>
      </w:rPr>
      <w:t xml:space="preserve">                                                                 </w:t>
    </w:r>
    <w:r>
      <w:rPr>
        <w:rFonts w:ascii="Arial Unicode MS" w:hAnsi="Arial Unicode MS" w:cs="Arial Unicode MS" w:hint="eastAsia"/>
        <w:color w:val="000000"/>
      </w:rPr>
      <w:t>第</w:t>
    </w:r>
    <w:r>
      <w:rPr>
        <w:rStyle w:val="af5"/>
        <w:color w:val="000000"/>
      </w:rPr>
      <w:fldChar w:fldCharType="begin"/>
    </w:r>
    <w:r>
      <w:rPr>
        <w:rStyle w:val="af5"/>
        <w:color w:val="000000"/>
      </w:rPr>
      <w:instrText xml:space="preserve"> PAGE </w:instrText>
    </w:r>
    <w:r>
      <w:rPr>
        <w:rStyle w:val="af5"/>
        <w:color w:val="000000"/>
      </w:rPr>
      <w:fldChar w:fldCharType="separate"/>
    </w:r>
    <w:r>
      <w:rPr>
        <w:rStyle w:val="af5"/>
        <w:noProof/>
        <w:color w:val="000000"/>
      </w:rPr>
      <w:t>1</w:t>
    </w:r>
    <w:r>
      <w:rPr>
        <w:rStyle w:val="af5"/>
        <w:color w:val="000000"/>
      </w:rPr>
      <w:fldChar w:fldCharType="end"/>
    </w:r>
    <w:r>
      <w:rPr>
        <w:rStyle w:val="af5"/>
        <w:rFonts w:hint="eastAsia"/>
        <w:color w:val="000000"/>
      </w:rPr>
      <w:t>页</w:t>
    </w:r>
  </w:p>
  <w:p>
    <w:pPr>
      <w:jc w:val="center"/>
    </w:pPr>
    <w:r>
      <w:rPr>
        <w:sz w:val="2"/>
        <w:color w:val="FFFFFF"/>
        <w:strike w:val="on"/>
      </w:rPr>
      <w:t>#DownID#:71544552 #Time#:1781153898940#Type#:file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0000" w:rsidRDefault="00353F6F">
      <w:pPr>
        <w:rPr>
          <w:color w:val="000000"/>
        </w:rPr>
      </w:pPr>
      <w:r>
        <w:rPr>
          <w:color w:val="000000"/>
        </w:rPr>
        <w:separator/>
      </w:r>
    </w:p>
  </w:footnote>
  <w:footnote w:type="continuationSeparator" w:id="1">
    <w:p w:rsidR="00000000" w:rsidRDefault="00353F6F">
      <w:pPr>
        <w:rPr>
          <w:color w:val="000000"/>
        </w:rPr>
      </w:pPr>
      <w:r>
        <w:rPr>
          <w:color w:val="000000"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353F6F" w:rsidP="00353F6F">
    <w:pPr>
      <w:pStyle w:val="a9"/>
      <w:tabs>
        <w:tab w:val="clear" w:pos="4153"/>
        <w:tab w:val="clear" w:pos="8306"/>
        <w:tab w:val="center" w:pos="4819"/>
        <w:tab w:val="right" w:pos="9639"/>
      </w:tabs>
      <w:spacing w:beforeLines="100"/>
      <w:jc w:val="both"/>
      <w:rPr>
        <w:color w:val="000000"/>
      </w:rPr>
    </w:pPr>
    <w:r>
      <w:rPr>
        <w:rFonts w:ascii="楷体" w:eastAsia="楷体" w:hAnsi="楷体" w:hint="eastAsia"/>
        <w:b/>
        <w:bCs/>
        <w:color w:val="000000"/>
        <w:sz w:val="21"/>
        <w:szCs w:val="21"/>
      </w:rPr>
      <w:t>税务师《涉税服务实务》　　　　　　　　　　　　　　　　　　　　　　　　　　　　　　　　前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 xml:space="preserve"> 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>言</w:t>
    </w:r>
    <w:r>
      <w:rPr>
        <w:color w:val="000000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defaultTabStop w:val="420"/>
  <w:characterSpacingControl w:val="compressPunctuation"/>
  <w:hdrShapeDefaults>
    <o:shapedefaults v:ext="edit" spidmax="14337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353F6F"/>
    <w:rsid w:val="00353F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9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Body Text" w:uiPriority="99"/>
    <w:lsdException w:name="Message Header" w:uiPriority="99"/>
    <w:lsdException w:name="Subtitle" w:qFormat="1"/>
    <w:lsdException w:name="Hyperlink" w:uiPriority="99"/>
    <w:lsdException w:name="FollowedHyperlink" w:uiPriority="99"/>
    <w:lsdException w:name="Strong" w:qFormat="1"/>
    <w:lsdException w:name="Emphasis" w:uiPriority="20" w:qFormat="1"/>
    <w:lsdException w:name="Plain Text" w:uiPriority="99"/>
    <w:lsdException w:name="Normal (Web)" w:uiPriority="99"/>
    <w:lsdException w:name="annotation subject" w:uiPriority="99"/>
    <w:lsdException w:name="Balloon Text" w:uiPriority="99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widowControl w:val="0"/>
      <w:spacing w:before="340" w:after="330" w:line="576" w:lineRule="auto"/>
      <w:jc w:val="both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rFonts w:ascii="宋体" w:hAnsi="宋体" w:cs="宋体"/>
      <w:b/>
      <w:bCs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rFonts w:ascii="宋体" w:hAnsi="宋体" w:cs="宋体"/>
      <w:b/>
      <w:bCs/>
    </w:rPr>
  </w:style>
  <w:style w:type="paragraph" w:styleId="4">
    <w:name w:val="heading 4"/>
    <w:basedOn w:val="a"/>
    <w:link w:val="4Char"/>
    <w:uiPriority w:val="9"/>
    <w:qFormat/>
    <w:pPr>
      <w:spacing w:before="100" w:beforeAutospacing="1" w:after="100" w:afterAutospacing="1"/>
      <w:outlineLvl w:val="3"/>
    </w:pPr>
    <w:rPr>
      <w:rFonts w:ascii="宋体" w:hAnsi="宋体" w:cs="宋体"/>
      <w:b/>
      <w:bCs/>
    </w:rPr>
  </w:style>
  <w:style w:type="paragraph" w:styleId="5">
    <w:name w:val="heading 5"/>
    <w:basedOn w:val="a"/>
    <w:link w:val="5Char"/>
    <w:uiPriority w:val="9"/>
    <w:qFormat/>
    <w:pPr>
      <w:spacing w:before="100" w:beforeAutospacing="1" w:after="100" w:afterAutospacing="1"/>
      <w:outlineLvl w:val="4"/>
    </w:pPr>
    <w:rPr>
      <w:rFonts w:ascii="宋体" w:hAnsi="宋体" w:cs="宋体"/>
      <w:b/>
      <w:bCs/>
    </w:rPr>
  </w:style>
  <w:style w:type="paragraph" w:styleId="6">
    <w:name w:val="heading 6"/>
    <w:basedOn w:val="a"/>
    <w:link w:val="6Char"/>
    <w:uiPriority w:val="9"/>
    <w:qFormat/>
    <w:pPr>
      <w:spacing w:before="100" w:beforeAutospacing="1" w:after="100" w:afterAutospacing="1"/>
      <w:outlineLvl w:val="5"/>
    </w:pPr>
    <w:rPr>
      <w:rFonts w:ascii="宋体" w:hAnsi="宋体" w:cs="宋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FF"/>
      <w:u w:val="single"/>
    </w:rPr>
  </w:style>
  <w:style w:type="character" w:styleId="a4">
    <w:name w:val="FollowedHyperlink"/>
    <w:basedOn w:val="a0"/>
    <w:uiPriority w:val="99"/>
    <w:rPr>
      <w:color w:val="800080" w:themeColor="followedHyperlink"/>
      <w:u w:val="single"/>
    </w:rPr>
  </w:style>
  <w:style w:type="paragraph" w:styleId="HTML">
    <w:name w:val="HTML Address"/>
    <w:basedOn w:val="a"/>
    <w:link w:val="HTMLChar"/>
    <w:rPr>
      <w:rFonts w:ascii="宋体" w:hAnsi="宋体" w:cs="宋体"/>
    </w:rPr>
  </w:style>
  <w:style w:type="character" w:customStyle="1" w:styleId="HTMLChar">
    <w:name w:val="HTML 地址 Char"/>
    <w:basedOn w:val="a0"/>
    <w:link w:val="HTML"/>
    <w:locked/>
    <w:rPr>
      <w:i/>
      <w:iCs/>
      <w:sz w:val="24"/>
      <w:szCs w:val="24"/>
    </w:rPr>
  </w:style>
  <w:style w:type="character" w:styleId="HTML0">
    <w:name w:val="HTML Cite"/>
    <w:basedOn w:val="a0"/>
    <w:rPr>
      <w:b w:val="0"/>
      <w:bCs w:val="0"/>
      <w:i w:val="0"/>
      <w:iCs w:val="0"/>
    </w:rPr>
  </w:style>
  <w:style w:type="character" w:styleId="HTML1">
    <w:name w:val="HTML Code"/>
    <w:basedOn w:val="a0"/>
    <w:rPr>
      <w:rFonts w:ascii="宋体" w:eastAsia="宋体" w:hAnsi="宋体" w:cs="宋体" w:hint="eastAsia"/>
      <w:b w:val="0"/>
      <w:bCs w:val="0"/>
      <w:i w:val="0"/>
      <w:iCs w:val="0"/>
      <w:sz w:val="24"/>
      <w:szCs w:val="24"/>
    </w:rPr>
  </w:style>
  <w:style w:type="character" w:styleId="HTML2">
    <w:name w:val="HTML Definition"/>
    <w:basedOn w:val="a0"/>
    <w:rPr>
      <w:b w:val="0"/>
      <w:bCs w:val="0"/>
      <w:i w:val="0"/>
      <w:iCs w:val="0"/>
    </w:rPr>
  </w:style>
  <w:style w:type="character" w:styleId="a5">
    <w:name w:val="Emphasis"/>
    <w:basedOn w:val="a0"/>
    <w:uiPriority w:val="20"/>
    <w:qFormat/>
    <w:rPr>
      <w:b w:val="0"/>
      <w:bCs w:val="0"/>
      <w:i w:val="0"/>
      <w:iCs w:val="0"/>
    </w:rPr>
  </w:style>
  <w:style w:type="character" w:customStyle="1" w:styleId="1Char">
    <w:name w:val="标题 1 Char"/>
    <w:basedOn w:val="a0"/>
    <w:link w:val="1"/>
    <w:uiPriority w:val="9"/>
    <w:locked/>
    <w:rPr>
      <w:rFonts w:ascii="宋体" w:eastAsia="宋体" w:hAnsi="宋体" w:hint="eastAsia"/>
      <w:b/>
      <w:bCs/>
      <w:kern w:val="44"/>
      <w:sz w:val="44"/>
      <w:szCs w:val="44"/>
      <w:lang w:val="en-US" w:eastAsia="zh-CN" w:bidi="ar-SA"/>
    </w:rPr>
  </w:style>
  <w:style w:type="character" w:customStyle="1" w:styleId="2Char">
    <w:name w:val="标题 2 Char"/>
    <w:basedOn w:val="a0"/>
    <w:link w:val="2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3Char">
    <w:name w:val="标题 3 Char"/>
    <w:basedOn w:val="a0"/>
    <w:link w:val="3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4Char">
    <w:name w:val="标题 4 Char"/>
    <w:basedOn w:val="a0"/>
    <w:link w:val="4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5Char">
    <w:name w:val="标题 5 Char"/>
    <w:basedOn w:val="a0"/>
    <w:link w:val="5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6Char">
    <w:name w:val="标题 6 Char"/>
    <w:basedOn w:val="a0"/>
    <w:link w:val="6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paragraph" w:styleId="HTML3">
    <w:name w:val="HTML Preformatted"/>
    <w:basedOn w:val="a"/>
    <w:link w:val="HTMLChar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</w:rPr>
  </w:style>
  <w:style w:type="character" w:customStyle="1" w:styleId="HTMLChar0">
    <w:name w:val="HTML 预设格式 Char"/>
    <w:basedOn w:val="a0"/>
    <w:link w:val="HTML3"/>
    <w:locked/>
    <w:rPr>
      <w:rFonts w:ascii="Courier New" w:hAnsi="Courier New" w:cs="Courier New" w:hint="default"/>
    </w:rPr>
  </w:style>
  <w:style w:type="character" w:styleId="a6">
    <w:name w:val="Strong"/>
    <w:basedOn w:val="a0"/>
    <w:qFormat/>
    <w:rPr>
      <w:b/>
      <w:bCs/>
    </w:rPr>
  </w:style>
  <w:style w:type="character" w:styleId="HTML4">
    <w:name w:val="HTML Variable"/>
    <w:basedOn w:val="a0"/>
    <w:rPr>
      <w:b w:val="0"/>
      <w:bCs w:val="0"/>
      <w:i w:val="0"/>
      <w:iCs w:val="0"/>
    </w:rPr>
  </w:style>
  <w:style w:type="paragraph" w:styleId="a7">
    <w:name w:val="Normal (Web)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styleId="10">
    <w:name w:val="toc 1"/>
    <w:basedOn w:val="a"/>
    <w:next w:val="a"/>
    <w:autoRedefine/>
    <w:uiPriority w:val="99"/>
    <w:semiHidden/>
    <w:rPr>
      <w:b/>
    </w:rPr>
  </w:style>
  <w:style w:type="paragraph" w:styleId="a8">
    <w:name w:val="annotation text"/>
    <w:basedOn w:val="a"/>
    <w:link w:val="Char"/>
    <w:uiPriority w:val="99"/>
    <w:semiHidden/>
    <w:pPr>
      <w:widowControl w:val="0"/>
    </w:pPr>
    <w:rPr>
      <w:kern w:val="2"/>
      <w:sz w:val="21"/>
    </w:rPr>
  </w:style>
  <w:style w:type="character" w:customStyle="1" w:styleId="Char">
    <w:name w:val="批注文字 Char"/>
    <w:basedOn w:val="a0"/>
    <w:link w:val="a8"/>
    <w:uiPriority w:val="99"/>
    <w:locked/>
    <w:rPr>
      <w:sz w:val="24"/>
      <w:szCs w:val="24"/>
    </w:rPr>
  </w:style>
  <w:style w:type="paragraph" w:styleId="a9">
    <w:name w:val="header"/>
    <w:basedOn w:val="a"/>
    <w:link w:val="Char0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9"/>
    <w:uiPriority w:val="99"/>
    <w:locked/>
    <w:rPr>
      <w:sz w:val="18"/>
      <w:szCs w:val="18"/>
    </w:rPr>
  </w:style>
  <w:style w:type="paragraph" w:styleId="aa">
    <w:name w:val="footer"/>
    <w:basedOn w:val="a"/>
    <w:link w:val="Char1"/>
    <w:uiPriority w:val="99"/>
    <w:pPr>
      <w:tabs>
        <w:tab w:val="center" w:pos="4153"/>
        <w:tab w:val="right" w:pos="8306"/>
      </w:tabs>
      <w:snapToGrid w:val="0"/>
      <w:spacing w:before="100" w:beforeAutospacing="1"/>
      <w:ind w:right="567"/>
      <w:jc w:val="right"/>
    </w:pPr>
    <w:rPr>
      <w:sz w:val="18"/>
      <w:szCs w:val="18"/>
    </w:rPr>
  </w:style>
  <w:style w:type="character" w:customStyle="1" w:styleId="Char1">
    <w:name w:val="页脚 Char"/>
    <w:basedOn w:val="a0"/>
    <w:link w:val="aa"/>
    <w:uiPriority w:val="99"/>
    <w:locked/>
    <w:rPr>
      <w:sz w:val="18"/>
      <w:szCs w:val="18"/>
    </w:rPr>
  </w:style>
  <w:style w:type="paragraph" w:styleId="ab">
    <w:name w:val="Body Text"/>
    <w:basedOn w:val="a"/>
    <w:link w:val="Char2"/>
    <w:uiPriority w:val="99"/>
    <w:pPr>
      <w:widowControl w:val="0"/>
      <w:jc w:val="both"/>
    </w:pPr>
    <w:rPr>
      <w:kern w:val="2"/>
      <w:sz w:val="18"/>
    </w:rPr>
  </w:style>
  <w:style w:type="character" w:customStyle="1" w:styleId="Char2">
    <w:name w:val="正文文本 Char"/>
    <w:basedOn w:val="a0"/>
    <w:link w:val="ab"/>
    <w:uiPriority w:val="99"/>
    <w:locked/>
    <w:rPr>
      <w:sz w:val="24"/>
      <w:szCs w:val="24"/>
    </w:rPr>
  </w:style>
  <w:style w:type="paragraph" w:styleId="ac">
    <w:name w:val="Message Header"/>
    <w:basedOn w:val="a"/>
    <w:link w:val="Char3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character" w:customStyle="1" w:styleId="Char3">
    <w:name w:val="信息标题 Char"/>
    <w:basedOn w:val="a0"/>
    <w:link w:val="ac"/>
    <w:uiPriority w:val="99"/>
    <w:locked/>
    <w:rPr>
      <w:rFonts w:asciiTheme="majorHAnsi" w:eastAsiaTheme="majorEastAsia" w:hAnsiTheme="majorHAnsi" w:cstheme="majorBidi" w:hint="default"/>
      <w:sz w:val="24"/>
      <w:szCs w:val="24"/>
      <w:shd w:val="pct20" w:color="auto" w:fill="auto"/>
    </w:rPr>
  </w:style>
  <w:style w:type="character" w:customStyle="1" w:styleId="Char4">
    <w:name w:val="纯文本 Char"/>
    <w:aliases w:val="Char Char,普通文字 Char Char Char1,Ch= ar Char Char Char Char Char1,Char Char Char Char Char1,Char Char Char Char2,普通٘= 7字 Char Char1"/>
    <w:basedOn w:val="a0"/>
    <w:link w:val="ad"/>
    <w:locked/>
    <w:rPr>
      <w:rFonts w:ascii="宋体" w:eastAsia="宋体" w:hAnsi="Courier New" w:cs="Courier New" w:hint="eastAsia"/>
      <w:sz w:val="21"/>
      <w:szCs w:val="21"/>
    </w:rPr>
  </w:style>
  <w:style w:type="paragraph" w:styleId="ad">
    <w:name w:val="Plain Text"/>
    <w:aliases w:val="Char,普通文字 Char Char,Ch= ar Char Char Char Char,Char Char Char Char,Char Char Char,普通٘= 7字 Char"/>
    <w:basedOn w:val="a"/>
    <w:link w:val="Char4"/>
    <w:uiPriority w:val="99"/>
    <w:pPr>
      <w:widowControl w:val="0"/>
      <w:jc w:val="both"/>
    </w:pPr>
    <w:rPr>
      <w:rFonts w:ascii="宋体" w:hAnsi="Courier New"/>
      <w:kern w:val="2"/>
      <w:sz w:val="21"/>
      <w:szCs w:val="21"/>
    </w:rPr>
  </w:style>
  <w:style w:type="character" w:customStyle="1" w:styleId="Char10">
    <w:name w:val="纯文本 Char1"/>
    <w:aliases w:val="Char Char1,普通文字 Char Char Char,Ch= ar Char Char Char Char Char,Char Char Char Char Char,Char Char Char Char1,普通٘= 7字 Char Char"/>
    <w:basedOn w:val="a0"/>
    <w:link w:val="ad"/>
    <w:uiPriority w:val="99"/>
    <w:locked/>
    <w:rPr>
      <w:rFonts w:ascii="宋体" w:eastAsia="宋体" w:hAnsi="Courier New" w:cs="Courier New" w:hint="eastAsia"/>
      <w:sz w:val="21"/>
      <w:szCs w:val="21"/>
    </w:rPr>
  </w:style>
  <w:style w:type="paragraph" w:styleId="ae">
    <w:name w:val="annotation subject"/>
    <w:basedOn w:val="a8"/>
    <w:next w:val="a8"/>
    <w:link w:val="Char5"/>
    <w:uiPriority w:val="99"/>
    <w:semiHidden/>
    <w:pPr>
      <w:widowControl/>
    </w:pPr>
    <w:rPr>
      <w:b/>
      <w:bCs/>
      <w:kern w:val="0"/>
      <w:sz w:val="24"/>
    </w:rPr>
  </w:style>
  <w:style w:type="character" w:customStyle="1" w:styleId="Char5">
    <w:name w:val="批注主题 Char"/>
    <w:basedOn w:val="Char"/>
    <w:link w:val="ae"/>
    <w:uiPriority w:val="99"/>
    <w:locked/>
    <w:rPr>
      <w:b/>
      <w:bCs/>
    </w:rPr>
  </w:style>
  <w:style w:type="paragraph" w:styleId="af">
    <w:name w:val="Balloon Text"/>
    <w:basedOn w:val="a"/>
    <w:link w:val="Char6"/>
    <w:uiPriority w:val="99"/>
    <w:semiHidden/>
    <w:rPr>
      <w:sz w:val="18"/>
      <w:szCs w:val="18"/>
    </w:rPr>
  </w:style>
  <w:style w:type="character" w:customStyle="1" w:styleId="Char6">
    <w:name w:val="批注框文本 Char"/>
    <w:basedOn w:val="a0"/>
    <w:link w:val="af"/>
    <w:uiPriority w:val="99"/>
    <w:locked/>
    <w:rPr>
      <w:sz w:val="18"/>
      <w:szCs w:val="18"/>
    </w:rPr>
  </w:style>
  <w:style w:type="paragraph" w:customStyle="1" w:styleId="100">
    <w:name w:val="样式10"/>
    <w:basedOn w:val="ac"/>
    <w:next w:val="a"/>
    <w:autoRedefine/>
    <w:uiPriority w:val="99"/>
    <w:pPr>
      <w:jc w:val="center"/>
    </w:pPr>
    <w:rPr>
      <w:bCs/>
      <w:kern w:val="44"/>
      <w:sz w:val="28"/>
    </w:rPr>
  </w:style>
  <w:style w:type="paragraph" w:customStyle="1" w:styleId="af0">
    <w:name w:val="表头"/>
    <w:basedOn w:val="a"/>
    <w:autoRedefine/>
    <w:uiPriority w:val="99"/>
    <w:pPr>
      <w:widowControl w:val="0"/>
      <w:spacing w:beforeLines="50" w:line="0" w:lineRule="atLeast"/>
      <w:jc w:val="both"/>
    </w:pPr>
    <w:rPr>
      <w:rFonts w:ascii="宋体" w:hAnsi="宋体"/>
      <w:kern w:val="2"/>
      <w:sz w:val="18"/>
    </w:rPr>
  </w:style>
  <w:style w:type="paragraph" w:customStyle="1" w:styleId="af1">
    <w:name w:val="简单回函地址"/>
    <w:basedOn w:val="a"/>
    <w:uiPriority w:val="99"/>
    <w:pPr>
      <w:widowControl w:val="0"/>
      <w:jc w:val="both"/>
    </w:pPr>
    <w:rPr>
      <w:kern w:val="2"/>
      <w:sz w:val="21"/>
    </w:rPr>
  </w:style>
  <w:style w:type="paragraph" w:customStyle="1" w:styleId="af2">
    <w:name w:val="图表"/>
    <w:basedOn w:val="a"/>
    <w:autoRedefine/>
    <w:uiPriority w:val="99"/>
    <w:pPr>
      <w:widowControl w:val="0"/>
      <w:spacing w:beforeLines="50"/>
      <w:jc w:val="both"/>
    </w:pPr>
    <w:rPr>
      <w:rFonts w:ascii="宋体" w:hAnsi="宋体"/>
      <w:sz w:val="21"/>
      <w:szCs w:val="21"/>
    </w:rPr>
  </w:style>
  <w:style w:type="paragraph" w:customStyle="1" w:styleId="font14zd">
    <w:name w:val="font14zd"/>
    <w:basedOn w:val="a"/>
    <w:uiPriority w:val="99"/>
    <w:pPr>
      <w:pBdr>
        <w:bottom w:val="double" w:sz="6" w:space="0" w:color="000000"/>
      </w:pBdr>
      <w:spacing w:before="100" w:beforeAutospacing="1" w:after="100" w:afterAutospacing="1"/>
    </w:pPr>
    <w:rPr>
      <w:rFonts w:ascii="宋体" w:hAnsi="宋体" w:cs="宋体"/>
      <w:b/>
      <w:bCs/>
      <w:color w:val="B30101"/>
      <w:u w:val="single"/>
    </w:rPr>
  </w:style>
  <w:style w:type="paragraph" w:customStyle="1" w:styleId="font14jqkt">
    <w:name w:val="font14jqkt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7F7F7F"/>
      <w:sz w:val="21"/>
      <w:szCs w:val="21"/>
    </w:rPr>
  </w:style>
  <w:style w:type="paragraph" w:customStyle="1" w:styleId="open3">
    <w:name w:val="open3"/>
    <w:basedOn w:val="a"/>
    <w:uiPriority w:val="99"/>
    <w:pPr>
      <w:pBdr>
        <w:bottom w:val="single" w:sz="6" w:space="5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downloadbiaoge1">
    <w:name w:val="downloadbiaoge1"/>
    <w:basedOn w:val="a"/>
    <w:uiPriority w:val="99"/>
    <w:pPr>
      <w:pBdr>
        <w:left w:val="single" w:sz="6" w:space="0" w:color="F9C76F"/>
      </w:pBdr>
      <w:shd w:val="clear" w:color="auto" w:fill="FFFFFF"/>
    </w:pPr>
    <w:rPr>
      <w:rFonts w:ascii="宋体" w:hAnsi="宋体" w:cs="宋体"/>
    </w:rPr>
  </w:style>
  <w:style w:type="paragraph" w:customStyle="1" w:styleId="close2">
    <w:name w:val="close2"/>
    <w:basedOn w:val="a"/>
    <w:uiPriority w:val="99"/>
    <w:pPr>
      <w:pBdr>
        <w:bottom w:val="single" w:sz="6" w:space="0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open2">
    <w:name w:val="open2"/>
    <w:basedOn w:val="a"/>
    <w:uiPriority w:val="99"/>
    <w:pPr>
      <w:pBdr>
        <w:bottom w:val="single" w:sz="6" w:space="6" w:color="F9C76F"/>
      </w:pBdr>
      <w:shd w:val="clear" w:color="auto" w:fill="FFFBEC"/>
      <w:spacing w:before="100" w:beforeAutospacing="1" w:after="100" w:afterAutospacing="1"/>
    </w:pPr>
    <w:rPr>
      <w:rFonts w:ascii="宋体" w:hAnsi="宋体" w:cs="宋体"/>
    </w:rPr>
  </w:style>
  <w:style w:type="paragraph" w:customStyle="1" w:styleId="open1">
    <w:name w:val="open1"/>
    <w:basedOn w:val="a"/>
    <w:uiPriority w:val="99"/>
    <w:pPr>
      <w:pBdr>
        <w:bottom w:val="single" w:sz="6" w:space="6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biaoge1">
    <w:name w:val="biaoge1"/>
    <w:basedOn w:val="a"/>
    <w:uiPriority w:val="99"/>
    <w:pPr>
      <w:pBdr>
        <w:top w:val="single" w:sz="6" w:space="0" w:color="F9C76F"/>
        <w:left w:val="single" w:sz="6" w:space="0" w:color="F9C76F"/>
      </w:pBdr>
    </w:pPr>
    <w:rPr>
      <w:rFonts w:ascii="宋体" w:hAnsi="宋体" w:cs="宋体"/>
    </w:rPr>
  </w:style>
  <w:style w:type="paragraph" w:customStyle="1" w:styleId="xl1">
    <w:name w:val="xl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layout">
    <w:name w:val="layout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an">
    <w:name w:val="an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container">
    <w:name w:val="course_container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font1417">
    <w:name w:val="font1417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000000"/>
      <w:sz w:val="21"/>
      <w:szCs w:val="21"/>
    </w:rPr>
  </w:style>
  <w:style w:type="paragraph" w:customStyle="1" w:styleId="font1415">
    <w:name w:val="font1415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000000"/>
      <w:sz w:val="21"/>
      <w:szCs w:val="21"/>
    </w:rPr>
  </w:style>
  <w:style w:type="paragraph" w:customStyle="1" w:styleId="double">
    <w:name w:val="double"/>
    <w:basedOn w:val="a"/>
    <w:uiPriority w:val="99"/>
    <w:pPr>
      <w:pBdr>
        <w:bottom w:val="double" w:sz="6" w:space="0" w:color="000000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itle">
    <w:name w:val="title"/>
    <w:basedOn w:val="a"/>
    <w:uiPriority w:val="99"/>
    <w:pPr>
      <w:pBdr>
        <w:bottom w:val="single" w:sz="6" w:space="0" w:color="DDDDDD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tab">
    <w:name w:val="course_tab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yask">
    <w:name w:val="myask"/>
    <w:basedOn w:val="a"/>
    <w:uiPriority w:val="99"/>
    <w:pPr>
      <w:spacing w:before="375" w:after="100" w:afterAutospacing="1" w:line="330" w:lineRule="atLeast"/>
      <w:ind w:right="225"/>
    </w:pPr>
    <w:rPr>
      <w:rFonts w:ascii="宋体" w:hAnsi="宋体" w:cs="宋体"/>
      <w:color w:val="999999"/>
      <w:sz w:val="21"/>
      <w:szCs w:val="21"/>
    </w:rPr>
  </w:style>
  <w:style w:type="paragraph" w:customStyle="1" w:styleId="tip">
    <w:name w:val="tip"/>
    <w:basedOn w:val="a"/>
    <w:uiPriority w:val="99"/>
    <w:rPr>
      <w:rFonts w:ascii="宋体" w:hAnsi="宋体" w:cs="宋体"/>
    </w:rPr>
  </w:style>
  <w:style w:type="paragraph" w:customStyle="1" w:styleId="tabwrap">
    <w:name w:val="tabwrap"/>
    <w:basedOn w:val="a"/>
    <w:uiPriority w:val="99"/>
    <w:rPr>
      <w:rFonts w:ascii="宋体" w:hAnsi="宋体" w:cs="宋体"/>
      <w:vanish/>
    </w:rPr>
  </w:style>
  <w:style w:type="paragraph" w:customStyle="1" w:styleId="tabshow">
    <w:name w:val="tabshow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emodiv">
    <w:name w:val="memodiv"/>
    <w:basedOn w:val="a"/>
    <w:uiPriority w:val="99"/>
    <w:pPr>
      <w:spacing w:before="100" w:beforeAutospacing="1" w:after="150"/>
    </w:pPr>
    <w:rPr>
      <w:rFonts w:ascii="宋体" w:hAnsi="宋体" w:cs="宋体"/>
    </w:rPr>
  </w:style>
  <w:style w:type="paragraph" w:customStyle="1" w:styleId="curlecture">
    <w:name w:val="curlecture"/>
    <w:basedOn w:val="a"/>
    <w:uiPriority w:val="99"/>
    <w:pPr>
      <w:pBdr>
        <w:top w:val="dashed" w:sz="12" w:space="0" w:color="3D81E5"/>
        <w:left w:val="dashed" w:sz="12" w:space="0" w:color="3D81E5"/>
        <w:bottom w:val="dashed" w:sz="12" w:space="0" w:color="3D81E5"/>
        <w:right w:val="dashed" w:sz="12" w:space="0" w:color="3D81E5"/>
      </w:pBdr>
      <w:shd w:val="clear" w:color="auto" w:fill="FFFEE2"/>
      <w:spacing w:before="100" w:beforeAutospacing="1" w:after="100" w:afterAutospacing="1"/>
    </w:pPr>
    <w:rPr>
      <w:rFonts w:ascii="宋体" w:hAnsi="宋体" w:cs="宋体"/>
    </w:rPr>
  </w:style>
  <w:style w:type="paragraph" w:customStyle="1" w:styleId="tit">
    <w:name w:val="tit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con">
    <w:name w:val="con"/>
    <w:basedOn w:val="a"/>
    <w:uiPriority w:val="99"/>
    <w:pPr>
      <w:pBdr>
        <w:top w:val="single" w:sz="2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FFFFFF"/>
      <w:spacing w:before="100" w:beforeAutospacing="1" w:after="100" w:afterAutospacing="1"/>
    </w:pPr>
    <w:rPr>
      <w:rFonts w:ascii="宋体" w:hAnsi="宋体" w:cs="宋体"/>
    </w:rPr>
  </w:style>
  <w:style w:type="paragraph" w:customStyle="1" w:styleId="tipnull">
    <w:name w:val="tip_null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t1">
    <w:name w:val="t1"/>
    <w:basedOn w:val="a"/>
    <w:uiPriority w:val="99"/>
    <w:pPr>
      <w:pBdr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2">
    <w:name w:val="t2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ore">
    <w:name w:val="more"/>
    <w:basedOn w:val="a"/>
    <w:uiPriority w:val="99"/>
    <w:pPr>
      <w:spacing w:before="100" w:beforeAutospacing="1" w:after="100" w:afterAutospacing="1"/>
      <w:jc w:val="center"/>
    </w:pPr>
    <w:rPr>
      <w:rFonts w:ascii="宋体" w:hAnsi="宋体" w:cs="宋体"/>
    </w:rPr>
  </w:style>
  <w:style w:type="paragraph" w:customStyle="1" w:styleId="print">
    <w:name w:val="print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333333"/>
    </w:rPr>
  </w:style>
  <w:style w:type="paragraph" w:customStyle="1" w:styleId="i1">
    <w:name w:val="i1"/>
    <w:basedOn w:val="a"/>
    <w:uiPriority w:val="99"/>
    <w:pPr>
      <w:ind w:right="150"/>
      <w:textAlignment w:val="center"/>
    </w:pPr>
    <w:rPr>
      <w:rFonts w:ascii="宋体" w:hAnsi="宋体" w:cs="宋体"/>
    </w:rPr>
  </w:style>
  <w:style w:type="paragraph" w:customStyle="1" w:styleId="fontsize">
    <w:name w:val="fontsize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answer">
    <w:name w:val="answer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handoutlist">
    <w:name w:val="handoutlist"/>
    <w:basedOn w:val="a"/>
    <w:uiPriority w:val="99"/>
    <w:pPr>
      <w:spacing w:before="100" w:beforeAutospacing="1" w:after="100" w:afterAutospacing="1"/>
    </w:pPr>
    <w:rPr>
      <w:rFonts w:ascii="宋体" w:hAnsi="宋体" w:cs="宋体"/>
      <w:sz w:val="21"/>
      <w:szCs w:val="21"/>
    </w:rPr>
  </w:style>
  <w:style w:type="paragraph" w:customStyle="1" w:styleId="cur">
    <w:name w:val="cur"/>
    <w:basedOn w:val="a"/>
    <w:uiPriority w:val="99"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layout1">
    <w:name w:val="layout1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title1">
    <w:name w:val="title1"/>
    <w:basedOn w:val="a"/>
    <w:uiPriority w:val="99"/>
    <w:pPr>
      <w:pBdr>
        <w:bottom w:val="single" w:sz="6" w:space="0" w:color="DDDDDD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tab1">
    <w:name w:val="course_tab1"/>
    <w:basedOn w:val="a"/>
    <w:uiPriority w:val="99"/>
    <w:pPr>
      <w:spacing w:before="330" w:after="100" w:afterAutospacing="1"/>
      <w:ind w:left="300"/>
    </w:pPr>
    <w:rPr>
      <w:rFonts w:ascii="宋体" w:hAnsi="宋体" w:cs="宋体"/>
    </w:rPr>
  </w:style>
  <w:style w:type="paragraph" w:customStyle="1" w:styleId="myask1">
    <w:name w:val="myask1"/>
    <w:basedOn w:val="a"/>
    <w:uiPriority w:val="99"/>
    <w:pPr>
      <w:spacing w:before="375" w:after="100" w:afterAutospacing="1" w:line="330" w:lineRule="atLeast"/>
      <w:ind w:right="225"/>
    </w:pPr>
    <w:rPr>
      <w:rFonts w:ascii="宋体" w:hAnsi="宋体" w:cs="宋体"/>
      <w:color w:val="999999"/>
      <w:sz w:val="21"/>
      <w:szCs w:val="21"/>
    </w:rPr>
  </w:style>
  <w:style w:type="paragraph" w:customStyle="1" w:styleId="tip1">
    <w:name w:val="tip1"/>
    <w:basedOn w:val="a"/>
    <w:uiPriority w:val="99"/>
    <w:rPr>
      <w:rFonts w:ascii="宋体" w:hAnsi="宋体" w:cs="宋体"/>
    </w:rPr>
  </w:style>
  <w:style w:type="paragraph" w:customStyle="1" w:styleId="tabwrap1">
    <w:name w:val="tabwrap1"/>
    <w:basedOn w:val="a"/>
    <w:uiPriority w:val="99"/>
    <w:rPr>
      <w:rFonts w:ascii="宋体" w:hAnsi="宋体" w:cs="宋体"/>
      <w:vanish/>
    </w:rPr>
  </w:style>
  <w:style w:type="paragraph" w:customStyle="1" w:styleId="tabshow1">
    <w:name w:val="tabshow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tipnull1">
    <w:name w:val="tip_null1"/>
    <w:basedOn w:val="a"/>
    <w:uiPriority w:val="99"/>
    <w:rPr>
      <w:rFonts w:ascii="宋体" w:hAnsi="宋体" w:cs="宋体"/>
    </w:rPr>
  </w:style>
  <w:style w:type="paragraph" w:customStyle="1" w:styleId="tipnull2">
    <w:name w:val="tip_null2"/>
    <w:basedOn w:val="a"/>
    <w:uiPriority w:val="99"/>
    <w:rPr>
      <w:rFonts w:ascii="宋体" w:hAnsi="宋体" w:cs="宋体"/>
    </w:rPr>
  </w:style>
  <w:style w:type="paragraph" w:customStyle="1" w:styleId="memodiv1">
    <w:name w:val="memodiv1"/>
    <w:basedOn w:val="a"/>
    <w:uiPriority w:val="99"/>
    <w:pPr>
      <w:spacing w:before="100" w:beforeAutospacing="1" w:after="150"/>
    </w:pPr>
    <w:rPr>
      <w:rFonts w:ascii="宋体" w:hAnsi="宋体" w:cs="宋体"/>
    </w:rPr>
  </w:style>
  <w:style w:type="paragraph" w:customStyle="1" w:styleId="curlecture1">
    <w:name w:val="curlecture1"/>
    <w:basedOn w:val="a"/>
    <w:uiPriority w:val="99"/>
    <w:pPr>
      <w:pBdr>
        <w:top w:val="dashed" w:sz="12" w:space="0" w:color="3D81E5"/>
        <w:left w:val="dashed" w:sz="12" w:space="0" w:color="3D81E5"/>
        <w:bottom w:val="dashed" w:sz="12" w:space="0" w:color="3D81E5"/>
        <w:right w:val="dashed" w:sz="12" w:space="0" w:color="3D81E5"/>
      </w:pBdr>
      <w:shd w:val="clear" w:color="auto" w:fill="FFFEE2"/>
      <w:spacing w:before="100" w:beforeAutospacing="1" w:after="100" w:afterAutospacing="1"/>
    </w:pPr>
    <w:rPr>
      <w:rFonts w:ascii="宋体" w:hAnsi="宋体" w:cs="宋体"/>
    </w:rPr>
  </w:style>
  <w:style w:type="paragraph" w:customStyle="1" w:styleId="tit1">
    <w:name w:val="tit1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t11">
    <w:name w:val="t11"/>
    <w:basedOn w:val="a"/>
    <w:uiPriority w:val="99"/>
    <w:pPr>
      <w:pBdr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22">
    <w:name w:val="t22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n1">
    <w:name w:val="con1"/>
    <w:basedOn w:val="a"/>
    <w:uiPriority w:val="99"/>
    <w:pPr>
      <w:pBdr>
        <w:top w:val="single" w:sz="2" w:space="0" w:color="BFDDF4"/>
        <w:left w:val="single" w:sz="6" w:space="0" w:color="BFDDF4"/>
        <w:bottom w:val="single" w:sz="2" w:space="0" w:color="BFDDF4"/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more1">
    <w:name w:val="more1"/>
    <w:basedOn w:val="a"/>
    <w:uiPriority w:val="99"/>
    <w:pPr>
      <w:spacing w:before="100" w:beforeAutospacing="1" w:after="100" w:afterAutospacing="1"/>
      <w:jc w:val="center"/>
    </w:pPr>
    <w:rPr>
      <w:rFonts w:ascii="宋体" w:hAnsi="宋体" w:cs="宋体"/>
    </w:rPr>
  </w:style>
  <w:style w:type="paragraph" w:customStyle="1" w:styleId="print1">
    <w:name w:val="print1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333333"/>
    </w:rPr>
  </w:style>
  <w:style w:type="paragraph" w:customStyle="1" w:styleId="i11">
    <w:name w:val="i11"/>
    <w:basedOn w:val="a"/>
    <w:uiPriority w:val="99"/>
    <w:pPr>
      <w:ind w:right="150"/>
    </w:pPr>
    <w:rPr>
      <w:rFonts w:ascii="宋体" w:hAnsi="宋体" w:cs="宋体"/>
    </w:rPr>
  </w:style>
  <w:style w:type="paragraph" w:customStyle="1" w:styleId="tit2">
    <w:name w:val="tit2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fontsize1">
    <w:name w:val="fontsize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ur1">
    <w:name w:val="cur1"/>
    <w:basedOn w:val="a"/>
    <w:uiPriority w:val="99"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answer1">
    <w:name w:val="answer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n2">
    <w:name w:val="con2"/>
    <w:basedOn w:val="a"/>
    <w:uiPriority w:val="99"/>
    <w:pPr>
      <w:pBdr>
        <w:top w:val="single" w:sz="2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FFFFFF"/>
      <w:spacing w:before="100" w:beforeAutospacing="1" w:after="100" w:afterAutospacing="1"/>
    </w:pPr>
    <w:rPr>
      <w:rFonts w:ascii="宋体" w:hAnsi="宋体" w:cs="宋体"/>
    </w:rPr>
  </w:style>
  <w:style w:type="paragraph" w:customStyle="1" w:styleId="handoutlist1">
    <w:name w:val="handoutlist1"/>
    <w:basedOn w:val="a"/>
    <w:uiPriority w:val="99"/>
    <w:pPr>
      <w:spacing w:before="100" w:beforeAutospacing="1" w:after="100" w:afterAutospacing="1"/>
    </w:pPr>
    <w:rPr>
      <w:rFonts w:ascii="宋体" w:hAnsi="宋体" w:cs="宋体"/>
      <w:sz w:val="21"/>
      <w:szCs w:val="21"/>
    </w:rPr>
  </w:style>
  <w:style w:type="paragraph" w:customStyle="1" w:styleId="fontkaiti">
    <w:name w:val="fontkaiti"/>
    <w:basedOn w:val="a"/>
    <w:uiPriority w:val="99"/>
    <w:pPr>
      <w:spacing w:before="100" w:beforeAutospacing="1" w:after="100" w:afterAutospacing="1"/>
    </w:pPr>
    <w:rPr>
      <w:rFonts w:ascii="楷体" w:eastAsia="楷体" w:hAnsi="楷体" w:cs="宋体"/>
      <w:sz w:val="23"/>
      <w:szCs w:val="23"/>
    </w:rPr>
  </w:style>
  <w:style w:type="paragraph" w:customStyle="1" w:styleId="tabth">
    <w:name w:val="tabth"/>
    <w:basedOn w:val="a"/>
    <w:uiPriority w:val="99"/>
    <w:pPr>
      <w:shd w:val="clear" w:color="auto" w:fill="D7D7D7"/>
      <w:spacing w:before="100" w:beforeAutospacing="1" w:after="100" w:afterAutospacing="1"/>
    </w:pPr>
    <w:rPr>
      <w:rFonts w:ascii="宋体" w:hAnsi="宋体" w:cs="宋体"/>
    </w:rPr>
  </w:style>
  <w:style w:type="paragraph" w:customStyle="1" w:styleId="barfont">
    <w:name w:val="barfont"/>
    <w:basedOn w:val="a"/>
    <w:uiPriority w:val="99"/>
    <w:pPr>
      <w:spacing w:before="300" w:after="300"/>
    </w:pPr>
    <w:rPr>
      <w:rFonts w:ascii="楷体" w:eastAsia="楷体" w:hAnsi="楷体" w:cs="宋体"/>
      <w:b/>
      <w:bCs/>
      <w:color w:val="00AAB2"/>
      <w:sz w:val="23"/>
      <w:szCs w:val="23"/>
    </w:rPr>
  </w:style>
  <w:style w:type="paragraph" w:customStyle="1" w:styleId="tablea">
    <w:name w:val="tablea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character" w:styleId="af3">
    <w:name w:val="annotation reference"/>
    <w:basedOn w:val="a0"/>
    <w:semiHidden/>
    <w:rPr>
      <w:sz w:val="21"/>
      <w:szCs w:val="21"/>
    </w:rPr>
  </w:style>
  <w:style w:type="character" w:customStyle="1" w:styleId="font14line-height">
    <w:name w:val="font14 line-height"/>
    <w:basedOn w:val="a0"/>
  </w:style>
  <w:style w:type="character" w:customStyle="1" w:styleId="f121">
    <w:name w:val="f121"/>
    <w:basedOn w:val="a0"/>
    <w:rPr>
      <w:sz w:val="15"/>
      <w:szCs w:val="15"/>
    </w:rPr>
  </w:style>
  <w:style w:type="character" w:customStyle="1" w:styleId="style1">
    <w:name w:val="style1"/>
    <w:basedOn w:val="a0"/>
  </w:style>
  <w:style w:type="character" w:customStyle="1" w:styleId="double1">
    <w:name w:val="double1"/>
    <w:basedOn w:val="a0"/>
  </w:style>
  <w:style w:type="character" w:customStyle="1" w:styleId="font141">
    <w:name w:val="font141"/>
    <w:basedOn w:val="a0"/>
    <w:rPr>
      <w:strike w:val="0"/>
      <w:dstrike w:val="0"/>
      <w:color w:val="000200"/>
      <w:sz w:val="21"/>
      <w:szCs w:val="21"/>
      <w:u w:val="none"/>
      <w:effect w:val="none"/>
    </w:rPr>
  </w:style>
  <w:style w:type="character" w:customStyle="1" w:styleId="font14151">
    <w:name w:val="font14151"/>
    <w:basedOn w:val="a0"/>
    <w:rPr>
      <w:strike w:val="0"/>
      <w:dstrike w:val="0"/>
      <w:color w:val="230D00"/>
      <w:u w:val="none"/>
      <w:effect w:val="none"/>
    </w:rPr>
  </w:style>
  <w:style w:type="character" w:customStyle="1" w:styleId="font14zd1">
    <w:name w:val="font14zd1"/>
    <w:basedOn w:val="a0"/>
    <w:rPr>
      <w:b/>
      <w:bCs/>
      <w:color w:val="B30101"/>
    </w:rPr>
  </w:style>
  <w:style w:type="character" w:customStyle="1" w:styleId="t21">
    <w:name w:val="t21"/>
    <w:basedOn w:val="a0"/>
  </w:style>
  <w:style w:type="character" w:customStyle="1" w:styleId="font14">
    <w:name w:val="font14"/>
    <w:basedOn w:val="a0"/>
  </w:style>
  <w:style w:type="character" w:customStyle="1" w:styleId="font14zd2">
    <w:name w:val="font14zd2"/>
    <w:basedOn w:val="a0"/>
    <w:rPr>
      <w:b/>
      <w:bCs/>
      <w:color w:val="A50021"/>
      <w:sz w:val="21"/>
      <w:szCs w:val="21"/>
      <w:u w:val="double"/>
    </w:rPr>
  </w:style>
  <w:style w:type="table" w:styleId="af4">
    <w:name w:val="Table Grid"/>
    <w:basedOn w:val="a1"/>
    <w:rPr>
      <w:sz w:val="21"/>
      <w:szCs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ursetab2">
    <w:name w:val="course_tab2"/>
    <w:basedOn w:val="a"/>
    <w:uiPriority w:val="99"/>
    <w:pPr>
      <w:spacing w:before="330" w:after="100" w:afterAutospacing="1"/>
      <w:ind w:left="300"/>
    </w:pPr>
    <w:rPr>
      <w:rFonts w:ascii="宋体" w:hAnsi="宋体" w:cs="宋体"/>
    </w:rPr>
  </w:style>
  <w:style w:type="paragraph" w:customStyle="1" w:styleId="tipnull3">
    <w:name w:val="tip_null3"/>
    <w:basedOn w:val="a"/>
    <w:uiPriority w:val="99"/>
    <w:rPr>
      <w:rFonts w:ascii="宋体" w:hAnsi="宋体" w:cs="宋体"/>
    </w:rPr>
  </w:style>
  <w:style w:type="paragraph" w:customStyle="1" w:styleId="tipnull4">
    <w:name w:val="tip_null4"/>
    <w:basedOn w:val="a"/>
    <w:uiPriority w:val="99"/>
    <w:rPr>
      <w:rFonts w:ascii="宋体" w:hAnsi="宋体" w:cs="宋体"/>
    </w:rPr>
  </w:style>
  <w:style w:type="character" w:customStyle="1" w:styleId="font14zd3">
    <w:name w:val="font14zd3"/>
    <w:basedOn w:val="a0"/>
    <w:rPr>
      <w:b/>
      <w:bCs/>
      <w:color w:val="A50021"/>
      <w:sz w:val="21"/>
      <w:szCs w:val="21"/>
      <w:u w:val="double"/>
    </w:rPr>
  </w:style>
  <w:style w:type="paragraph" w:customStyle="1" w:styleId="tablea1">
    <w:name w:val="tablea1"/>
    <w:basedOn w:val="a"/>
    <w:uiPriority w:val="99"/>
    <w:pPr>
      <w:pBdr>
        <w:bottom w:val="single" w:sz="6" w:space="8" w:color="BFDDF4"/>
      </w:pBdr>
      <w:spacing w:before="100" w:beforeAutospacing="1" w:after="100" w:afterAutospacing="1"/>
    </w:pPr>
    <w:rPr>
      <w:rFonts w:ascii="宋体" w:hAnsi="宋体" w:cs="宋体"/>
    </w:rPr>
  </w:style>
  <w:style w:type="character" w:customStyle="1" w:styleId="barfont1">
    <w:name w:val="barfont1"/>
    <w:basedOn w:val="a0"/>
    <w:rPr>
      <w:rFonts w:ascii="楷体" w:eastAsia="楷体" w:hAnsi="楷体" w:hint="eastAsia"/>
      <w:b/>
      <w:bCs/>
      <w:color w:val="00AAB2"/>
      <w:sz w:val="23"/>
      <w:szCs w:val="23"/>
    </w:rPr>
  </w:style>
  <w:style w:type="character" w:customStyle="1" w:styleId="spancdelblanksign">
    <w:name w:val="span_cdel_blank_sign"/>
    <w:basedOn w:val="a0"/>
  </w:style>
  <w:style w:type="character" w:styleId="af5">
    <w:name w:val="page number"/>
    <w:basedOn w:val="a0"/>
    <w:uiPriority w:val="99"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nicode"/>
  <w:optimizeForBrowser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401</Words>
  <Characters>2292</Characters>
  <Application>Microsoft Office Word</Application>
  <DocSecurity>4</DocSecurity>
  <Lines>19</Lines>
  <Paragraphs>5</Paragraphs>
  <ScaleCrop>false</ScaleCrop>
  <Company/>
  <LinksUpToDate>false</LinksUpToDate>
  <CharactersWithSpaces>2688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2026-06-01T04:09:00Z</dcterms:created>
  <dc:creator>CDEL</dc:creator>
  <cp:lastModifiedBy>Windows 用户</cp:lastModifiedBy>
  <dcterms:modified xsi:type="dcterms:W3CDTF">2026-06-01T04:09:00Z</dcterms:modified>
  <cp:revision>2</cp:revision>
</cp:coreProperties>
</file>