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13084" w:rsidP="00013084">
      <w:pPr>
        <w:spacing w:line="276" w:lineRule="auto"/>
        <w:jc w:val="center"/>
        <w:textAlignment w:val="center"/>
        <w:rPr>
          <w:rFonts w:ascii="宋体" w:hAnsi="宋体" w:cs="宋体"/>
          <w:color w:val="000000"/>
          <w:sz w:val="28"/>
          <w:szCs w:val="28"/>
        </w:rPr>
      </w:pP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>前</w:t>
      </w: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 xml:space="preserve"> </w:t>
      </w: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>言</w:t>
      </w:r>
    </w:p>
    <w:p w:rsidR="00000000" w:rsidRDefault="00013084" w:rsidP="00013084">
      <w:pPr>
        <w:spacing w:line="276" w:lineRule="auto"/>
        <w:textAlignment w:val="center"/>
        <w:rPr>
          <w:rFonts w:ascii="宋体" w:hAnsi="宋体" w:hint="eastAsia"/>
          <w:color w:val="000000"/>
          <w:sz w:val="21"/>
          <w:szCs w:val="21"/>
        </w:rPr>
      </w:pPr>
      <w:r>
        <w:rPr>
          <w:rStyle w:val="barfont1"/>
          <w:rFonts w:hint="default"/>
        </w:rPr>
        <w:t>第</w:t>
      </w:r>
      <w:r>
        <w:rPr>
          <w:rStyle w:val="barfont1"/>
          <w:rFonts w:hint="default"/>
        </w:rPr>
        <w:t>01</w:t>
      </w:r>
      <w:r>
        <w:rPr>
          <w:rStyle w:val="barfont1"/>
          <w:rFonts w:hint="default"/>
        </w:rPr>
        <w:t>讲</w:t>
      </w:r>
      <w:r>
        <w:rPr>
          <w:rStyle w:val="barfont1"/>
          <w:rFonts w:hint="default"/>
        </w:rPr>
        <w:t xml:space="preserve"> </w:t>
      </w:r>
      <w:r>
        <w:rPr>
          <w:rStyle w:val="barfont1"/>
          <w:rFonts w:hint="default"/>
        </w:rPr>
        <w:t>前言</w:t>
      </w:r>
      <w:r>
        <w:rPr>
          <w:rFonts w:ascii="楷体" w:eastAsia="楷体" w:hAnsi="楷体" w:hint="eastAsia"/>
          <w:b/>
          <w:bCs/>
          <w:color w:val="00AAB2"/>
          <w:sz w:val="23"/>
          <w:szCs w:val="23"/>
        </w:rPr>
        <w:br/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一、税务师考试简介：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《税法（Ⅰ）》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税法基本原理与增值税、消费税、土地增值税、资源税等</w:t>
      </w:r>
      <w:r>
        <w:rPr>
          <w:rFonts w:ascii="宋体" w:hAnsi="宋体" w:hint="eastAsia"/>
          <w:color w:val="000000"/>
          <w:sz w:val="21"/>
          <w:szCs w:val="21"/>
        </w:rPr>
        <w:t>9</w:t>
      </w:r>
      <w:r>
        <w:rPr>
          <w:rFonts w:ascii="宋体" w:hAnsi="宋体" w:hint="eastAsia"/>
          <w:color w:val="000000"/>
          <w:sz w:val="21"/>
          <w:szCs w:val="21"/>
        </w:rPr>
        <w:t>个税种</w:t>
      </w:r>
      <w:r>
        <w:rPr>
          <w:rFonts w:ascii="宋体" w:hAnsi="宋体" w:hint="eastAsia"/>
          <w:color w:val="000000"/>
          <w:sz w:val="21"/>
          <w:szCs w:val="21"/>
        </w:rPr>
        <w:t>14</w:t>
      </w:r>
      <w:r>
        <w:rPr>
          <w:rFonts w:ascii="宋体" w:hAnsi="宋体" w:hint="eastAsia"/>
          <w:color w:val="000000"/>
          <w:sz w:val="21"/>
          <w:szCs w:val="21"/>
        </w:rPr>
        <w:t>个非税收入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《税法（Ⅱ）》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主要涉及国际税收与企业所得税、个人所得税等</w:t>
      </w:r>
      <w:r>
        <w:rPr>
          <w:rFonts w:ascii="宋体" w:hAnsi="宋体" w:hint="eastAsia"/>
          <w:color w:val="000000"/>
          <w:sz w:val="21"/>
          <w:szCs w:val="21"/>
        </w:rPr>
        <w:t>9</w:t>
      </w:r>
      <w:r>
        <w:rPr>
          <w:rFonts w:ascii="宋体" w:hAnsi="宋体" w:hint="eastAsia"/>
          <w:color w:val="000000"/>
          <w:sz w:val="21"/>
          <w:szCs w:val="21"/>
        </w:rPr>
        <w:t>个税种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《涉税服务实务》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——综合性，综合了</w:t>
      </w:r>
      <w:r>
        <w:rPr>
          <w:rFonts w:ascii="宋体" w:hAnsi="宋体" w:hint="eastAsia"/>
          <w:color w:val="000000"/>
          <w:sz w:val="21"/>
          <w:szCs w:val="21"/>
        </w:rPr>
        <w:t>18</w:t>
      </w:r>
      <w:r>
        <w:rPr>
          <w:rFonts w:ascii="宋体" w:hAnsi="宋体" w:hint="eastAsia"/>
          <w:color w:val="000000"/>
          <w:sz w:val="21"/>
          <w:szCs w:val="21"/>
        </w:rPr>
        <w:t>个税种，主要强调应用实务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《涉税服务相关法律》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行政法、民商法、刑事法。涉及三大实体法和三大诉讼法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《财务与会计》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财务管理与会计实务两个篇章，基本的财管知识和会计准则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税务师学习能让我们获得什么</w:t>
      </w:r>
      <w:r>
        <w:rPr>
          <w:rFonts w:ascii="宋体" w:hAnsi="宋体" w:hint="eastAsia"/>
          <w:color w:val="000000"/>
          <w:sz w:val="21"/>
          <w:szCs w:val="21"/>
        </w:rPr>
        <w:t>能力？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《税法（Ⅰ）》、《税法（Ⅱ）》和《涉税服务实务》俗称“三税”让我们全面细致的掌握中国的</w:t>
      </w:r>
      <w:r>
        <w:rPr>
          <w:rFonts w:ascii="宋体" w:hAnsi="宋体" w:hint="eastAsia"/>
          <w:color w:val="000000"/>
          <w:sz w:val="21"/>
          <w:szCs w:val="21"/>
        </w:rPr>
        <w:t>18</w:t>
      </w:r>
      <w:r>
        <w:rPr>
          <w:rFonts w:ascii="宋体" w:hAnsi="宋体" w:hint="eastAsia"/>
          <w:color w:val="000000"/>
          <w:sz w:val="21"/>
          <w:szCs w:val="21"/>
        </w:rPr>
        <w:t>个税种，以及税法的基本原理、非税收入和国际税收相关知识，在日常工作生活中，合理规划业务，正确缴纳税款，规避税收风险，充分利用税收优惠。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《涉税服务相关法律》俗称“小法考”，涉及工作生活中的各种法律，生意上的合同签订，家庭财产分割，婚姻抚养纠纷等等均有涉及，法律科普，法律扫盲，工作生活中的实用法律库。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《财务与会计》科目对于深入了解税会差异很重要，税收政策在会计分录中如何表达，税会政策的不同处理</w:t>
      </w:r>
      <w:r>
        <w:rPr>
          <w:rFonts w:ascii="宋体" w:hAnsi="宋体" w:hint="eastAsia"/>
          <w:color w:val="000000"/>
          <w:sz w:val="21"/>
          <w:szCs w:val="21"/>
        </w:rPr>
        <w:t>，财务报表中各项指标的分析等等，是税会复合型人才必修科目。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学习，学什么？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通过考试，取证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死记硬背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掌握理论知识，为税务师实践打基础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理解应用。知其然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学习力！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知其所以然。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会理解，会应用，会举一反三，拿到新政策知其利弊，有自我学习的能力，有把知识资源转化为知识资本的能力。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二、《税法（Ⅰ）》重点章节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近</w:t>
      </w:r>
      <w:r>
        <w:rPr>
          <w:rFonts w:ascii="宋体" w:hAnsi="宋体" w:hint="eastAsia"/>
          <w:color w:val="000000"/>
          <w:sz w:val="21"/>
          <w:szCs w:val="21"/>
        </w:rPr>
        <w:t>10</w:t>
      </w:r>
      <w:r>
        <w:rPr>
          <w:rFonts w:ascii="宋体" w:hAnsi="宋体" w:hint="eastAsia"/>
          <w:color w:val="000000"/>
          <w:sz w:val="21"/>
          <w:szCs w:val="21"/>
        </w:rPr>
        <w:t>年各章节平均分排序表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4722"/>
        <w:gridCol w:w="1094"/>
        <w:gridCol w:w="1094"/>
        <w:gridCol w:w="1900"/>
      </w:tblGrid>
      <w:tr w:rsidR="00000000" w:rsidTr="00013084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章节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占比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层级分类</w:t>
            </w:r>
          </w:p>
        </w:tc>
      </w:tr>
      <w:tr w:rsidR="00000000" w:rsidTr="00013084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第二章　增值税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第一层级</w:t>
            </w:r>
          </w:p>
        </w:tc>
      </w:tr>
      <w:tr w:rsidR="00000000" w:rsidTr="00013084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第三章　消费税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第二层级</w:t>
            </w:r>
          </w:p>
        </w:tc>
      </w:tr>
      <w:tr w:rsidR="00000000" w:rsidTr="00013084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第五章　土地增值税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013084" w:rsidP="0001308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013084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第六章　资源税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7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013084" w:rsidP="0001308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013084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第七章　车辆购置税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013084" w:rsidP="0001308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013084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第八章　环境保护税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013084" w:rsidP="0001308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013084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lastRenderedPageBreak/>
              <w:t>第十一章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非税收入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第三层级</w:t>
            </w:r>
          </w:p>
        </w:tc>
      </w:tr>
      <w:tr w:rsidR="00000000" w:rsidTr="00013084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第一章　税法基本原理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013084" w:rsidP="0001308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013084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第十章　关税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013084" w:rsidP="0001308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013084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第九章　烟叶税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013084" w:rsidP="0001308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013084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第四章　城市维护建设税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013084" w:rsidP="0001308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</w:tbl>
    <w:p w:rsidR="00000000" w:rsidRDefault="00013084" w:rsidP="00013084">
      <w:pPr>
        <w:spacing w:line="276" w:lineRule="auto"/>
        <w:textAlignment w:val="center"/>
        <w:rPr>
          <w:rFonts w:ascii="宋体" w:hAnsi="宋体" w:hint="eastAsia"/>
          <w:color w:val="000000"/>
          <w:sz w:val="21"/>
          <w:szCs w:val="21"/>
        </w:rPr>
      </w:pP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三、教材下发之前的学习建议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第一章　税法基本原理，预计变化不大，建议先行学习。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第二章　增值税，年年有变，</w:t>
      </w:r>
      <w:r>
        <w:rPr>
          <w:rFonts w:ascii="宋体" w:hAnsi="宋体" w:hint="eastAsia"/>
          <w:color w:val="000000"/>
          <w:sz w:val="21"/>
          <w:szCs w:val="21"/>
        </w:rPr>
        <w:t>26</w:t>
      </w:r>
      <w:r>
        <w:rPr>
          <w:rFonts w:ascii="宋体" w:hAnsi="宋体" w:hint="eastAsia"/>
          <w:color w:val="000000"/>
          <w:sz w:val="21"/>
          <w:szCs w:val="21"/>
        </w:rPr>
        <w:t>大变！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2024</w:t>
      </w:r>
      <w:r>
        <w:rPr>
          <w:rFonts w:ascii="宋体" w:hAnsi="宋体" w:hint="eastAsia"/>
          <w:color w:val="000000"/>
          <w:sz w:val="21"/>
          <w:szCs w:val="21"/>
        </w:rPr>
        <w:t>年</w:t>
      </w:r>
      <w:r>
        <w:rPr>
          <w:rFonts w:ascii="宋体" w:hAnsi="宋体" w:hint="eastAsia"/>
          <w:color w:val="000000"/>
          <w:sz w:val="21"/>
          <w:szCs w:val="21"/>
        </w:rPr>
        <w:t>12</w:t>
      </w:r>
      <w:r>
        <w:rPr>
          <w:rFonts w:ascii="宋体" w:hAnsi="宋体" w:hint="eastAsia"/>
          <w:color w:val="000000"/>
          <w:sz w:val="21"/>
          <w:szCs w:val="21"/>
        </w:rPr>
        <w:t>月</w:t>
      </w:r>
      <w:r>
        <w:rPr>
          <w:rFonts w:ascii="宋体" w:hAnsi="宋体" w:hint="eastAsia"/>
          <w:color w:val="000000"/>
          <w:sz w:val="21"/>
          <w:szCs w:val="21"/>
        </w:rPr>
        <w:t>25</w:t>
      </w:r>
      <w:r>
        <w:rPr>
          <w:rFonts w:ascii="宋体" w:hAnsi="宋体" w:hint="eastAsia"/>
          <w:color w:val="000000"/>
          <w:sz w:val="21"/>
          <w:szCs w:val="21"/>
        </w:rPr>
        <w:t>日第十四届全国人民代表大会常务委员会第十三次会议通过　自</w:t>
      </w:r>
      <w:r>
        <w:rPr>
          <w:rFonts w:ascii="宋体" w:hAnsi="宋体" w:hint="eastAsia"/>
          <w:color w:val="000000"/>
          <w:sz w:val="21"/>
          <w:szCs w:val="21"/>
        </w:rPr>
        <w:t>2026</w:t>
      </w:r>
      <w:r>
        <w:rPr>
          <w:rFonts w:ascii="宋体" w:hAnsi="宋体" w:hint="eastAsia"/>
          <w:color w:val="000000"/>
          <w:sz w:val="21"/>
          <w:szCs w:val="21"/>
        </w:rPr>
        <w:t>年</w:t>
      </w:r>
      <w:r>
        <w:rPr>
          <w:rFonts w:ascii="宋体" w:hAnsi="宋体" w:hint="eastAsia"/>
          <w:color w:val="000000"/>
          <w:sz w:val="21"/>
          <w:szCs w:val="21"/>
        </w:rPr>
        <w:t>1</w:t>
      </w:r>
      <w:r>
        <w:rPr>
          <w:rFonts w:ascii="宋体" w:hAnsi="宋体" w:hint="eastAsia"/>
          <w:color w:val="000000"/>
          <w:sz w:val="21"/>
          <w:szCs w:val="21"/>
        </w:rPr>
        <w:t>月</w:t>
      </w:r>
      <w:r>
        <w:rPr>
          <w:rFonts w:ascii="宋体" w:hAnsi="宋体" w:hint="eastAsia"/>
          <w:color w:val="000000"/>
          <w:sz w:val="21"/>
          <w:szCs w:val="21"/>
        </w:rPr>
        <w:t>1</w:t>
      </w:r>
      <w:r>
        <w:rPr>
          <w:rFonts w:ascii="宋体" w:hAnsi="宋体" w:hint="eastAsia"/>
          <w:color w:val="000000"/>
          <w:sz w:val="21"/>
          <w:szCs w:val="21"/>
        </w:rPr>
        <w:t>日起施行。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《中华人民共和国增值税法实施条例》已经</w:t>
      </w:r>
      <w:r>
        <w:rPr>
          <w:rFonts w:ascii="宋体" w:hAnsi="宋体" w:hint="eastAsia"/>
          <w:color w:val="000000"/>
          <w:sz w:val="21"/>
          <w:szCs w:val="21"/>
        </w:rPr>
        <w:t>2025</w:t>
      </w:r>
      <w:r>
        <w:rPr>
          <w:rFonts w:ascii="宋体" w:hAnsi="宋体" w:hint="eastAsia"/>
          <w:color w:val="000000"/>
          <w:sz w:val="21"/>
          <w:szCs w:val="21"/>
        </w:rPr>
        <w:t>年</w:t>
      </w:r>
      <w:r>
        <w:rPr>
          <w:rFonts w:ascii="宋体" w:hAnsi="宋体" w:hint="eastAsia"/>
          <w:color w:val="000000"/>
          <w:sz w:val="21"/>
          <w:szCs w:val="21"/>
        </w:rPr>
        <w:t>12</w:t>
      </w:r>
      <w:r>
        <w:rPr>
          <w:rFonts w:ascii="宋体" w:hAnsi="宋体" w:hint="eastAsia"/>
          <w:color w:val="000000"/>
          <w:sz w:val="21"/>
          <w:szCs w:val="21"/>
        </w:rPr>
        <w:t>月</w:t>
      </w:r>
      <w:r>
        <w:rPr>
          <w:rFonts w:ascii="宋体" w:hAnsi="宋体" w:hint="eastAsia"/>
          <w:color w:val="000000"/>
          <w:sz w:val="21"/>
          <w:szCs w:val="21"/>
        </w:rPr>
        <w:t>19</w:t>
      </w:r>
      <w:r>
        <w:rPr>
          <w:rFonts w:ascii="宋体" w:hAnsi="宋体" w:hint="eastAsia"/>
          <w:color w:val="000000"/>
          <w:sz w:val="21"/>
          <w:szCs w:val="21"/>
        </w:rPr>
        <w:t>日国务院第</w:t>
      </w:r>
      <w:r>
        <w:rPr>
          <w:rFonts w:ascii="宋体" w:hAnsi="宋体" w:hint="eastAsia"/>
          <w:color w:val="000000"/>
          <w:sz w:val="21"/>
          <w:szCs w:val="21"/>
        </w:rPr>
        <w:t>75</w:t>
      </w:r>
      <w:r>
        <w:rPr>
          <w:rFonts w:ascii="宋体" w:hAnsi="宋体" w:hint="eastAsia"/>
          <w:color w:val="000000"/>
          <w:sz w:val="21"/>
          <w:szCs w:val="21"/>
        </w:rPr>
        <w:t>次常务会议通过，现予公布，自</w:t>
      </w:r>
      <w:r>
        <w:rPr>
          <w:rFonts w:ascii="宋体" w:hAnsi="宋体" w:hint="eastAsia"/>
          <w:color w:val="000000"/>
          <w:sz w:val="21"/>
          <w:szCs w:val="21"/>
        </w:rPr>
        <w:t>2026</w:t>
      </w:r>
      <w:r>
        <w:rPr>
          <w:rFonts w:ascii="宋体" w:hAnsi="宋体" w:hint="eastAsia"/>
          <w:color w:val="000000"/>
          <w:sz w:val="21"/>
          <w:szCs w:val="21"/>
        </w:rPr>
        <w:t>年</w:t>
      </w:r>
      <w:r>
        <w:rPr>
          <w:rFonts w:ascii="宋体" w:hAnsi="宋体" w:hint="eastAsia"/>
          <w:color w:val="000000"/>
          <w:sz w:val="21"/>
          <w:szCs w:val="21"/>
        </w:rPr>
        <w:t>1</w:t>
      </w:r>
      <w:r>
        <w:rPr>
          <w:rFonts w:ascii="宋体" w:hAnsi="宋体" w:hint="eastAsia"/>
          <w:color w:val="000000"/>
          <w:sz w:val="21"/>
          <w:szCs w:val="21"/>
        </w:rPr>
        <w:t>月</w:t>
      </w:r>
      <w:r>
        <w:rPr>
          <w:rFonts w:ascii="宋体" w:hAnsi="宋体" w:hint="eastAsia"/>
          <w:color w:val="000000"/>
          <w:sz w:val="21"/>
          <w:szCs w:val="21"/>
        </w:rPr>
        <w:t>1</w:t>
      </w:r>
      <w:r>
        <w:rPr>
          <w:rFonts w:ascii="宋体" w:hAnsi="宋体" w:hint="eastAsia"/>
          <w:color w:val="000000"/>
          <w:sz w:val="21"/>
          <w:szCs w:val="21"/>
        </w:rPr>
        <w:t>日起施行。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增值税法时代到来，</w:t>
      </w:r>
      <w:r>
        <w:rPr>
          <w:rFonts w:ascii="宋体" w:hAnsi="宋体" w:hint="eastAsia"/>
          <w:color w:val="000000"/>
          <w:sz w:val="21"/>
          <w:szCs w:val="21"/>
        </w:rPr>
        <w:t>26</w:t>
      </w:r>
      <w:r>
        <w:rPr>
          <w:rFonts w:ascii="宋体" w:hAnsi="宋体" w:hint="eastAsia"/>
          <w:color w:val="000000"/>
          <w:sz w:val="21"/>
          <w:szCs w:val="21"/>
        </w:rPr>
        <w:t>年是第一年实施，目前很多细则文件陆续下发，教材将收录到</w:t>
      </w:r>
      <w:r>
        <w:rPr>
          <w:rFonts w:ascii="宋体" w:hAnsi="宋体" w:hint="eastAsia"/>
          <w:color w:val="000000"/>
          <w:sz w:val="21"/>
          <w:szCs w:val="21"/>
        </w:rPr>
        <w:t>3</w:t>
      </w:r>
      <w:r>
        <w:rPr>
          <w:rFonts w:ascii="宋体" w:hAnsi="宋体" w:hint="eastAsia"/>
          <w:color w:val="000000"/>
          <w:sz w:val="21"/>
          <w:szCs w:val="21"/>
        </w:rPr>
        <w:t>月</w:t>
      </w:r>
      <w:r>
        <w:rPr>
          <w:rFonts w:ascii="宋体" w:hAnsi="宋体" w:hint="eastAsia"/>
          <w:color w:val="000000"/>
          <w:sz w:val="21"/>
          <w:szCs w:val="21"/>
        </w:rPr>
        <w:t>31</w:t>
      </w:r>
      <w:r>
        <w:rPr>
          <w:rFonts w:ascii="宋体" w:hAnsi="宋体" w:hint="eastAsia"/>
          <w:color w:val="000000"/>
          <w:sz w:val="21"/>
          <w:szCs w:val="21"/>
        </w:rPr>
        <w:t>日，目前先暂不学习！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第三章　消费税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预计没有太大变化，但对于零</w:t>
      </w:r>
      <w:r>
        <w:rPr>
          <w:rFonts w:ascii="宋体" w:hAnsi="宋体" w:hint="eastAsia"/>
          <w:color w:val="000000"/>
          <w:sz w:val="21"/>
          <w:szCs w:val="21"/>
        </w:rPr>
        <w:t>基础学员来说，如果没有增值税作为铺垫，消费税可能有些难懂，教材下发前第一遍学习可先忽略与增值税的交叉内容，待教材下发学习完增值税后再行融会贯通。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第四章　城市维护建设税（教育费附加及地方教育附加）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教育费附加及地方教育附加在教材中收录于第十一章非税收入，由于与城市维护建设税政策关联紧密，所以，授课过程中会安排在第四章一并讲解，内容预计没有太大变化，教材下发前可先行学习，零基础学员遇到个别与增值税关联紧密的内容可先跳过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第五章　土地增值税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预计没有太大变化，但在计算时也需要用到增值税</w:t>
      </w:r>
      <w:r>
        <w:rPr>
          <w:rFonts w:ascii="宋体" w:hAnsi="宋体" w:hint="eastAsia"/>
          <w:color w:val="000000"/>
          <w:sz w:val="21"/>
          <w:szCs w:val="21"/>
        </w:rPr>
        <w:t>，三附加的知识点，教材下发前的学习，建议仅先掌握土地增值税的计算内容，可先忽略与增值税的交叉内容，待教材下发学习完增值税后再行融会贯通。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第六章　资源税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预计变化不大，虽然部分知识点需利用增值税的知识积累，但影响较小，教材下发之前可以先行进入基础精讲班学习。与增值税的交叉问题，同上。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第七章　车辆购置税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预计变化不大，教材下发之前可以先行进入基础精讲班学习。与增值税的交叉问题，同上。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第八章　环境保护税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预计变化不大，内容独立，与其他税种联系不紧密，教材下发之前可以先行进</w:t>
      </w:r>
      <w:r>
        <w:rPr>
          <w:rFonts w:ascii="宋体" w:hAnsi="宋体" w:hint="eastAsia"/>
          <w:color w:val="000000"/>
          <w:sz w:val="21"/>
          <w:szCs w:val="21"/>
        </w:rPr>
        <w:t>入基础精讲班学习。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第九章　烟叶税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预计变化不大，内容简单，但属于增值税、消费税的前置税种，且与两大主税联系紧密，教材下发前仅学习烟叶税内容，暂不与增值税、消费税交叉，待增值税开课再行融会贯通。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第十章　关税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前置税种，预计变化不大，可以先行进入基础精讲班学习。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第十一章　非税收入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内容相对独立，预计变化不大，可以先行进入基础精讲班学习。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综上：预计</w:t>
      </w:r>
      <w:r>
        <w:rPr>
          <w:rFonts w:ascii="宋体" w:hAnsi="宋体" w:hint="eastAsia"/>
          <w:color w:val="000000"/>
          <w:sz w:val="21"/>
          <w:szCs w:val="21"/>
        </w:rPr>
        <w:t>2026</w:t>
      </w:r>
      <w:r>
        <w:rPr>
          <w:rFonts w:ascii="宋体" w:hAnsi="宋体" w:hint="eastAsia"/>
          <w:color w:val="000000"/>
          <w:sz w:val="21"/>
          <w:szCs w:val="21"/>
        </w:rPr>
        <w:t>教材下发前基础精讲班开课顺序：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第一章　税法基本原</w:t>
      </w:r>
      <w:r>
        <w:rPr>
          <w:rFonts w:ascii="宋体" w:hAnsi="宋体" w:hint="eastAsia"/>
          <w:color w:val="000000"/>
          <w:sz w:val="21"/>
          <w:szCs w:val="21"/>
        </w:rPr>
        <w:t>理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第八章　环境保护税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lastRenderedPageBreak/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第九章</w:t>
      </w:r>
      <w:r>
        <w:rPr>
          <w:rFonts w:ascii="宋体" w:hAnsi="宋体" w:hint="eastAsia"/>
          <w:color w:val="000000"/>
          <w:sz w:val="21"/>
          <w:szCs w:val="21"/>
        </w:rPr>
        <w:t xml:space="preserve">　烟叶</w:t>
      </w:r>
      <w:r>
        <w:rPr>
          <w:rFonts w:ascii="宋体" w:hAnsi="宋体" w:hint="eastAsia"/>
          <w:color w:val="000000"/>
          <w:sz w:val="21"/>
          <w:szCs w:val="21"/>
        </w:rPr>
        <w:t>税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第十章　关税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第十一章　非税收</w:t>
      </w:r>
      <w:r>
        <w:rPr>
          <w:rFonts w:ascii="宋体" w:hAnsi="宋体" w:hint="eastAsia"/>
          <w:color w:val="000000"/>
          <w:sz w:val="21"/>
          <w:szCs w:val="21"/>
        </w:rPr>
        <w:t>入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第七章　车辆购置税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第四章　城市维护建设税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第六章　资源税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第三章　消费</w:t>
      </w:r>
      <w:r>
        <w:rPr>
          <w:rFonts w:ascii="宋体" w:hAnsi="宋体" w:hint="eastAsia"/>
          <w:color w:val="000000"/>
          <w:sz w:val="21"/>
          <w:szCs w:val="21"/>
        </w:rPr>
        <w:t>税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第五章　土地增值税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hint="eastAsia"/>
        </w:rPr>
        <w:t>【注】</w:t>
      </w:r>
      <w:r>
        <w:rPr>
          <w:rFonts w:ascii="宋体" w:hAnsi="宋体" w:hint="eastAsia"/>
          <w:color w:val="000000"/>
          <w:sz w:val="21"/>
          <w:szCs w:val="21"/>
        </w:rPr>
        <w:t>课程陆续开通过程中如果教材下发，则按教材顺序开通其余章节，建议学员也跟着调整学习顺序，先以增值税学习为主。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四、《税法（Ⅰ）》考试的题型、题量（按近年预估）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570"/>
        <w:gridCol w:w="548"/>
        <w:gridCol w:w="569"/>
        <w:gridCol w:w="569"/>
        <w:gridCol w:w="527"/>
        <w:gridCol w:w="569"/>
        <w:gridCol w:w="585"/>
        <w:gridCol w:w="585"/>
        <w:gridCol w:w="633"/>
        <w:gridCol w:w="616"/>
        <w:gridCol w:w="570"/>
        <w:gridCol w:w="616"/>
        <w:gridCol w:w="569"/>
        <w:gridCol w:w="715"/>
        <w:gridCol w:w="569"/>
      </w:tblGrid>
      <w:tr w:rsidR="00000000" w:rsidTr="00013084">
        <w:trPr>
          <w:trHeight w:val="300"/>
          <w:jc w:val="center"/>
        </w:trPr>
        <w:tc>
          <w:tcPr>
            <w:tcW w:w="0" w:type="auto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单选题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多选题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计算题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综合分析题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总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分值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及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格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线</w:t>
            </w:r>
          </w:p>
        </w:tc>
      </w:tr>
      <w:tr w:rsidR="00000000" w:rsidTr="00013084">
        <w:trPr>
          <w:trHeight w:val="300"/>
          <w:jc w:val="center"/>
        </w:trPr>
        <w:tc>
          <w:tcPr>
            <w:tcW w:w="0" w:type="auto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013084" w:rsidP="0001308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013084" w:rsidP="0001308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个案例，每个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个案例，每个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013084" w:rsidP="0001308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013084" w:rsidP="0001308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013084" w:rsidP="0001308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013084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单价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单价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单价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单价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分值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013084" w:rsidP="0001308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013084" w:rsidP="0001308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013084" w:rsidP="0001308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013084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16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140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</w:t>
            </w:r>
          </w:p>
        </w:tc>
      </w:tr>
    </w:tbl>
    <w:p w:rsidR="00000000" w:rsidRDefault="00013084" w:rsidP="00013084">
      <w:pPr>
        <w:spacing w:line="276" w:lineRule="auto"/>
        <w:textAlignment w:val="center"/>
        <w:rPr>
          <w:rFonts w:ascii="宋体" w:hAnsi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税法（Ⅰ）考试命题特点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1.</w:t>
      </w:r>
      <w:r>
        <w:rPr>
          <w:rFonts w:ascii="宋体" w:hAnsi="宋体" w:hint="eastAsia"/>
          <w:color w:val="000000"/>
          <w:sz w:val="21"/>
          <w:szCs w:val="21"/>
        </w:rPr>
        <w:t>单项选择题、多项选择题命题特点：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单项选择题只有一个选项是正确的，整</w:t>
      </w:r>
      <w:r>
        <w:rPr>
          <w:rFonts w:ascii="宋体" w:hAnsi="宋体" w:hint="eastAsia"/>
          <w:color w:val="000000"/>
          <w:sz w:val="21"/>
          <w:szCs w:val="21"/>
        </w:rPr>
        <w:t>个试卷中题量最大，覆盖面最广，一般情况下只考核单一知识点，属于性价比最高的题目类型，</w:t>
      </w:r>
      <w:r>
        <w:rPr>
          <w:rFonts w:ascii="宋体" w:hAnsi="宋体" w:hint="eastAsia"/>
          <w:color w:val="000000"/>
          <w:sz w:val="21"/>
          <w:szCs w:val="21"/>
        </w:rPr>
        <w:t>1.5</w:t>
      </w:r>
      <w:r>
        <w:rPr>
          <w:rFonts w:ascii="宋体" w:hAnsi="宋体" w:hint="eastAsia"/>
          <w:color w:val="000000"/>
          <w:sz w:val="21"/>
          <w:szCs w:val="21"/>
        </w:rPr>
        <w:t>分</w:t>
      </w:r>
      <w:r>
        <w:rPr>
          <w:rFonts w:ascii="宋体" w:hAnsi="宋体" w:hint="eastAsia"/>
          <w:color w:val="000000"/>
          <w:sz w:val="21"/>
          <w:szCs w:val="21"/>
        </w:rPr>
        <w:t>/</w:t>
      </w:r>
      <w:r>
        <w:rPr>
          <w:rFonts w:ascii="宋体" w:hAnsi="宋体" w:hint="eastAsia"/>
          <w:color w:val="000000"/>
          <w:sz w:val="21"/>
          <w:szCs w:val="21"/>
        </w:rPr>
        <w:t>题。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多项选择题有五个备选项，每题有两个至四个选项正确，少选选对的一个得</w:t>
      </w:r>
      <w:r>
        <w:rPr>
          <w:rFonts w:ascii="宋体" w:hAnsi="宋体" w:hint="eastAsia"/>
          <w:color w:val="000000"/>
          <w:sz w:val="21"/>
          <w:szCs w:val="21"/>
        </w:rPr>
        <w:t>0.5</w:t>
      </w:r>
      <w:r>
        <w:rPr>
          <w:rFonts w:ascii="宋体" w:hAnsi="宋体" w:hint="eastAsia"/>
          <w:color w:val="000000"/>
          <w:sz w:val="21"/>
          <w:szCs w:val="21"/>
        </w:rPr>
        <w:t>分，错选，多选本题不得分。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单项选择题、多项选择题有两种表达类型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文字表述类题目：在四个选项中找出最符合题干的答案，基本以直接考核政策为主，常见题干有：”否定型题干“，“填空型选择”，”列举型选择“等，常见错误选项有“虎头蛇尾”，“张冠李戴”，”混淆偷换“等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计算类题目：考核税法知识的应用，大多以计算应纳税额为问</w:t>
      </w:r>
      <w:r>
        <w:rPr>
          <w:rFonts w:ascii="宋体" w:hAnsi="宋体" w:hint="eastAsia"/>
          <w:color w:val="000000"/>
          <w:sz w:val="21"/>
          <w:szCs w:val="21"/>
        </w:rPr>
        <w:t>题，涉及的知识点或单个或多个，近年还有一个题目内混合两个税种的单多选题目，此类题目具有综合性，需要考生准确把握知识点的应用。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单项选择题、多项选择题命题趋势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①计算类题目占比上升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882"/>
        <w:gridCol w:w="1732"/>
        <w:gridCol w:w="1732"/>
        <w:gridCol w:w="1732"/>
        <w:gridCol w:w="1732"/>
      </w:tblGrid>
      <w:tr w:rsidR="00000000" w:rsidTr="00013084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keepNext/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单选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多选</w:t>
            </w:r>
          </w:p>
        </w:tc>
      </w:tr>
      <w:tr w:rsidR="00000000" w:rsidTr="0001308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年份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计算题占比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文字题占比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计算题占比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文字题占比</w:t>
            </w:r>
          </w:p>
        </w:tc>
      </w:tr>
      <w:tr w:rsidR="00000000" w:rsidTr="0001308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2018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30.77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69.23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100.00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</w:tr>
      <w:tr w:rsidR="00000000" w:rsidTr="0001308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2019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30.56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69.44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100.00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</w:tr>
      <w:tr w:rsidR="00000000" w:rsidTr="0001308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2020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52.5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47.5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100.00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</w:tr>
      <w:tr w:rsidR="00000000" w:rsidTr="0001308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2021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34.37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65.63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5.56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94.44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</w:tr>
      <w:tr w:rsidR="00000000" w:rsidTr="0001308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2022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年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(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一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34.62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65.38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100.00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</w:tr>
      <w:tr w:rsidR="00000000" w:rsidTr="0001308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2022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年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(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二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34.37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65.63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100.00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</w:tr>
      <w:tr w:rsidR="00000000" w:rsidTr="0001308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2023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45.83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54.17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11.76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88.24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</w:tr>
      <w:tr w:rsidR="00000000" w:rsidTr="0001308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2024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48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14.29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85.71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</w:tr>
      <w:tr w:rsidR="00000000" w:rsidTr="00013084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2025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47.22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52.78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013084" w:rsidP="00013084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100.00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</w:tr>
    </w:tbl>
    <w:p w:rsidR="00000000" w:rsidRDefault="00013084" w:rsidP="00013084">
      <w:pPr>
        <w:spacing w:line="276" w:lineRule="auto"/>
        <w:textAlignment w:val="center"/>
        <w:rPr>
          <w:rFonts w:ascii="宋体" w:hAnsi="宋体" w:hint="eastAsia"/>
          <w:color w:val="000000"/>
          <w:sz w:val="21"/>
          <w:szCs w:val="21"/>
        </w:rPr>
      </w:pP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②考核教材新增，表述调整的知识点。如</w:t>
      </w:r>
      <w:r>
        <w:rPr>
          <w:rFonts w:ascii="宋体" w:hAnsi="宋体" w:hint="eastAsia"/>
          <w:color w:val="000000"/>
          <w:sz w:val="21"/>
          <w:szCs w:val="21"/>
        </w:rPr>
        <w:t>25</w:t>
      </w:r>
      <w:r>
        <w:rPr>
          <w:rFonts w:ascii="宋体" w:hAnsi="宋体" w:hint="eastAsia"/>
          <w:color w:val="000000"/>
          <w:sz w:val="21"/>
          <w:szCs w:val="21"/>
        </w:rPr>
        <w:t>年教材对于“代征代缴义务人”的描述做了调整，调整为“受托代征人”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单选题：根据税务机关的委托，依据法律规定代征零星、分散和异地缴纳税收的单位和人员是</w:t>
      </w:r>
      <w:r>
        <w:rPr>
          <w:rFonts w:ascii="宋体" w:hAnsi="宋体" w:hint="eastAsia"/>
          <w:color w:val="000000"/>
          <w:sz w:val="21"/>
          <w:szCs w:val="21"/>
        </w:rPr>
        <w:t>（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）。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A.</w:t>
      </w:r>
      <w:r>
        <w:rPr>
          <w:rFonts w:ascii="宋体" w:hAnsi="宋体" w:hint="eastAsia"/>
          <w:color w:val="000000"/>
          <w:sz w:val="21"/>
          <w:szCs w:val="21"/>
        </w:rPr>
        <w:t>负税人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B.</w:t>
      </w:r>
      <w:r>
        <w:rPr>
          <w:rFonts w:ascii="宋体" w:hAnsi="宋体" w:hint="eastAsia"/>
          <w:color w:val="000000"/>
          <w:sz w:val="21"/>
          <w:szCs w:val="21"/>
        </w:rPr>
        <w:t>代扣代缴义务人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C.</w:t>
      </w:r>
      <w:r>
        <w:rPr>
          <w:rFonts w:ascii="宋体" w:hAnsi="宋体" w:hint="eastAsia"/>
          <w:color w:val="000000"/>
          <w:sz w:val="21"/>
          <w:szCs w:val="21"/>
        </w:rPr>
        <w:t>代收代缴义务人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hint="eastAsia"/>
        </w:rPr>
        <w:t>D.</w:t>
      </w:r>
      <w:r>
        <w:rPr>
          <w:rStyle w:val="font14zd2"/>
          <w:rFonts w:ascii="宋体" w:hAnsi="宋体" w:hint="eastAsia"/>
        </w:rPr>
        <w:t>受托代征人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③知识点考查角度新颖，贴合实务。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如单选题中提到新的销售模式下的，葡萄酒送货上门收取含税运费和包装桶押金；向商户预收坑位费，向商户收取服务费</w:t>
      </w:r>
      <w:r>
        <w:rPr>
          <w:rFonts w:ascii="宋体" w:hAnsi="宋体" w:hint="eastAsia"/>
          <w:color w:val="000000"/>
          <w:sz w:val="21"/>
          <w:szCs w:val="21"/>
        </w:rPr>
        <w:t>、投流费；科普馆讲解器使用费、</w:t>
      </w:r>
      <w:r>
        <w:rPr>
          <w:rFonts w:ascii="宋体" w:hAnsi="宋体" w:hint="eastAsia"/>
          <w:color w:val="000000"/>
          <w:sz w:val="21"/>
          <w:szCs w:val="21"/>
        </w:rPr>
        <w:t>VR</w:t>
      </w:r>
      <w:r>
        <w:rPr>
          <w:rFonts w:ascii="宋体" w:hAnsi="宋体" w:hint="eastAsia"/>
          <w:color w:val="000000"/>
          <w:sz w:val="21"/>
          <w:szCs w:val="21"/>
        </w:rPr>
        <w:t>体验馆服务收入等等，都是近年来新兴的销售模式或者收入类型，考题与时俱进，新颖创新，非常考查考生的应用能力。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④知识点考查角度细致，学习中“抓大也不放小”，注重细节。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如消费税“对施工状态下挥发性有机物含量低于</w:t>
      </w:r>
      <w:r>
        <w:rPr>
          <w:rFonts w:ascii="宋体" w:hAnsi="宋体" w:hint="eastAsia"/>
          <w:color w:val="000000"/>
          <w:sz w:val="21"/>
          <w:szCs w:val="21"/>
        </w:rPr>
        <w:t>420</w:t>
      </w:r>
      <w:r>
        <w:rPr>
          <w:rFonts w:ascii="宋体" w:hAnsi="宋体" w:hint="eastAsia"/>
          <w:color w:val="000000"/>
          <w:sz w:val="21"/>
          <w:szCs w:val="21"/>
        </w:rPr>
        <w:t>克</w:t>
      </w:r>
      <w:r>
        <w:rPr>
          <w:rFonts w:ascii="宋体" w:hAnsi="宋体" w:hint="eastAsia"/>
          <w:color w:val="000000"/>
          <w:sz w:val="21"/>
          <w:szCs w:val="21"/>
        </w:rPr>
        <w:t>/</w:t>
      </w:r>
      <w:r>
        <w:rPr>
          <w:rFonts w:ascii="宋体" w:hAnsi="宋体" w:hint="eastAsia"/>
          <w:color w:val="000000"/>
          <w:sz w:val="21"/>
          <w:szCs w:val="21"/>
        </w:rPr>
        <w:t>升（含）的涂料免征消费税”的知识点就在计算题中，以业务“（</w:t>
      </w:r>
      <w:r>
        <w:rPr>
          <w:rFonts w:ascii="宋体" w:hAnsi="宋体" w:hint="eastAsia"/>
          <w:color w:val="000000"/>
          <w:sz w:val="21"/>
          <w:szCs w:val="21"/>
        </w:rPr>
        <w:t>4</w:t>
      </w:r>
      <w:r>
        <w:rPr>
          <w:rFonts w:ascii="宋体" w:hAnsi="宋体" w:hint="eastAsia"/>
          <w:color w:val="000000"/>
          <w:sz w:val="21"/>
          <w:szCs w:val="21"/>
        </w:rPr>
        <w:t>）销售自行研发生产的新型环保涂料，取得不含税销售额</w:t>
      </w:r>
      <w:r>
        <w:rPr>
          <w:rFonts w:ascii="宋体" w:hAnsi="宋体" w:hint="eastAsia"/>
          <w:color w:val="000000"/>
          <w:sz w:val="21"/>
          <w:szCs w:val="21"/>
        </w:rPr>
        <w:t>102</w:t>
      </w:r>
      <w:r>
        <w:rPr>
          <w:rFonts w:ascii="宋体" w:hAnsi="宋体" w:hint="eastAsia"/>
          <w:color w:val="000000"/>
          <w:sz w:val="21"/>
          <w:szCs w:val="21"/>
        </w:rPr>
        <w:t>万元。该新型涂料在施工环境下挥发性有机物含量为</w:t>
      </w:r>
      <w:r>
        <w:rPr>
          <w:rFonts w:ascii="宋体" w:hAnsi="宋体" w:hint="eastAsia"/>
          <w:color w:val="000000"/>
          <w:sz w:val="21"/>
          <w:szCs w:val="21"/>
        </w:rPr>
        <w:t>320</w:t>
      </w:r>
      <w:r>
        <w:rPr>
          <w:rFonts w:ascii="宋体" w:hAnsi="宋体" w:hint="eastAsia"/>
          <w:color w:val="000000"/>
          <w:sz w:val="21"/>
          <w:szCs w:val="21"/>
        </w:rPr>
        <w:t>克</w:t>
      </w:r>
      <w:r>
        <w:rPr>
          <w:rFonts w:ascii="宋体" w:hAnsi="宋体" w:hint="eastAsia"/>
          <w:color w:val="000000"/>
          <w:sz w:val="21"/>
          <w:szCs w:val="21"/>
        </w:rPr>
        <w:t>/</w:t>
      </w:r>
      <w:r>
        <w:rPr>
          <w:rFonts w:ascii="宋体" w:hAnsi="宋体" w:hint="eastAsia"/>
          <w:color w:val="000000"/>
          <w:sz w:val="21"/>
          <w:szCs w:val="21"/>
        </w:rPr>
        <w:t>升。”的形式考核。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⑤重复考核原题或相似度较高的题目。重者恒重，有些知</w:t>
      </w:r>
      <w:r>
        <w:rPr>
          <w:rFonts w:ascii="宋体" w:hAnsi="宋体" w:hint="eastAsia"/>
          <w:color w:val="000000"/>
          <w:sz w:val="21"/>
          <w:szCs w:val="21"/>
        </w:rPr>
        <w:t>识点年年考，年年命题，题目相似度很高，是拿分要点。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（</w:t>
      </w:r>
      <w:r>
        <w:rPr>
          <w:rFonts w:ascii="宋体" w:hAnsi="宋体" w:hint="eastAsia"/>
          <w:color w:val="000000"/>
          <w:sz w:val="21"/>
          <w:szCs w:val="21"/>
        </w:rPr>
        <w:t>2023</w:t>
      </w:r>
      <w:r>
        <w:rPr>
          <w:rFonts w:ascii="宋体" w:hAnsi="宋体" w:hint="eastAsia"/>
          <w:color w:val="000000"/>
          <w:sz w:val="21"/>
          <w:szCs w:val="21"/>
        </w:rPr>
        <w:t>年单选题）下列业务属于增值税视同销售的是（　）。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（</w:t>
      </w:r>
      <w:r>
        <w:rPr>
          <w:rFonts w:ascii="宋体" w:hAnsi="宋体" w:hint="eastAsia"/>
          <w:color w:val="000000"/>
          <w:sz w:val="21"/>
          <w:szCs w:val="21"/>
        </w:rPr>
        <w:t>2025</w:t>
      </w:r>
      <w:r>
        <w:rPr>
          <w:rFonts w:ascii="宋体" w:hAnsi="宋体" w:hint="eastAsia"/>
          <w:color w:val="000000"/>
          <w:sz w:val="21"/>
          <w:szCs w:val="21"/>
        </w:rPr>
        <w:t>年单选题）下列行为中，不属于增值税视同销售的是（　）。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单项选择题、多项选择题做题要求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单选题属于基础题，找出最符合题意的选项，力争不丢分。（</w:t>
      </w:r>
      <w:r>
        <w:rPr>
          <w:rFonts w:ascii="宋体" w:hAnsi="宋体" w:hint="eastAsia"/>
          <w:color w:val="000000"/>
          <w:sz w:val="21"/>
          <w:szCs w:val="21"/>
        </w:rPr>
        <w:t>60</w:t>
      </w:r>
      <w:r>
        <w:rPr>
          <w:rFonts w:ascii="宋体" w:hAnsi="宋体" w:hint="eastAsia"/>
          <w:color w:val="000000"/>
          <w:sz w:val="21"/>
          <w:szCs w:val="21"/>
        </w:rPr>
        <w:t>分里拿</w:t>
      </w:r>
      <w:r>
        <w:rPr>
          <w:rFonts w:ascii="宋体" w:hAnsi="宋体" w:hint="eastAsia"/>
          <w:color w:val="000000"/>
          <w:sz w:val="21"/>
          <w:szCs w:val="21"/>
        </w:rPr>
        <w:t>50</w:t>
      </w:r>
      <w:r>
        <w:rPr>
          <w:rFonts w:ascii="宋体" w:hAnsi="宋体" w:hint="eastAsia"/>
          <w:color w:val="000000"/>
          <w:sz w:val="21"/>
          <w:szCs w:val="21"/>
        </w:rPr>
        <w:t>）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多项选择题在少选但没有错选的情况下，每个选项可以得</w:t>
      </w:r>
      <w:r>
        <w:rPr>
          <w:rFonts w:ascii="宋体" w:hAnsi="宋体" w:hint="eastAsia"/>
          <w:color w:val="000000"/>
          <w:sz w:val="21"/>
          <w:szCs w:val="21"/>
        </w:rPr>
        <w:t>0.5</w:t>
      </w:r>
      <w:r>
        <w:rPr>
          <w:rFonts w:ascii="宋体" w:hAnsi="宋体" w:hint="eastAsia"/>
          <w:color w:val="000000"/>
          <w:sz w:val="21"/>
          <w:szCs w:val="21"/>
        </w:rPr>
        <w:t>分。要求考生在答题时要特别谨慎，宁可少选，不要贸然多选。（</w:t>
      </w:r>
      <w:r>
        <w:rPr>
          <w:rFonts w:ascii="宋体" w:hAnsi="宋体" w:hint="eastAsia"/>
          <w:color w:val="000000"/>
          <w:sz w:val="21"/>
          <w:szCs w:val="21"/>
        </w:rPr>
        <w:t>40</w:t>
      </w:r>
      <w:r>
        <w:rPr>
          <w:rFonts w:ascii="宋体" w:hAnsi="宋体" w:hint="eastAsia"/>
          <w:color w:val="000000"/>
          <w:sz w:val="21"/>
          <w:szCs w:val="21"/>
        </w:rPr>
        <w:t>分里抓</w:t>
      </w:r>
      <w:r>
        <w:rPr>
          <w:rFonts w:ascii="宋体" w:hAnsi="宋体" w:hint="eastAsia"/>
          <w:color w:val="000000"/>
          <w:sz w:val="21"/>
          <w:szCs w:val="21"/>
        </w:rPr>
        <w:t>22</w:t>
      </w:r>
      <w:r>
        <w:rPr>
          <w:rFonts w:ascii="宋体" w:hAnsi="宋体" w:hint="eastAsia"/>
          <w:color w:val="000000"/>
          <w:sz w:val="21"/>
          <w:szCs w:val="21"/>
        </w:rPr>
        <w:t>）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2.</w:t>
      </w:r>
      <w:r>
        <w:rPr>
          <w:rFonts w:ascii="宋体" w:hAnsi="宋体" w:hint="eastAsia"/>
          <w:color w:val="000000"/>
          <w:sz w:val="21"/>
          <w:szCs w:val="21"/>
        </w:rPr>
        <w:t>计算题、综合分析题命题特点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①题干简练，考点集中，句</w:t>
      </w:r>
      <w:r>
        <w:rPr>
          <w:rFonts w:ascii="宋体" w:hAnsi="宋体" w:hint="eastAsia"/>
          <w:color w:val="000000"/>
          <w:sz w:val="21"/>
          <w:szCs w:val="21"/>
        </w:rPr>
        <w:t>句精华。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②计算题考核单一税种，综合分析题跨税种考核（同一业务涉及两个或三个税种）。往年综合分析题的跨税种综合多分布在：增值税＋消费税；增值税＋资源税。近年来有增值税＋消费税＋车辆购置税、增值税＋消费税＋环境保护税的考核，小税种的计算也不容小觑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③出题形式新颖，涉及业务贴近企业实务，涵盖知识点广泛全面，考核主体及业务活动更贴近生活。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计算题、综合分析题做题要求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计算题相比综合性弱，考核较单一，</w:t>
      </w:r>
      <w:r>
        <w:rPr>
          <w:rFonts w:ascii="宋体" w:hAnsi="宋体" w:hint="eastAsia"/>
          <w:color w:val="000000"/>
          <w:sz w:val="21"/>
          <w:szCs w:val="21"/>
        </w:rPr>
        <w:t>16</w:t>
      </w:r>
      <w:r>
        <w:rPr>
          <w:rFonts w:ascii="宋体" w:hAnsi="宋体" w:hint="eastAsia"/>
          <w:color w:val="000000"/>
          <w:sz w:val="21"/>
          <w:szCs w:val="21"/>
        </w:rPr>
        <w:t>分里取</w:t>
      </w:r>
      <w:r>
        <w:rPr>
          <w:rFonts w:ascii="宋体" w:hAnsi="宋体" w:hint="eastAsia"/>
          <w:color w:val="000000"/>
          <w:sz w:val="21"/>
          <w:szCs w:val="21"/>
        </w:rPr>
        <w:t>12</w:t>
      </w:r>
      <w:r>
        <w:rPr>
          <w:rFonts w:ascii="宋体" w:hAnsi="宋体" w:hint="eastAsia"/>
          <w:color w:val="000000"/>
          <w:sz w:val="21"/>
          <w:szCs w:val="21"/>
        </w:rPr>
        <w:t>分。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综合分析题难度较大，大多是多税种杂糅，全面考核，</w:t>
      </w:r>
      <w:r>
        <w:rPr>
          <w:rFonts w:ascii="宋体" w:hAnsi="宋体" w:hint="eastAsia"/>
          <w:color w:val="000000"/>
          <w:sz w:val="21"/>
          <w:szCs w:val="21"/>
        </w:rPr>
        <w:t>24</w:t>
      </w:r>
      <w:r>
        <w:rPr>
          <w:rFonts w:ascii="宋体" w:hAnsi="宋体" w:hint="eastAsia"/>
          <w:color w:val="000000"/>
          <w:sz w:val="21"/>
          <w:szCs w:val="21"/>
        </w:rPr>
        <w:t>分勇夺</w:t>
      </w:r>
      <w:r>
        <w:rPr>
          <w:rFonts w:ascii="宋体" w:hAnsi="宋体" w:hint="eastAsia"/>
          <w:color w:val="000000"/>
          <w:sz w:val="21"/>
          <w:szCs w:val="21"/>
        </w:rPr>
        <w:t>16</w:t>
      </w:r>
      <w:r>
        <w:rPr>
          <w:rFonts w:ascii="宋体" w:hAnsi="宋体" w:hint="eastAsia"/>
          <w:color w:val="000000"/>
          <w:sz w:val="21"/>
          <w:szCs w:val="21"/>
        </w:rPr>
        <w:t>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合计：</w:t>
      </w:r>
      <w:r>
        <w:rPr>
          <w:rFonts w:ascii="宋体" w:hAnsi="宋体" w:hint="eastAsia"/>
          <w:color w:val="000000"/>
          <w:sz w:val="21"/>
          <w:szCs w:val="21"/>
        </w:rPr>
        <w:t>100</w:t>
      </w:r>
      <w:r>
        <w:rPr>
          <w:rFonts w:ascii="宋体" w:hAnsi="宋体" w:hint="eastAsia"/>
          <w:color w:val="000000"/>
          <w:sz w:val="21"/>
          <w:szCs w:val="21"/>
        </w:rPr>
        <w:t>分，取其上，得其中，取其中，得其下。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五、学习方法——以终为始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计划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计划不宜过久远，建议以周为单位。计划不宜过高，以能达到为佳，重在坚持，不懈怠。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方法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学习方法因人而异，最常规的是先听懂课程再配套练习，不懂的反复听，一个阶段有一个总结。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听课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建议不倍速，不跳节，第一遍边听边圈划笔记，之后无限次播放，以达到对知识点的条件反射。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做题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先做课件题目，再做练习册，然后在电脑上练习网校题库，错题有归集，坑题有记录，坚决不跳第二回。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一部分失败者，仅仅交了报名费；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一部分失败者，没有听完基础班；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一部分失败者，没有做完习题册；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一部分失败者，轻敌大意不在乎；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一部分失败者，考前没敢上战场；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 xml:space="preserve">......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而成功者，都是一样的：努力，坚持，自律，沉着，冷静！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</w:p>
    <w:sectPr w:rsidR="00000000">
      <w:headerReference w:type="default" r:id="rId6"/>
      <w:footerReference w:type="default" r:id="rId7"/>
      <w:pgSz w:w="11907" w:h="16840"/>
      <w:pgMar w:top="1304" w:right="1134" w:bottom="1304" w:left="1134" w:header="425" w:footer="709" w:gutter="0"/>
      <w:cols w:space="425"/>
      <w:docGrid w:type="lines"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0000" w:rsidRDefault="00013084">
      <w:pPr>
        <w:rPr>
          <w:color w:val="000000"/>
        </w:rPr>
      </w:pPr>
      <w:r>
        <w:rPr>
          <w:color w:val="000000"/>
        </w:rPr>
        <w:separator/>
      </w:r>
    </w:p>
  </w:endnote>
  <w:endnote w:type="continuationSeparator" w:id="1">
    <w:p w:rsidR="00000000" w:rsidRDefault="00013084">
      <w:pPr>
        <w:rPr>
          <w:color w:val="000000"/>
        </w:rPr>
      </w:pPr>
      <w:r>
        <w:rPr>
          <w:color w:val="000000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013084">
    <w:pPr>
      <w:pStyle w:val="aa"/>
      <w:rPr>
        <w:rFonts w:ascii="Arial Unicode MS" w:hAnsi="Arial Unicode MS" w:cs="Arial Unicode MS"/>
        <w:b/>
        <w:bCs/>
        <w:color w:val="000000"/>
        <w:sz w:val="24"/>
      </w:rPr>
    </w:pPr>
    <w:r>
      <w:rPr>
        <w:rFonts w:ascii="Arial Unicode MS" w:hAnsi="Arial Unicode MS" w:cs="Arial Unicode MS"/>
        <w:b/>
        <w:noProof/>
        <w:color w:val="000000"/>
        <w:sz w:val="24"/>
      </w:rPr>
      <w:drawing>
        <wp:inline distT="0" distB="0" distL="0" distR="0">
          <wp:extent cx="1790700" cy="161925"/>
          <wp:effectExtent l="19050" t="0" r="0" b="0"/>
          <wp:docPr id="1" name="图片 2" descr="chinaacc_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chinaacc_footer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0700" cy="1619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Arial Unicode MS" w:hAnsi="Arial Unicode MS" w:cs="Arial Unicode MS" w:hint="eastAsia"/>
        <w:b/>
        <w:bCs/>
        <w:color w:val="000000"/>
        <w:sz w:val="24"/>
      </w:rPr>
      <w:t xml:space="preserve">　　　　　</w:t>
    </w:r>
    <w:r>
      <w:rPr>
        <w:rFonts w:ascii="Arial Unicode MS" w:hAnsi="Arial Unicode MS" w:cs="Arial Unicode MS" w:hint="eastAsia"/>
        <w:b/>
        <w:bCs/>
        <w:color w:val="000000"/>
        <w:sz w:val="24"/>
      </w:rPr>
      <w:t xml:space="preserve">                                                                 </w:t>
    </w:r>
    <w:r>
      <w:rPr>
        <w:rFonts w:ascii="Arial Unicode MS" w:hAnsi="Arial Unicode MS" w:cs="Arial Unicode MS" w:hint="eastAsia"/>
        <w:color w:val="000000"/>
      </w:rPr>
      <w:t>第</w:t>
    </w:r>
    <w:r>
      <w:rPr>
        <w:rStyle w:val="af5"/>
        <w:color w:val="000000"/>
      </w:rPr>
      <w:fldChar w:fldCharType="begin"/>
    </w:r>
    <w:r>
      <w:rPr>
        <w:rStyle w:val="af5"/>
        <w:color w:val="000000"/>
      </w:rPr>
      <w:instrText xml:space="preserve"> PAGE </w:instrText>
    </w:r>
    <w:r>
      <w:rPr>
        <w:rStyle w:val="af5"/>
        <w:color w:val="000000"/>
      </w:rPr>
      <w:fldChar w:fldCharType="separate"/>
    </w:r>
    <w:r>
      <w:rPr>
        <w:rStyle w:val="af5"/>
        <w:noProof/>
        <w:color w:val="000000"/>
      </w:rPr>
      <w:t>1</w:t>
    </w:r>
    <w:r>
      <w:rPr>
        <w:rStyle w:val="af5"/>
        <w:color w:val="000000"/>
      </w:rPr>
      <w:fldChar w:fldCharType="end"/>
    </w:r>
    <w:r>
      <w:rPr>
        <w:rStyle w:val="af5"/>
        <w:rFonts w:hint="eastAsia"/>
        <w:color w:val="000000"/>
      </w:rPr>
      <w:t>页</w:t>
    </w:r>
  </w:p>
  <w:p>
    <w:pPr>
      <w:jc w:val="center"/>
    </w:pPr>
    <w:r>
      <w:rPr>
        <w:sz w:val="2"/>
        <w:color w:val="FFFFFF"/>
        <w:strike w:val="on"/>
      </w:rPr>
      <w:t>#DownID#:71544552 #Time#:1781143650616#Type#:file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0000" w:rsidRDefault="00013084">
      <w:pPr>
        <w:rPr>
          <w:color w:val="000000"/>
        </w:rPr>
      </w:pPr>
      <w:r>
        <w:rPr>
          <w:color w:val="000000"/>
        </w:rPr>
        <w:separator/>
      </w:r>
    </w:p>
  </w:footnote>
  <w:footnote w:type="continuationSeparator" w:id="1">
    <w:p w:rsidR="00000000" w:rsidRDefault="00013084">
      <w:pPr>
        <w:rPr>
          <w:color w:val="000000"/>
        </w:rPr>
      </w:pPr>
      <w:r>
        <w:rPr>
          <w:color w:val="000000"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013084" w:rsidP="00013084">
    <w:pPr>
      <w:pStyle w:val="a9"/>
      <w:tabs>
        <w:tab w:val="clear" w:pos="4153"/>
        <w:tab w:val="clear" w:pos="8306"/>
        <w:tab w:val="center" w:pos="4819"/>
        <w:tab w:val="right" w:pos="9639"/>
      </w:tabs>
      <w:spacing w:beforeLines="100"/>
      <w:jc w:val="both"/>
      <w:rPr>
        <w:color w:val="000000"/>
      </w:rPr>
    </w:pPr>
    <w:r>
      <w:rPr>
        <w:rFonts w:ascii="楷体" w:eastAsia="楷体" w:hAnsi="楷体" w:hint="eastAsia"/>
        <w:b/>
        <w:bCs/>
        <w:color w:val="000000"/>
        <w:sz w:val="21"/>
        <w:szCs w:val="21"/>
      </w:rPr>
      <w:t>税务师《税法（一）》　　　　　　　　　　　　　　　　　　　　　　　　　　　　　　　　　前</w:t>
    </w:r>
    <w:r>
      <w:rPr>
        <w:rFonts w:ascii="楷体" w:eastAsia="楷体" w:hAnsi="楷体" w:hint="eastAsia"/>
        <w:b/>
        <w:bCs/>
        <w:color w:val="000000"/>
        <w:sz w:val="21"/>
        <w:szCs w:val="21"/>
      </w:rPr>
      <w:t xml:space="preserve"> </w:t>
    </w:r>
    <w:r>
      <w:rPr>
        <w:rFonts w:ascii="楷体" w:eastAsia="楷体" w:hAnsi="楷体" w:hint="eastAsia"/>
        <w:b/>
        <w:bCs/>
        <w:color w:val="000000"/>
        <w:sz w:val="21"/>
        <w:szCs w:val="21"/>
      </w:rPr>
      <w:t>言</w:t>
    </w:r>
    <w:r>
      <w:rPr>
        <w:color w:val="000000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hideSpellingErrors/>
  <w:defaultTabStop w:val="420"/>
  <w:characterSpacingControl w:val="compressPunctuation"/>
  <w:hdrShapeDefaults>
    <o:shapedefaults v:ext="edit" spidmax="14337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013084"/>
    <w:rsid w:val="000130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9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Body Text" w:uiPriority="99"/>
    <w:lsdException w:name="Message Header" w:uiPriority="99"/>
    <w:lsdException w:name="Subtitle" w:qFormat="1"/>
    <w:lsdException w:name="Hyperlink" w:uiPriority="99"/>
    <w:lsdException w:name="FollowedHyperlink" w:uiPriority="99"/>
    <w:lsdException w:name="Strong" w:qFormat="1"/>
    <w:lsdException w:name="Emphasis" w:uiPriority="20" w:qFormat="1"/>
    <w:lsdException w:name="Plain Text" w:uiPriority="99"/>
    <w:lsdException w:name="Normal (Web)" w:uiPriority="99"/>
    <w:lsdException w:name="annotation subject" w:uiPriority="99"/>
    <w:lsdException w:name="Balloon Text" w:uiPriority="99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widowControl w:val="0"/>
      <w:spacing w:before="340" w:after="330" w:line="576" w:lineRule="auto"/>
      <w:jc w:val="both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rFonts w:ascii="宋体" w:hAnsi="宋体" w:cs="宋体"/>
      <w:b/>
      <w:bCs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rFonts w:ascii="宋体" w:hAnsi="宋体" w:cs="宋体"/>
      <w:b/>
      <w:bCs/>
    </w:rPr>
  </w:style>
  <w:style w:type="paragraph" w:styleId="4">
    <w:name w:val="heading 4"/>
    <w:basedOn w:val="a"/>
    <w:link w:val="4Char"/>
    <w:uiPriority w:val="9"/>
    <w:qFormat/>
    <w:pPr>
      <w:spacing w:before="100" w:beforeAutospacing="1" w:after="100" w:afterAutospacing="1"/>
      <w:outlineLvl w:val="3"/>
    </w:pPr>
    <w:rPr>
      <w:rFonts w:ascii="宋体" w:hAnsi="宋体" w:cs="宋体"/>
      <w:b/>
      <w:bCs/>
    </w:rPr>
  </w:style>
  <w:style w:type="paragraph" w:styleId="5">
    <w:name w:val="heading 5"/>
    <w:basedOn w:val="a"/>
    <w:link w:val="5Char"/>
    <w:uiPriority w:val="9"/>
    <w:qFormat/>
    <w:pPr>
      <w:spacing w:before="100" w:beforeAutospacing="1" w:after="100" w:afterAutospacing="1"/>
      <w:outlineLvl w:val="4"/>
    </w:pPr>
    <w:rPr>
      <w:rFonts w:ascii="宋体" w:hAnsi="宋体" w:cs="宋体"/>
      <w:b/>
      <w:bCs/>
    </w:rPr>
  </w:style>
  <w:style w:type="paragraph" w:styleId="6">
    <w:name w:val="heading 6"/>
    <w:basedOn w:val="a"/>
    <w:link w:val="6Char"/>
    <w:uiPriority w:val="9"/>
    <w:qFormat/>
    <w:pPr>
      <w:spacing w:before="100" w:beforeAutospacing="1" w:after="100" w:afterAutospacing="1"/>
      <w:outlineLvl w:val="5"/>
    </w:pPr>
    <w:rPr>
      <w:rFonts w:ascii="宋体" w:hAnsi="宋体" w:cs="宋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00FF"/>
      <w:u w:val="single"/>
    </w:rPr>
  </w:style>
  <w:style w:type="character" w:styleId="a4">
    <w:name w:val="FollowedHyperlink"/>
    <w:basedOn w:val="a0"/>
    <w:uiPriority w:val="99"/>
    <w:rPr>
      <w:color w:val="800080" w:themeColor="followedHyperlink"/>
      <w:u w:val="single"/>
    </w:rPr>
  </w:style>
  <w:style w:type="paragraph" w:styleId="HTML">
    <w:name w:val="HTML Address"/>
    <w:basedOn w:val="a"/>
    <w:link w:val="HTMLChar"/>
    <w:rPr>
      <w:rFonts w:ascii="宋体" w:hAnsi="宋体" w:cs="宋体"/>
    </w:rPr>
  </w:style>
  <w:style w:type="character" w:customStyle="1" w:styleId="HTMLChar">
    <w:name w:val="HTML 地址 Char"/>
    <w:basedOn w:val="a0"/>
    <w:link w:val="HTML"/>
    <w:locked/>
    <w:rPr>
      <w:i/>
      <w:iCs/>
      <w:sz w:val="24"/>
      <w:szCs w:val="24"/>
    </w:rPr>
  </w:style>
  <w:style w:type="character" w:styleId="HTML0">
    <w:name w:val="HTML Cite"/>
    <w:basedOn w:val="a0"/>
    <w:rPr>
      <w:b w:val="0"/>
      <w:bCs w:val="0"/>
      <w:i w:val="0"/>
      <w:iCs w:val="0"/>
    </w:rPr>
  </w:style>
  <w:style w:type="character" w:styleId="HTML1">
    <w:name w:val="HTML Code"/>
    <w:basedOn w:val="a0"/>
    <w:rPr>
      <w:rFonts w:ascii="宋体" w:eastAsia="宋体" w:hAnsi="宋体" w:cs="宋体" w:hint="eastAsia"/>
      <w:b w:val="0"/>
      <w:bCs w:val="0"/>
      <w:i w:val="0"/>
      <w:iCs w:val="0"/>
      <w:sz w:val="24"/>
      <w:szCs w:val="24"/>
    </w:rPr>
  </w:style>
  <w:style w:type="character" w:styleId="HTML2">
    <w:name w:val="HTML Definition"/>
    <w:basedOn w:val="a0"/>
    <w:rPr>
      <w:b w:val="0"/>
      <w:bCs w:val="0"/>
      <w:i w:val="0"/>
      <w:iCs w:val="0"/>
    </w:rPr>
  </w:style>
  <w:style w:type="character" w:styleId="a5">
    <w:name w:val="Emphasis"/>
    <w:basedOn w:val="a0"/>
    <w:uiPriority w:val="20"/>
    <w:qFormat/>
    <w:rPr>
      <w:b w:val="0"/>
      <w:bCs w:val="0"/>
      <w:i w:val="0"/>
      <w:iCs w:val="0"/>
    </w:rPr>
  </w:style>
  <w:style w:type="character" w:customStyle="1" w:styleId="1Char">
    <w:name w:val="标题 1 Char"/>
    <w:basedOn w:val="a0"/>
    <w:link w:val="1"/>
    <w:uiPriority w:val="9"/>
    <w:locked/>
    <w:rPr>
      <w:rFonts w:ascii="宋体" w:eastAsia="宋体" w:hAnsi="宋体" w:hint="eastAsia"/>
      <w:b/>
      <w:bCs/>
      <w:kern w:val="44"/>
      <w:sz w:val="44"/>
      <w:szCs w:val="44"/>
      <w:lang w:val="en-US" w:eastAsia="zh-CN" w:bidi="ar-SA"/>
    </w:rPr>
  </w:style>
  <w:style w:type="character" w:customStyle="1" w:styleId="2Char">
    <w:name w:val="标题 2 Char"/>
    <w:basedOn w:val="a0"/>
    <w:link w:val="2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3Char">
    <w:name w:val="标题 3 Char"/>
    <w:basedOn w:val="a0"/>
    <w:link w:val="3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4Char">
    <w:name w:val="标题 4 Char"/>
    <w:basedOn w:val="a0"/>
    <w:link w:val="4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5Char">
    <w:name w:val="标题 5 Char"/>
    <w:basedOn w:val="a0"/>
    <w:link w:val="5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6Char">
    <w:name w:val="标题 6 Char"/>
    <w:basedOn w:val="a0"/>
    <w:link w:val="6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paragraph" w:styleId="HTML3">
    <w:name w:val="HTML Preformatted"/>
    <w:basedOn w:val="a"/>
    <w:link w:val="HTMLChar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</w:rPr>
  </w:style>
  <w:style w:type="character" w:customStyle="1" w:styleId="HTMLChar0">
    <w:name w:val="HTML 预设格式 Char"/>
    <w:basedOn w:val="a0"/>
    <w:link w:val="HTML3"/>
    <w:locked/>
    <w:rPr>
      <w:rFonts w:ascii="Courier New" w:hAnsi="Courier New" w:cs="Courier New" w:hint="default"/>
    </w:rPr>
  </w:style>
  <w:style w:type="character" w:styleId="a6">
    <w:name w:val="Strong"/>
    <w:basedOn w:val="a0"/>
    <w:qFormat/>
    <w:rPr>
      <w:b/>
      <w:bCs/>
    </w:rPr>
  </w:style>
  <w:style w:type="character" w:styleId="HTML4">
    <w:name w:val="HTML Variable"/>
    <w:basedOn w:val="a0"/>
    <w:rPr>
      <w:b w:val="0"/>
      <w:bCs w:val="0"/>
      <w:i w:val="0"/>
      <w:iCs w:val="0"/>
    </w:rPr>
  </w:style>
  <w:style w:type="paragraph" w:styleId="a7">
    <w:name w:val="Normal (Web)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styleId="10">
    <w:name w:val="toc 1"/>
    <w:basedOn w:val="a"/>
    <w:next w:val="a"/>
    <w:autoRedefine/>
    <w:uiPriority w:val="99"/>
    <w:semiHidden/>
    <w:rPr>
      <w:b/>
    </w:rPr>
  </w:style>
  <w:style w:type="paragraph" w:styleId="a8">
    <w:name w:val="annotation text"/>
    <w:basedOn w:val="a"/>
    <w:link w:val="Char"/>
    <w:uiPriority w:val="99"/>
    <w:semiHidden/>
    <w:pPr>
      <w:widowControl w:val="0"/>
    </w:pPr>
    <w:rPr>
      <w:kern w:val="2"/>
      <w:sz w:val="21"/>
    </w:rPr>
  </w:style>
  <w:style w:type="character" w:customStyle="1" w:styleId="Char">
    <w:name w:val="批注文字 Char"/>
    <w:basedOn w:val="a0"/>
    <w:link w:val="a8"/>
    <w:uiPriority w:val="99"/>
    <w:locked/>
    <w:rPr>
      <w:sz w:val="24"/>
      <w:szCs w:val="24"/>
    </w:rPr>
  </w:style>
  <w:style w:type="paragraph" w:styleId="a9">
    <w:name w:val="header"/>
    <w:basedOn w:val="a"/>
    <w:link w:val="Char0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9"/>
    <w:uiPriority w:val="99"/>
    <w:locked/>
    <w:rPr>
      <w:sz w:val="18"/>
      <w:szCs w:val="18"/>
    </w:rPr>
  </w:style>
  <w:style w:type="paragraph" w:styleId="aa">
    <w:name w:val="footer"/>
    <w:basedOn w:val="a"/>
    <w:link w:val="Char1"/>
    <w:uiPriority w:val="99"/>
    <w:pPr>
      <w:tabs>
        <w:tab w:val="center" w:pos="4153"/>
        <w:tab w:val="right" w:pos="8306"/>
      </w:tabs>
      <w:snapToGrid w:val="0"/>
      <w:spacing w:before="100" w:beforeAutospacing="1"/>
      <w:ind w:right="567"/>
      <w:jc w:val="right"/>
    </w:pPr>
    <w:rPr>
      <w:sz w:val="18"/>
      <w:szCs w:val="18"/>
    </w:rPr>
  </w:style>
  <w:style w:type="character" w:customStyle="1" w:styleId="Char1">
    <w:name w:val="页脚 Char"/>
    <w:basedOn w:val="a0"/>
    <w:link w:val="aa"/>
    <w:uiPriority w:val="99"/>
    <w:locked/>
    <w:rPr>
      <w:sz w:val="18"/>
      <w:szCs w:val="18"/>
    </w:rPr>
  </w:style>
  <w:style w:type="paragraph" w:styleId="ab">
    <w:name w:val="Body Text"/>
    <w:basedOn w:val="a"/>
    <w:link w:val="Char2"/>
    <w:uiPriority w:val="99"/>
    <w:pPr>
      <w:widowControl w:val="0"/>
      <w:jc w:val="both"/>
    </w:pPr>
    <w:rPr>
      <w:kern w:val="2"/>
      <w:sz w:val="18"/>
    </w:rPr>
  </w:style>
  <w:style w:type="character" w:customStyle="1" w:styleId="Char2">
    <w:name w:val="正文文本 Char"/>
    <w:basedOn w:val="a0"/>
    <w:link w:val="ab"/>
    <w:uiPriority w:val="99"/>
    <w:locked/>
    <w:rPr>
      <w:sz w:val="24"/>
      <w:szCs w:val="24"/>
    </w:rPr>
  </w:style>
  <w:style w:type="paragraph" w:styleId="ac">
    <w:name w:val="Message Header"/>
    <w:basedOn w:val="a"/>
    <w:link w:val="Char3"/>
    <w:uiPriority w:val="9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character" w:customStyle="1" w:styleId="Char3">
    <w:name w:val="信息标题 Char"/>
    <w:basedOn w:val="a0"/>
    <w:link w:val="ac"/>
    <w:uiPriority w:val="99"/>
    <w:locked/>
    <w:rPr>
      <w:rFonts w:asciiTheme="majorHAnsi" w:eastAsiaTheme="majorEastAsia" w:hAnsiTheme="majorHAnsi" w:cstheme="majorBidi" w:hint="default"/>
      <w:sz w:val="24"/>
      <w:szCs w:val="24"/>
      <w:shd w:val="pct20" w:color="auto" w:fill="auto"/>
    </w:rPr>
  </w:style>
  <w:style w:type="character" w:customStyle="1" w:styleId="Char4">
    <w:name w:val="纯文本 Char"/>
    <w:aliases w:val="Char Char,普通文字 Char Char Char1,Ch= ar Char Char Char Char Char1,Char Char Char Char Char1,Char Char Char Char2,普通٘= 7字 Char Char1"/>
    <w:basedOn w:val="a0"/>
    <w:link w:val="ad"/>
    <w:locked/>
    <w:rPr>
      <w:rFonts w:ascii="宋体" w:eastAsia="宋体" w:hAnsi="Courier New" w:cs="Courier New" w:hint="eastAsia"/>
      <w:sz w:val="21"/>
      <w:szCs w:val="21"/>
    </w:rPr>
  </w:style>
  <w:style w:type="paragraph" w:styleId="ad">
    <w:name w:val="Plain Text"/>
    <w:aliases w:val="Char,普通文字 Char Char,Ch= ar Char Char Char Char,Char Char Char Char,Char Char Char,普通٘= 7字 Char"/>
    <w:basedOn w:val="a"/>
    <w:link w:val="Char4"/>
    <w:uiPriority w:val="99"/>
    <w:pPr>
      <w:widowControl w:val="0"/>
      <w:jc w:val="both"/>
    </w:pPr>
    <w:rPr>
      <w:rFonts w:ascii="宋体" w:hAnsi="Courier New"/>
      <w:kern w:val="2"/>
      <w:sz w:val="21"/>
      <w:szCs w:val="21"/>
    </w:rPr>
  </w:style>
  <w:style w:type="character" w:customStyle="1" w:styleId="Char10">
    <w:name w:val="纯文本 Char1"/>
    <w:aliases w:val="Char Char1,普通文字 Char Char Char,Ch= ar Char Char Char Char Char,Char Char Char Char Char,Char Char Char Char1,普通٘= 7字 Char Char"/>
    <w:basedOn w:val="a0"/>
    <w:link w:val="ad"/>
    <w:uiPriority w:val="99"/>
    <w:locked/>
    <w:rPr>
      <w:rFonts w:ascii="宋体" w:eastAsia="宋体" w:hAnsi="Courier New" w:cs="Courier New" w:hint="eastAsia"/>
      <w:sz w:val="21"/>
      <w:szCs w:val="21"/>
    </w:rPr>
  </w:style>
  <w:style w:type="paragraph" w:styleId="ae">
    <w:name w:val="annotation subject"/>
    <w:basedOn w:val="a8"/>
    <w:next w:val="a8"/>
    <w:link w:val="Char5"/>
    <w:uiPriority w:val="99"/>
    <w:semiHidden/>
    <w:pPr>
      <w:widowControl/>
    </w:pPr>
    <w:rPr>
      <w:b/>
      <w:bCs/>
      <w:kern w:val="0"/>
      <w:sz w:val="24"/>
    </w:rPr>
  </w:style>
  <w:style w:type="character" w:customStyle="1" w:styleId="Char5">
    <w:name w:val="批注主题 Char"/>
    <w:basedOn w:val="Char"/>
    <w:link w:val="ae"/>
    <w:uiPriority w:val="99"/>
    <w:locked/>
    <w:rPr>
      <w:b/>
      <w:bCs/>
    </w:rPr>
  </w:style>
  <w:style w:type="paragraph" w:styleId="af">
    <w:name w:val="Balloon Text"/>
    <w:basedOn w:val="a"/>
    <w:link w:val="Char6"/>
    <w:uiPriority w:val="99"/>
    <w:semiHidden/>
    <w:rPr>
      <w:sz w:val="18"/>
      <w:szCs w:val="18"/>
    </w:rPr>
  </w:style>
  <w:style w:type="character" w:customStyle="1" w:styleId="Char6">
    <w:name w:val="批注框文本 Char"/>
    <w:basedOn w:val="a0"/>
    <w:link w:val="af"/>
    <w:uiPriority w:val="99"/>
    <w:locked/>
    <w:rPr>
      <w:sz w:val="18"/>
      <w:szCs w:val="18"/>
    </w:rPr>
  </w:style>
  <w:style w:type="paragraph" w:customStyle="1" w:styleId="100">
    <w:name w:val="样式10"/>
    <w:basedOn w:val="ac"/>
    <w:next w:val="a"/>
    <w:autoRedefine/>
    <w:uiPriority w:val="99"/>
    <w:pPr>
      <w:jc w:val="center"/>
    </w:pPr>
    <w:rPr>
      <w:bCs/>
      <w:kern w:val="44"/>
      <w:sz w:val="28"/>
    </w:rPr>
  </w:style>
  <w:style w:type="paragraph" w:customStyle="1" w:styleId="af0">
    <w:name w:val="表头"/>
    <w:basedOn w:val="a"/>
    <w:autoRedefine/>
    <w:uiPriority w:val="99"/>
    <w:pPr>
      <w:widowControl w:val="0"/>
      <w:spacing w:beforeLines="50" w:line="0" w:lineRule="atLeast"/>
      <w:jc w:val="both"/>
    </w:pPr>
    <w:rPr>
      <w:rFonts w:ascii="宋体" w:hAnsi="宋体"/>
      <w:kern w:val="2"/>
      <w:sz w:val="18"/>
    </w:rPr>
  </w:style>
  <w:style w:type="paragraph" w:customStyle="1" w:styleId="af1">
    <w:name w:val="简单回函地址"/>
    <w:basedOn w:val="a"/>
    <w:uiPriority w:val="99"/>
    <w:pPr>
      <w:widowControl w:val="0"/>
      <w:jc w:val="both"/>
    </w:pPr>
    <w:rPr>
      <w:kern w:val="2"/>
      <w:sz w:val="21"/>
    </w:rPr>
  </w:style>
  <w:style w:type="paragraph" w:customStyle="1" w:styleId="af2">
    <w:name w:val="图表"/>
    <w:basedOn w:val="a"/>
    <w:autoRedefine/>
    <w:uiPriority w:val="99"/>
    <w:pPr>
      <w:widowControl w:val="0"/>
      <w:spacing w:beforeLines="50"/>
      <w:jc w:val="both"/>
    </w:pPr>
    <w:rPr>
      <w:rFonts w:ascii="宋体" w:hAnsi="宋体"/>
      <w:sz w:val="21"/>
      <w:szCs w:val="21"/>
    </w:rPr>
  </w:style>
  <w:style w:type="paragraph" w:customStyle="1" w:styleId="font14zd">
    <w:name w:val="font14zd"/>
    <w:basedOn w:val="a"/>
    <w:uiPriority w:val="99"/>
    <w:pPr>
      <w:pBdr>
        <w:bottom w:val="double" w:sz="6" w:space="0" w:color="000000"/>
      </w:pBdr>
      <w:spacing w:before="100" w:beforeAutospacing="1" w:after="100" w:afterAutospacing="1"/>
    </w:pPr>
    <w:rPr>
      <w:rFonts w:ascii="宋体" w:hAnsi="宋体" w:cs="宋体"/>
      <w:b/>
      <w:bCs/>
      <w:color w:val="B30101"/>
      <w:u w:val="single"/>
    </w:rPr>
  </w:style>
  <w:style w:type="paragraph" w:customStyle="1" w:styleId="font14jqkt">
    <w:name w:val="font14jqkt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7F7F7F"/>
      <w:sz w:val="21"/>
      <w:szCs w:val="21"/>
    </w:rPr>
  </w:style>
  <w:style w:type="paragraph" w:customStyle="1" w:styleId="open3">
    <w:name w:val="open3"/>
    <w:basedOn w:val="a"/>
    <w:uiPriority w:val="99"/>
    <w:pPr>
      <w:pBdr>
        <w:bottom w:val="single" w:sz="6" w:space="5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downloadbiaoge1">
    <w:name w:val="downloadbiaoge1"/>
    <w:basedOn w:val="a"/>
    <w:uiPriority w:val="99"/>
    <w:pPr>
      <w:pBdr>
        <w:left w:val="single" w:sz="6" w:space="0" w:color="F9C76F"/>
      </w:pBdr>
      <w:shd w:val="clear" w:color="auto" w:fill="FFFFFF"/>
    </w:pPr>
    <w:rPr>
      <w:rFonts w:ascii="宋体" w:hAnsi="宋体" w:cs="宋体"/>
    </w:rPr>
  </w:style>
  <w:style w:type="paragraph" w:customStyle="1" w:styleId="close2">
    <w:name w:val="close2"/>
    <w:basedOn w:val="a"/>
    <w:uiPriority w:val="99"/>
    <w:pPr>
      <w:pBdr>
        <w:bottom w:val="single" w:sz="6" w:space="0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open2">
    <w:name w:val="open2"/>
    <w:basedOn w:val="a"/>
    <w:uiPriority w:val="99"/>
    <w:pPr>
      <w:pBdr>
        <w:bottom w:val="single" w:sz="6" w:space="6" w:color="F9C76F"/>
      </w:pBdr>
      <w:shd w:val="clear" w:color="auto" w:fill="FFFBEC"/>
      <w:spacing w:before="100" w:beforeAutospacing="1" w:after="100" w:afterAutospacing="1"/>
    </w:pPr>
    <w:rPr>
      <w:rFonts w:ascii="宋体" w:hAnsi="宋体" w:cs="宋体"/>
    </w:rPr>
  </w:style>
  <w:style w:type="paragraph" w:customStyle="1" w:styleId="open1">
    <w:name w:val="open1"/>
    <w:basedOn w:val="a"/>
    <w:uiPriority w:val="99"/>
    <w:pPr>
      <w:pBdr>
        <w:bottom w:val="single" w:sz="6" w:space="6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biaoge1">
    <w:name w:val="biaoge1"/>
    <w:basedOn w:val="a"/>
    <w:uiPriority w:val="99"/>
    <w:pPr>
      <w:pBdr>
        <w:top w:val="single" w:sz="6" w:space="0" w:color="F9C76F"/>
        <w:left w:val="single" w:sz="6" w:space="0" w:color="F9C76F"/>
      </w:pBdr>
    </w:pPr>
    <w:rPr>
      <w:rFonts w:ascii="宋体" w:hAnsi="宋体" w:cs="宋体"/>
    </w:rPr>
  </w:style>
  <w:style w:type="paragraph" w:customStyle="1" w:styleId="xl1">
    <w:name w:val="xl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layout">
    <w:name w:val="layout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an">
    <w:name w:val="an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container">
    <w:name w:val="course_container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font1417">
    <w:name w:val="font1417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000000"/>
      <w:sz w:val="21"/>
      <w:szCs w:val="21"/>
    </w:rPr>
  </w:style>
  <w:style w:type="paragraph" w:customStyle="1" w:styleId="font1415">
    <w:name w:val="font1415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000000"/>
      <w:sz w:val="21"/>
      <w:szCs w:val="21"/>
    </w:rPr>
  </w:style>
  <w:style w:type="paragraph" w:customStyle="1" w:styleId="double">
    <w:name w:val="double"/>
    <w:basedOn w:val="a"/>
    <w:uiPriority w:val="99"/>
    <w:pPr>
      <w:pBdr>
        <w:bottom w:val="double" w:sz="6" w:space="0" w:color="000000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itle">
    <w:name w:val="title"/>
    <w:basedOn w:val="a"/>
    <w:uiPriority w:val="99"/>
    <w:pPr>
      <w:pBdr>
        <w:bottom w:val="single" w:sz="6" w:space="0" w:color="DDDDDD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tab">
    <w:name w:val="course_tab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yask">
    <w:name w:val="myask"/>
    <w:basedOn w:val="a"/>
    <w:uiPriority w:val="99"/>
    <w:pPr>
      <w:spacing w:before="375" w:after="100" w:afterAutospacing="1" w:line="330" w:lineRule="atLeast"/>
      <w:ind w:right="225"/>
    </w:pPr>
    <w:rPr>
      <w:rFonts w:ascii="宋体" w:hAnsi="宋体" w:cs="宋体"/>
      <w:color w:val="999999"/>
      <w:sz w:val="21"/>
      <w:szCs w:val="21"/>
    </w:rPr>
  </w:style>
  <w:style w:type="paragraph" w:customStyle="1" w:styleId="tip">
    <w:name w:val="tip"/>
    <w:basedOn w:val="a"/>
    <w:uiPriority w:val="99"/>
    <w:rPr>
      <w:rFonts w:ascii="宋体" w:hAnsi="宋体" w:cs="宋体"/>
    </w:rPr>
  </w:style>
  <w:style w:type="paragraph" w:customStyle="1" w:styleId="tabwrap">
    <w:name w:val="tabwrap"/>
    <w:basedOn w:val="a"/>
    <w:uiPriority w:val="99"/>
    <w:rPr>
      <w:rFonts w:ascii="宋体" w:hAnsi="宋体" w:cs="宋体"/>
      <w:vanish/>
    </w:rPr>
  </w:style>
  <w:style w:type="paragraph" w:customStyle="1" w:styleId="tabshow">
    <w:name w:val="tabshow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emodiv">
    <w:name w:val="memodiv"/>
    <w:basedOn w:val="a"/>
    <w:uiPriority w:val="99"/>
    <w:pPr>
      <w:spacing w:before="100" w:beforeAutospacing="1" w:after="150"/>
    </w:pPr>
    <w:rPr>
      <w:rFonts w:ascii="宋体" w:hAnsi="宋体" w:cs="宋体"/>
    </w:rPr>
  </w:style>
  <w:style w:type="paragraph" w:customStyle="1" w:styleId="curlecture">
    <w:name w:val="curlecture"/>
    <w:basedOn w:val="a"/>
    <w:uiPriority w:val="99"/>
    <w:pPr>
      <w:pBdr>
        <w:top w:val="dashed" w:sz="12" w:space="0" w:color="3D81E5"/>
        <w:left w:val="dashed" w:sz="12" w:space="0" w:color="3D81E5"/>
        <w:bottom w:val="dashed" w:sz="12" w:space="0" w:color="3D81E5"/>
        <w:right w:val="dashed" w:sz="12" w:space="0" w:color="3D81E5"/>
      </w:pBdr>
      <w:shd w:val="clear" w:color="auto" w:fill="FFFEE2"/>
      <w:spacing w:before="100" w:beforeAutospacing="1" w:after="100" w:afterAutospacing="1"/>
    </w:pPr>
    <w:rPr>
      <w:rFonts w:ascii="宋体" w:hAnsi="宋体" w:cs="宋体"/>
    </w:rPr>
  </w:style>
  <w:style w:type="paragraph" w:customStyle="1" w:styleId="tit">
    <w:name w:val="tit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con">
    <w:name w:val="con"/>
    <w:basedOn w:val="a"/>
    <w:uiPriority w:val="99"/>
    <w:pPr>
      <w:pBdr>
        <w:top w:val="single" w:sz="2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FFFFFF"/>
      <w:spacing w:before="100" w:beforeAutospacing="1" w:after="100" w:afterAutospacing="1"/>
    </w:pPr>
    <w:rPr>
      <w:rFonts w:ascii="宋体" w:hAnsi="宋体" w:cs="宋体"/>
    </w:rPr>
  </w:style>
  <w:style w:type="paragraph" w:customStyle="1" w:styleId="tipnull">
    <w:name w:val="tip_null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t1">
    <w:name w:val="t1"/>
    <w:basedOn w:val="a"/>
    <w:uiPriority w:val="99"/>
    <w:pPr>
      <w:pBdr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2">
    <w:name w:val="t2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ore">
    <w:name w:val="more"/>
    <w:basedOn w:val="a"/>
    <w:uiPriority w:val="99"/>
    <w:pPr>
      <w:spacing w:before="100" w:beforeAutospacing="1" w:after="100" w:afterAutospacing="1"/>
      <w:jc w:val="center"/>
    </w:pPr>
    <w:rPr>
      <w:rFonts w:ascii="宋体" w:hAnsi="宋体" w:cs="宋体"/>
    </w:rPr>
  </w:style>
  <w:style w:type="paragraph" w:customStyle="1" w:styleId="print">
    <w:name w:val="print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333333"/>
    </w:rPr>
  </w:style>
  <w:style w:type="paragraph" w:customStyle="1" w:styleId="i1">
    <w:name w:val="i1"/>
    <w:basedOn w:val="a"/>
    <w:uiPriority w:val="99"/>
    <w:pPr>
      <w:ind w:right="150"/>
      <w:textAlignment w:val="center"/>
    </w:pPr>
    <w:rPr>
      <w:rFonts w:ascii="宋体" w:hAnsi="宋体" w:cs="宋体"/>
    </w:rPr>
  </w:style>
  <w:style w:type="paragraph" w:customStyle="1" w:styleId="fontsize">
    <w:name w:val="fontsize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answer">
    <w:name w:val="answer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handoutlist">
    <w:name w:val="handoutlist"/>
    <w:basedOn w:val="a"/>
    <w:uiPriority w:val="99"/>
    <w:pPr>
      <w:spacing w:before="100" w:beforeAutospacing="1" w:after="100" w:afterAutospacing="1"/>
    </w:pPr>
    <w:rPr>
      <w:rFonts w:ascii="宋体" w:hAnsi="宋体" w:cs="宋体"/>
      <w:sz w:val="21"/>
      <w:szCs w:val="21"/>
    </w:rPr>
  </w:style>
  <w:style w:type="paragraph" w:customStyle="1" w:styleId="cur">
    <w:name w:val="cur"/>
    <w:basedOn w:val="a"/>
    <w:uiPriority w:val="99"/>
    <w:pPr>
      <w:spacing w:before="100" w:beforeAutospacing="1" w:after="100" w:afterAutospacing="1"/>
    </w:pPr>
    <w:rPr>
      <w:rFonts w:ascii="宋体" w:hAnsi="宋体" w:cs="宋体"/>
      <w:b/>
      <w:bCs/>
    </w:rPr>
  </w:style>
  <w:style w:type="paragraph" w:customStyle="1" w:styleId="layout1">
    <w:name w:val="layout1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title1">
    <w:name w:val="title1"/>
    <w:basedOn w:val="a"/>
    <w:uiPriority w:val="99"/>
    <w:pPr>
      <w:pBdr>
        <w:bottom w:val="single" w:sz="6" w:space="0" w:color="DDDDDD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tab1">
    <w:name w:val="course_tab1"/>
    <w:basedOn w:val="a"/>
    <w:uiPriority w:val="99"/>
    <w:pPr>
      <w:spacing w:before="330" w:after="100" w:afterAutospacing="1"/>
      <w:ind w:left="300"/>
    </w:pPr>
    <w:rPr>
      <w:rFonts w:ascii="宋体" w:hAnsi="宋体" w:cs="宋体"/>
    </w:rPr>
  </w:style>
  <w:style w:type="paragraph" w:customStyle="1" w:styleId="myask1">
    <w:name w:val="myask1"/>
    <w:basedOn w:val="a"/>
    <w:uiPriority w:val="99"/>
    <w:pPr>
      <w:spacing w:before="375" w:after="100" w:afterAutospacing="1" w:line="330" w:lineRule="atLeast"/>
      <w:ind w:right="225"/>
    </w:pPr>
    <w:rPr>
      <w:rFonts w:ascii="宋体" w:hAnsi="宋体" w:cs="宋体"/>
      <w:color w:val="999999"/>
      <w:sz w:val="21"/>
      <w:szCs w:val="21"/>
    </w:rPr>
  </w:style>
  <w:style w:type="paragraph" w:customStyle="1" w:styleId="tip1">
    <w:name w:val="tip1"/>
    <w:basedOn w:val="a"/>
    <w:uiPriority w:val="99"/>
    <w:rPr>
      <w:rFonts w:ascii="宋体" w:hAnsi="宋体" w:cs="宋体"/>
    </w:rPr>
  </w:style>
  <w:style w:type="paragraph" w:customStyle="1" w:styleId="tabwrap1">
    <w:name w:val="tabwrap1"/>
    <w:basedOn w:val="a"/>
    <w:uiPriority w:val="99"/>
    <w:rPr>
      <w:rFonts w:ascii="宋体" w:hAnsi="宋体" w:cs="宋体"/>
      <w:vanish/>
    </w:rPr>
  </w:style>
  <w:style w:type="paragraph" w:customStyle="1" w:styleId="tabshow1">
    <w:name w:val="tabshow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tipnull1">
    <w:name w:val="tip_null1"/>
    <w:basedOn w:val="a"/>
    <w:uiPriority w:val="99"/>
    <w:rPr>
      <w:rFonts w:ascii="宋体" w:hAnsi="宋体" w:cs="宋体"/>
    </w:rPr>
  </w:style>
  <w:style w:type="paragraph" w:customStyle="1" w:styleId="tipnull2">
    <w:name w:val="tip_null2"/>
    <w:basedOn w:val="a"/>
    <w:uiPriority w:val="99"/>
    <w:rPr>
      <w:rFonts w:ascii="宋体" w:hAnsi="宋体" w:cs="宋体"/>
    </w:rPr>
  </w:style>
  <w:style w:type="paragraph" w:customStyle="1" w:styleId="memodiv1">
    <w:name w:val="memodiv1"/>
    <w:basedOn w:val="a"/>
    <w:uiPriority w:val="99"/>
    <w:pPr>
      <w:spacing w:before="100" w:beforeAutospacing="1" w:after="150"/>
    </w:pPr>
    <w:rPr>
      <w:rFonts w:ascii="宋体" w:hAnsi="宋体" w:cs="宋体"/>
    </w:rPr>
  </w:style>
  <w:style w:type="paragraph" w:customStyle="1" w:styleId="curlecture1">
    <w:name w:val="curlecture1"/>
    <w:basedOn w:val="a"/>
    <w:uiPriority w:val="99"/>
    <w:pPr>
      <w:pBdr>
        <w:top w:val="dashed" w:sz="12" w:space="0" w:color="3D81E5"/>
        <w:left w:val="dashed" w:sz="12" w:space="0" w:color="3D81E5"/>
        <w:bottom w:val="dashed" w:sz="12" w:space="0" w:color="3D81E5"/>
        <w:right w:val="dashed" w:sz="12" w:space="0" w:color="3D81E5"/>
      </w:pBdr>
      <w:shd w:val="clear" w:color="auto" w:fill="FFFEE2"/>
      <w:spacing w:before="100" w:beforeAutospacing="1" w:after="100" w:afterAutospacing="1"/>
    </w:pPr>
    <w:rPr>
      <w:rFonts w:ascii="宋体" w:hAnsi="宋体" w:cs="宋体"/>
    </w:rPr>
  </w:style>
  <w:style w:type="paragraph" w:customStyle="1" w:styleId="tit1">
    <w:name w:val="tit1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t11">
    <w:name w:val="t11"/>
    <w:basedOn w:val="a"/>
    <w:uiPriority w:val="99"/>
    <w:pPr>
      <w:pBdr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22">
    <w:name w:val="t22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n1">
    <w:name w:val="con1"/>
    <w:basedOn w:val="a"/>
    <w:uiPriority w:val="99"/>
    <w:pPr>
      <w:pBdr>
        <w:top w:val="single" w:sz="2" w:space="0" w:color="BFDDF4"/>
        <w:left w:val="single" w:sz="6" w:space="0" w:color="BFDDF4"/>
        <w:bottom w:val="single" w:sz="2" w:space="0" w:color="BFDDF4"/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more1">
    <w:name w:val="more1"/>
    <w:basedOn w:val="a"/>
    <w:uiPriority w:val="99"/>
    <w:pPr>
      <w:spacing w:before="100" w:beforeAutospacing="1" w:after="100" w:afterAutospacing="1"/>
      <w:jc w:val="center"/>
    </w:pPr>
    <w:rPr>
      <w:rFonts w:ascii="宋体" w:hAnsi="宋体" w:cs="宋体"/>
    </w:rPr>
  </w:style>
  <w:style w:type="paragraph" w:customStyle="1" w:styleId="print1">
    <w:name w:val="print1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333333"/>
    </w:rPr>
  </w:style>
  <w:style w:type="paragraph" w:customStyle="1" w:styleId="i11">
    <w:name w:val="i11"/>
    <w:basedOn w:val="a"/>
    <w:uiPriority w:val="99"/>
    <w:pPr>
      <w:ind w:right="150"/>
    </w:pPr>
    <w:rPr>
      <w:rFonts w:ascii="宋体" w:hAnsi="宋体" w:cs="宋体"/>
    </w:rPr>
  </w:style>
  <w:style w:type="paragraph" w:customStyle="1" w:styleId="tit2">
    <w:name w:val="tit2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fontsize1">
    <w:name w:val="fontsize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ur1">
    <w:name w:val="cur1"/>
    <w:basedOn w:val="a"/>
    <w:uiPriority w:val="99"/>
    <w:pPr>
      <w:spacing w:before="100" w:beforeAutospacing="1" w:after="100" w:afterAutospacing="1"/>
    </w:pPr>
    <w:rPr>
      <w:rFonts w:ascii="宋体" w:hAnsi="宋体" w:cs="宋体"/>
      <w:b/>
      <w:bCs/>
    </w:rPr>
  </w:style>
  <w:style w:type="paragraph" w:customStyle="1" w:styleId="answer1">
    <w:name w:val="answer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n2">
    <w:name w:val="con2"/>
    <w:basedOn w:val="a"/>
    <w:uiPriority w:val="99"/>
    <w:pPr>
      <w:pBdr>
        <w:top w:val="single" w:sz="2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FFFFFF"/>
      <w:spacing w:before="100" w:beforeAutospacing="1" w:after="100" w:afterAutospacing="1"/>
    </w:pPr>
    <w:rPr>
      <w:rFonts w:ascii="宋体" w:hAnsi="宋体" w:cs="宋体"/>
    </w:rPr>
  </w:style>
  <w:style w:type="paragraph" w:customStyle="1" w:styleId="handoutlist1">
    <w:name w:val="handoutlist1"/>
    <w:basedOn w:val="a"/>
    <w:uiPriority w:val="99"/>
    <w:pPr>
      <w:spacing w:before="100" w:beforeAutospacing="1" w:after="100" w:afterAutospacing="1"/>
    </w:pPr>
    <w:rPr>
      <w:rFonts w:ascii="宋体" w:hAnsi="宋体" w:cs="宋体"/>
      <w:sz w:val="21"/>
      <w:szCs w:val="21"/>
    </w:rPr>
  </w:style>
  <w:style w:type="paragraph" w:customStyle="1" w:styleId="fontkaiti">
    <w:name w:val="fontkaiti"/>
    <w:basedOn w:val="a"/>
    <w:uiPriority w:val="99"/>
    <w:pPr>
      <w:spacing w:before="100" w:beforeAutospacing="1" w:after="100" w:afterAutospacing="1"/>
    </w:pPr>
    <w:rPr>
      <w:rFonts w:ascii="楷体" w:eastAsia="楷体" w:hAnsi="楷体" w:cs="宋体"/>
      <w:sz w:val="23"/>
      <w:szCs w:val="23"/>
    </w:rPr>
  </w:style>
  <w:style w:type="paragraph" w:customStyle="1" w:styleId="tabth">
    <w:name w:val="tabth"/>
    <w:basedOn w:val="a"/>
    <w:uiPriority w:val="99"/>
    <w:pPr>
      <w:shd w:val="clear" w:color="auto" w:fill="D7D7D7"/>
      <w:spacing w:before="100" w:beforeAutospacing="1" w:after="100" w:afterAutospacing="1"/>
    </w:pPr>
    <w:rPr>
      <w:rFonts w:ascii="宋体" w:hAnsi="宋体" w:cs="宋体"/>
    </w:rPr>
  </w:style>
  <w:style w:type="paragraph" w:customStyle="1" w:styleId="barfont">
    <w:name w:val="barfont"/>
    <w:basedOn w:val="a"/>
    <w:uiPriority w:val="99"/>
    <w:pPr>
      <w:spacing w:before="300" w:after="300"/>
    </w:pPr>
    <w:rPr>
      <w:rFonts w:ascii="楷体" w:eastAsia="楷体" w:hAnsi="楷体" w:cs="宋体"/>
      <w:b/>
      <w:bCs/>
      <w:color w:val="00AAB2"/>
      <w:sz w:val="23"/>
      <w:szCs w:val="23"/>
    </w:rPr>
  </w:style>
  <w:style w:type="paragraph" w:customStyle="1" w:styleId="tablea">
    <w:name w:val="tablea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character" w:styleId="af3">
    <w:name w:val="annotation reference"/>
    <w:basedOn w:val="a0"/>
    <w:semiHidden/>
    <w:rPr>
      <w:sz w:val="21"/>
      <w:szCs w:val="21"/>
    </w:rPr>
  </w:style>
  <w:style w:type="character" w:customStyle="1" w:styleId="font14line-height">
    <w:name w:val="font14 line-height"/>
    <w:basedOn w:val="a0"/>
  </w:style>
  <w:style w:type="character" w:customStyle="1" w:styleId="f121">
    <w:name w:val="f121"/>
    <w:basedOn w:val="a0"/>
    <w:rPr>
      <w:sz w:val="15"/>
      <w:szCs w:val="15"/>
    </w:rPr>
  </w:style>
  <w:style w:type="character" w:customStyle="1" w:styleId="style1">
    <w:name w:val="style1"/>
    <w:basedOn w:val="a0"/>
  </w:style>
  <w:style w:type="character" w:customStyle="1" w:styleId="double1">
    <w:name w:val="double1"/>
    <w:basedOn w:val="a0"/>
  </w:style>
  <w:style w:type="character" w:customStyle="1" w:styleId="font141">
    <w:name w:val="font141"/>
    <w:basedOn w:val="a0"/>
    <w:rPr>
      <w:strike w:val="0"/>
      <w:dstrike w:val="0"/>
      <w:color w:val="000200"/>
      <w:sz w:val="21"/>
      <w:szCs w:val="21"/>
      <w:u w:val="none"/>
      <w:effect w:val="none"/>
    </w:rPr>
  </w:style>
  <w:style w:type="character" w:customStyle="1" w:styleId="font14151">
    <w:name w:val="font14151"/>
    <w:basedOn w:val="a0"/>
    <w:rPr>
      <w:strike w:val="0"/>
      <w:dstrike w:val="0"/>
      <w:color w:val="230D00"/>
      <w:u w:val="none"/>
      <w:effect w:val="none"/>
    </w:rPr>
  </w:style>
  <w:style w:type="character" w:customStyle="1" w:styleId="font14zd1">
    <w:name w:val="font14zd1"/>
    <w:basedOn w:val="a0"/>
    <w:rPr>
      <w:b/>
      <w:bCs/>
      <w:color w:val="B30101"/>
    </w:rPr>
  </w:style>
  <w:style w:type="character" w:customStyle="1" w:styleId="t21">
    <w:name w:val="t21"/>
    <w:basedOn w:val="a0"/>
  </w:style>
  <w:style w:type="character" w:customStyle="1" w:styleId="font14">
    <w:name w:val="font14"/>
    <w:basedOn w:val="a0"/>
  </w:style>
  <w:style w:type="character" w:customStyle="1" w:styleId="font14zd2">
    <w:name w:val="font14zd2"/>
    <w:basedOn w:val="a0"/>
    <w:rPr>
      <w:b/>
      <w:bCs/>
      <w:color w:val="A50021"/>
      <w:sz w:val="21"/>
      <w:szCs w:val="21"/>
      <w:u w:val="double"/>
    </w:rPr>
  </w:style>
  <w:style w:type="table" w:styleId="af4">
    <w:name w:val="Table Grid"/>
    <w:basedOn w:val="a1"/>
    <w:rPr>
      <w:sz w:val="21"/>
      <w:szCs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ursetab2">
    <w:name w:val="course_tab2"/>
    <w:basedOn w:val="a"/>
    <w:uiPriority w:val="99"/>
    <w:pPr>
      <w:spacing w:before="330" w:after="100" w:afterAutospacing="1"/>
      <w:ind w:left="300"/>
    </w:pPr>
    <w:rPr>
      <w:rFonts w:ascii="宋体" w:hAnsi="宋体" w:cs="宋体"/>
    </w:rPr>
  </w:style>
  <w:style w:type="paragraph" w:customStyle="1" w:styleId="tipnull3">
    <w:name w:val="tip_null3"/>
    <w:basedOn w:val="a"/>
    <w:uiPriority w:val="99"/>
    <w:rPr>
      <w:rFonts w:ascii="宋体" w:hAnsi="宋体" w:cs="宋体"/>
    </w:rPr>
  </w:style>
  <w:style w:type="paragraph" w:customStyle="1" w:styleId="tipnull4">
    <w:name w:val="tip_null4"/>
    <w:basedOn w:val="a"/>
    <w:uiPriority w:val="99"/>
    <w:rPr>
      <w:rFonts w:ascii="宋体" w:hAnsi="宋体" w:cs="宋体"/>
    </w:rPr>
  </w:style>
  <w:style w:type="character" w:customStyle="1" w:styleId="font14zd3">
    <w:name w:val="font14zd3"/>
    <w:basedOn w:val="a0"/>
    <w:rPr>
      <w:b/>
      <w:bCs/>
      <w:color w:val="A50021"/>
      <w:sz w:val="21"/>
      <w:szCs w:val="21"/>
      <w:u w:val="double"/>
    </w:rPr>
  </w:style>
  <w:style w:type="paragraph" w:customStyle="1" w:styleId="tablea1">
    <w:name w:val="tablea1"/>
    <w:basedOn w:val="a"/>
    <w:uiPriority w:val="99"/>
    <w:pPr>
      <w:pBdr>
        <w:bottom w:val="single" w:sz="6" w:space="8" w:color="BFDDF4"/>
      </w:pBdr>
      <w:spacing w:before="100" w:beforeAutospacing="1" w:after="100" w:afterAutospacing="1"/>
    </w:pPr>
    <w:rPr>
      <w:rFonts w:ascii="宋体" w:hAnsi="宋体" w:cs="宋体"/>
    </w:rPr>
  </w:style>
  <w:style w:type="character" w:customStyle="1" w:styleId="barfont1">
    <w:name w:val="barfont1"/>
    <w:basedOn w:val="a0"/>
    <w:rPr>
      <w:rFonts w:ascii="楷体" w:eastAsia="楷体" w:hAnsi="楷体" w:hint="eastAsia"/>
      <w:b/>
      <w:bCs/>
      <w:color w:val="00AAB2"/>
      <w:sz w:val="23"/>
      <w:szCs w:val="23"/>
    </w:rPr>
  </w:style>
  <w:style w:type="character" w:customStyle="1" w:styleId="spancdelblanksign">
    <w:name w:val="span_cdel_blank_sign"/>
    <w:basedOn w:val="a0"/>
  </w:style>
  <w:style w:type="character" w:styleId="af5">
    <w:name w:val="page number"/>
    <w:basedOn w:val="a0"/>
    <w:uiPriority w:val="99"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nicode"/>
  <w:optimizeForBrowser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oter1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foot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664</Words>
  <Characters>3791</Characters>
  <Application>Microsoft Office Word</Application>
  <DocSecurity>4</DocSecurity>
  <Lines>31</Lines>
  <Paragraphs>8</Paragraphs>
  <ScaleCrop>false</ScaleCrop>
  <Company/>
  <LinksUpToDate>false</LinksUpToDate>
  <CharactersWithSpaces>4447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2026-01-23T09:58:00Z</dcterms:created>
  <dc:creator>CDEL</dc:creator>
  <cp:lastModifiedBy>Windows 用户</cp:lastModifiedBy>
  <dcterms:modified xsi:type="dcterms:W3CDTF">2026-01-23T09:58:00Z</dcterms:modified>
  <cp:revision>2</cp:revision>
</cp:coreProperties>
</file>