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C7CF7" w:rsidP="000C7CF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财务会计概论</w:t>
      </w:r>
    </w:p>
    <w:p w:rsidR="00000000" w:rsidRDefault="000C7CF7" w:rsidP="000C7CF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财务会计目标、会计基本假设和会计基础</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0C7CF7" w:rsidP="000C7CF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财务会计目标、会计基本假设和会计基础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财务会计要素及其确认、计量和报告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企业财务会计信息质量要求及其核算规范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62250" cy="1619250"/>
            <wp:effectExtent l="19050" t="0" r="0" b="0"/>
            <wp:docPr id="1" name="图片_x00206666aba4-c15d-44d2-b349-a0b768c8556c" descr="729fd27f-4b4d-4600-b64f-2ed6a707b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66aba4-c15d-44d2-b349-a0b768c8556c" descr="729fd27f-4b4d-4600-b64f-2ed6a707bd90"/>
                    <pic:cNvPicPr>
                      <a:picLocks noChangeAspect="1" noChangeArrowheads="1"/>
                    </pic:cNvPicPr>
                  </pic:nvPicPr>
                  <pic:blipFill>
                    <a:blip r:embed="rId6"/>
                    <a:srcRect/>
                    <a:stretch>
                      <a:fillRect/>
                    </a:stretch>
                  </pic:blipFill>
                  <pic:spPr bwMode="auto">
                    <a:xfrm>
                      <a:off x="0" y="0"/>
                      <a:ext cx="2762250" cy="1619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95650" cy="1209675"/>
            <wp:effectExtent l="19050" t="0" r="0" b="0"/>
            <wp:docPr id="2" name="图片_x0020c4c17948-d7c7-4c4e-9ebd-cffe9a9f0810" descr="4239f168-dc14-4e7b-9a7f-01302c679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c17948-d7c7-4c4e-9ebd-cffe9a9f0810" descr="4239f168-dc14-4e7b-9a7f-01302c679d4e"/>
                    <pic:cNvPicPr>
                      <a:picLocks noChangeAspect="1" noChangeArrowheads="1"/>
                    </pic:cNvPicPr>
                  </pic:nvPicPr>
                  <pic:blipFill>
                    <a:blip r:embed="rId7"/>
                    <a:srcRect/>
                    <a:stretch>
                      <a:fillRect/>
                    </a:stretch>
                  </pic:blipFill>
                  <pic:spPr bwMode="auto">
                    <a:xfrm>
                      <a:off x="0" y="0"/>
                      <a:ext cx="3295650" cy="1209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0C7CF7" w:rsidP="000C7CF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财务会计目标、会计基本假设和会计基础</w:t>
      </w:r>
      <w:r>
        <w:rPr>
          <w:rFonts w:ascii="宋体" w:hAnsi="宋体" w:cs="宋体" w:hint="eastAsia"/>
          <w:color w:val="000000"/>
          <w:sz w:val="21"/>
          <w:szCs w:val="21"/>
        </w:rPr>
        <w:t xml:space="preserve"> </w:t>
      </w:r>
    </w:p>
    <w:p w:rsidR="00000000" w:rsidRDefault="000C7CF7" w:rsidP="000C7CF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一、财务会计目标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现代企业会计一般分为财务会计和管理会计两大领域。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财务会计的主要目的是向</w:t>
      </w:r>
      <w:r>
        <w:rPr>
          <w:rStyle w:val="font14zd2"/>
          <w:rFonts w:ascii="宋体" w:hAnsi="宋体" w:cs="宋体" w:hint="eastAsia"/>
        </w:rPr>
        <w:t>外部</w:t>
      </w:r>
      <w:r>
        <w:rPr>
          <w:rFonts w:ascii="宋体" w:hAnsi="宋体" w:cs="宋体" w:hint="eastAsia"/>
          <w:color w:val="000000"/>
          <w:sz w:val="21"/>
          <w:szCs w:val="21"/>
        </w:rPr>
        <w:t>会计信息使用者提供有用的信息，帮助其作出相关决策，而承担这一信息载体和功能的则是企业编制的</w:t>
      </w:r>
      <w:r>
        <w:rPr>
          <w:rStyle w:val="font14zd2"/>
          <w:rFonts w:ascii="宋体" w:hAnsi="宋体" w:cs="宋体" w:hint="eastAsia"/>
        </w:rPr>
        <w:t>财务报告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财务报告的目标</w:t>
      </w:r>
      <w:r>
        <w:rPr>
          <w:rFonts w:ascii="宋体" w:hAnsi="宋体" w:cs="宋体" w:hint="eastAsia"/>
          <w:color w:val="000000"/>
          <w:sz w:val="21"/>
          <w:szCs w:val="21"/>
        </w:rPr>
        <w:t>是向财务报告使用者提供与企业财务状况、经营成果和现金流量等有关的会计信息，反映企业管理层受托责任履行情况（受托责任观），有助于财务会计报告使用者作出经济决策（决策有用观）。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二、会计基本假设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会计基本假设——指组织会计核算工作应具备的前提条件，也是会计准则中规定的各种程序和方法适用的前提条件。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会计主体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持续经营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会计分期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货币计量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会计主体——指会计为之服务的特定单位，会计核算应当以一个特定独立的或相对独立的</w:t>
      </w:r>
      <w:r>
        <w:rPr>
          <w:rFonts w:ascii="宋体" w:hAnsi="宋体" w:cs="宋体" w:hint="eastAsia"/>
          <w:color w:val="000000"/>
          <w:sz w:val="21"/>
          <w:szCs w:val="21"/>
        </w:rPr>
        <w:t>经营单位的</w:t>
      </w:r>
      <w:r>
        <w:rPr>
          <w:rFonts w:ascii="宋体" w:hAnsi="宋体" w:cs="宋体" w:hint="eastAsia"/>
          <w:color w:val="000000"/>
          <w:sz w:val="21"/>
          <w:szCs w:val="21"/>
        </w:rPr>
        <w:lastRenderedPageBreak/>
        <w:t>经营活动为对象，对其</w:t>
      </w:r>
      <w:r>
        <w:rPr>
          <w:rStyle w:val="font14zd2"/>
          <w:rFonts w:ascii="宋体" w:hAnsi="宋体" w:cs="宋体" w:hint="eastAsia"/>
        </w:rPr>
        <w:t>本身发生的交易或者事项</w:t>
      </w:r>
      <w:r>
        <w:rPr>
          <w:rFonts w:ascii="宋体" w:hAnsi="宋体" w:cs="宋体" w:hint="eastAsia"/>
          <w:color w:val="000000"/>
          <w:sz w:val="21"/>
          <w:szCs w:val="21"/>
        </w:rPr>
        <w:t>进行会计确认、计量和报告。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会计主体规定了会计核算的</w:t>
      </w:r>
      <w:r>
        <w:rPr>
          <w:rStyle w:val="font14zd2"/>
          <w:rFonts w:ascii="宋体" w:hAnsi="宋体" w:cs="宋体" w:hint="eastAsia"/>
        </w:rPr>
        <w:t>空间范围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会计主体可以是法律主体（如企业法人），也可以不是法律主体（如企业内部相对独立的核算单位，由多个企业法人组成的企业集团，由企业管理的证券投资基金、企业年金基金等）。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持续经营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持续经营——指企业会计确认、计量和报告应当以企业持续、正常的生产经营活动为前提，并假设在可以预见的未来，企业的经营活动将以既定的经营方针和目标继续经营下去，而</w:t>
      </w:r>
      <w:r>
        <w:rPr>
          <w:rStyle w:val="font14zd2"/>
          <w:rFonts w:ascii="宋体" w:hAnsi="宋体" w:cs="宋体" w:hint="eastAsia"/>
        </w:rPr>
        <w:t>不会面临破产清算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会计分期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会计分期——指在企业持续不断的经营过程中，人为地将其划分为一个个</w:t>
      </w:r>
      <w:r>
        <w:rPr>
          <w:rStyle w:val="font14zd2"/>
          <w:rFonts w:ascii="宋体" w:hAnsi="宋体" w:cs="宋体" w:hint="eastAsia"/>
        </w:rPr>
        <w:t>间距相等、首尾相接</w:t>
      </w:r>
      <w:r>
        <w:rPr>
          <w:rFonts w:ascii="宋体" w:hAnsi="宋体" w:cs="宋体" w:hint="eastAsia"/>
          <w:color w:val="000000"/>
          <w:sz w:val="21"/>
          <w:szCs w:val="21"/>
        </w:rPr>
        <w:t>的会计期间，以便确定每一个会计期间的收入、费用和盈亏，确定该会计期间期初、期末的资产、负债和所有者权益的金额，并据以结算账目和编制财务报表。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95625" cy="828675"/>
            <wp:effectExtent l="0" t="0" r="9525" b="0"/>
            <wp:docPr id="3" name="图片_x0020fdfc5e04-d703-4bba-9382-93c0db93a566" descr="7ea4dd9b-dfd9-41e3-bfdd-521a7594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dfc5e04-d703-4bba-9382-93c0db93a566" descr="7ea4dd9b-dfd9-41e3-bfdd-521a7594ef26"/>
                    <pic:cNvPicPr>
                      <a:picLocks noChangeAspect="1" noChangeArrowheads="1"/>
                    </pic:cNvPicPr>
                  </pic:nvPicPr>
                  <pic:blipFill>
                    <a:blip r:embed="rId8"/>
                    <a:srcRect/>
                    <a:stretch>
                      <a:fillRect/>
                    </a:stretch>
                  </pic:blipFill>
                  <pic:spPr bwMode="auto">
                    <a:xfrm>
                      <a:off x="0" y="0"/>
                      <a:ext cx="3095625" cy="82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会计分期规定了会计核算的</w:t>
      </w:r>
      <w:r>
        <w:rPr>
          <w:rStyle w:val="font14zd2"/>
          <w:rFonts w:ascii="宋体" w:hAnsi="宋体" w:cs="宋体" w:hint="eastAsia"/>
        </w:rPr>
        <w:t>时间范围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会计期间分为年度（会计年度：</w:t>
      </w: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12.31</w:t>
      </w:r>
      <w:r>
        <w:rPr>
          <w:rFonts w:ascii="宋体" w:hAnsi="宋体" w:cs="宋体" w:hint="eastAsia"/>
          <w:color w:val="000000"/>
          <w:sz w:val="21"/>
          <w:szCs w:val="21"/>
        </w:rPr>
        <w:t>）和中期（季度、月份等）。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货币计量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货币计量——指企业会计核算采用货币作为计量单位，记录、反映企业的经济活动，并假设</w:t>
      </w:r>
      <w:r>
        <w:rPr>
          <w:rFonts w:ascii="宋体" w:hAnsi="宋体" w:cs="宋体" w:hint="eastAsia"/>
          <w:color w:val="000000"/>
          <w:sz w:val="21"/>
          <w:szCs w:val="21"/>
        </w:rPr>
        <w:t>币值基本保持不变。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81375" cy="1143000"/>
            <wp:effectExtent l="19050" t="0" r="9525" b="0"/>
            <wp:docPr id="4" name="图片_x00201d373d9f-ea73-4020-8103-06be87560ef2" descr="5dc8f8d7-c954-4afb-b5a6-662ccafd8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d373d9f-ea73-4020-8103-06be87560ef2" descr="5dc8f8d7-c954-4afb-b5a6-662ccafd8a6d"/>
                    <pic:cNvPicPr>
                      <a:picLocks noChangeAspect="1" noChangeArrowheads="1"/>
                    </pic:cNvPicPr>
                  </pic:nvPicPr>
                  <pic:blipFill>
                    <a:blip r:embed="rId9"/>
                    <a:srcRect/>
                    <a:stretch>
                      <a:fillRect/>
                    </a:stretch>
                  </pic:blipFill>
                  <pic:spPr bwMode="auto">
                    <a:xfrm>
                      <a:off x="0" y="0"/>
                      <a:ext cx="3381375" cy="1143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如果企业的经济业务存在多种货币计量并存的情形，就需要确定其中一种货币作为</w:t>
      </w:r>
      <w:r>
        <w:rPr>
          <w:rStyle w:val="font14zd2"/>
          <w:rFonts w:ascii="宋体" w:hAnsi="宋体" w:cs="宋体" w:hint="eastAsia"/>
        </w:rPr>
        <w:t>记账本位币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记账本位币——指企业经营所处的</w:t>
      </w:r>
      <w:r>
        <w:rPr>
          <w:rStyle w:val="font14zd2"/>
          <w:rFonts w:ascii="宋体" w:hAnsi="宋体" w:cs="宋体" w:hint="eastAsia"/>
        </w:rPr>
        <w:t>主要经济环境中</w:t>
      </w:r>
      <w:r>
        <w:rPr>
          <w:rFonts w:ascii="宋体" w:hAnsi="宋体" w:cs="宋体" w:hint="eastAsia"/>
          <w:color w:val="000000"/>
          <w:sz w:val="21"/>
          <w:szCs w:val="21"/>
        </w:rPr>
        <w:t>的货币。我国企业通常应选择</w:t>
      </w:r>
      <w:r>
        <w:rPr>
          <w:rStyle w:val="font14zd2"/>
          <w:rFonts w:ascii="宋体" w:hAnsi="宋体" w:cs="宋体" w:hint="eastAsia"/>
        </w:rPr>
        <w:t>人民币</w:t>
      </w:r>
      <w:r>
        <w:rPr>
          <w:rFonts w:ascii="宋体" w:hAnsi="宋体" w:cs="宋体" w:hint="eastAsia"/>
          <w:color w:val="000000"/>
          <w:sz w:val="21"/>
          <w:szCs w:val="21"/>
        </w:rPr>
        <w:t>作为记账本位币，业务收支以人民币以外的货币为主的企业，可以</w:t>
      </w:r>
      <w:r>
        <w:rPr>
          <w:rStyle w:val="font14zd2"/>
          <w:rFonts w:ascii="宋体" w:hAnsi="宋体" w:cs="宋体" w:hint="eastAsia"/>
        </w:rPr>
        <w:t>选定其中一种</w:t>
      </w:r>
      <w:r>
        <w:rPr>
          <w:rFonts w:ascii="宋体" w:hAnsi="宋体" w:cs="宋体" w:hint="eastAsia"/>
          <w:color w:val="000000"/>
          <w:sz w:val="21"/>
          <w:szCs w:val="21"/>
        </w:rPr>
        <w:t>货币作为记账本位币，但是，</w:t>
      </w:r>
      <w:r>
        <w:rPr>
          <w:rStyle w:val="font14zd2"/>
          <w:rFonts w:ascii="宋体" w:hAnsi="宋体" w:cs="宋体" w:hint="eastAsia"/>
        </w:rPr>
        <w:t>编报的财务报表应当折算为人民币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企业选定记账本位币时应当考虑下列因素：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）该货币主要影响商品和劳务的</w:t>
      </w:r>
      <w:r>
        <w:rPr>
          <w:rStyle w:val="font14zd2"/>
          <w:rFonts w:ascii="宋体" w:hAnsi="宋体" w:cs="宋体" w:hint="eastAsia"/>
        </w:rPr>
        <w:t>销售价格</w:t>
      </w:r>
      <w:r>
        <w:rPr>
          <w:rFonts w:ascii="宋体" w:hAnsi="宋体" w:cs="宋体" w:hint="eastAsia"/>
          <w:color w:val="000000"/>
          <w:sz w:val="21"/>
          <w:szCs w:val="21"/>
        </w:rPr>
        <w:t>，通常以该货币进行商品和劳务的计价和结算；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）该货币主要影响商品和</w:t>
      </w:r>
      <w:r>
        <w:rPr>
          <w:rFonts w:ascii="宋体" w:hAnsi="宋体" w:cs="宋体" w:hint="eastAsia"/>
          <w:color w:val="000000"/>
          <w:sz w:val="21"/>
          <w:szCs w:val="21"/>
        </w:rPr>
        <w:t>劳务所需人工、材料和其他</w:t>
      </w:r>
      <w:r>
        <w:rPr>
          <w:rStyle w:val="font14zd2"/>
          <w:rFonts w:ascii="宋体" w:hAnsi="宋体" w:cs="宋体" w:hint="eastAsia"/>
        </w:rPr>
        <w:t>费用</w:t>
      </w:r>
      <w:r>
        <w:rPr>
          <w:rFonts w:ascii="宋体" w:hAnsi="宋体" w:cs="宋体" w:hint="eastAsia"/>
          <w:color w:val="000000"/>
          <w:sz w:val="21"/>
          <w:szCs w:val="21"/>
        </w:rPr>
        <w:t>，通常以该货币进行上述费用的计价和结算。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融资活动</w:t>
      </w:r>
      <w:r>
        <w:rPr>
          <w:rFonts w:ascii="宋体" w:hAnsi="宋体" w:cs="宋体" w:hint="eastAsia"/>
          <w:color w:val="000000"/>
          <w:sz w:val="21"/>
          <w:szCs w:val="21"/>
        </w:rPr>
        <w:t>获得的货币以及保存从</w:t>
      </w:r>
      <w:r>
        <w:rPr>
          <w:rStyle w:val="font14zd2"/>
          <w:rFonts w:ascii="宋体" w:hAnsi="宋体" w:cs="宋体" w:hint="eastAsia"/>
        </w:rPr>
        <w:t>经营活动</w:t>
      </w:r>
      <w:r>
        <w:rPr>
          <w:rFonts w:ascii="宋体" w:hAnsi="宋体" w:cs="宋体" w:hint="eastAsia"/>
          <w:color w:val="000000"/>
          <w:sz w:val="21"/>
          <w:szCs w:val="21"/>
        </w:rPr>
        <w:t>中收取款项所使用的货币。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如果企业存在</w:t>
      </w:r>
      <w:r>
        <w:rPr>
          <w:rStyle w:val="font14zd2"/>
          <w:rFonts w:ascii="宋体" w:hAnsi="宋体" w:cs="宋体" w:hint="eastAsia"/>
        </w:rPr>
        <w:t>境外经营</w:t>
      </w:r>
      <w:r>
        <w:rPr>
          <w:rFonts w:ascii="宋体" w:hAnsi="宋体" w:cs="宋体" w:hint="eastAsia"/>
          <w:color w:val="000000"/>
          <w:sz w:val="21"/>
          <w:szCs w:val="21"/>
        </w:rPr>
        <w:t>（通过在境外设立子公司、合营企业、联营企业、分支机构开展经营活动），企业在选定境外经营的记账本位币时，还应当考虑下列因素：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）境外经营对其所从事的活动是否拥有很强的自主性；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）境外经营活动中与企业的交易是否在境外经营活动中占有较大比重；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）境外经营活动产生的现金流量是否直接影响企业的现金流量、是否可以</w:t>
      </w:r>
      <w:r>
        <w:rPr>
          <w:rFonts w:ascii="宋体" w:hAnsi="宋体" w:cs="宋体" w:hint="eastAsia"/>
          <w:color w:val="000000"/>
          <w:sz w:val="21"/>
          <w:szCs w:val="21"/>
        </w:rPr>
        <w:t>随时汇回；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）境外经营活动产生的现金流量是否足以偿还其现有债务和可预期的债务。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企业记账本位币一经确定，不得随意变更，除非企业经营所处的主要经济环境发生重大变</w:t>
      </w:r>
      <w:r>
        <w:rPr>
          <w:rFonts w:ascii="宋体" w:hAnsi="宋体" w:cs="宋体" w:hint="eastAsia"/>
          <w:color w:val="000000"/>
          <w:sz w:val="21"/>
          <w:szCs w:val="21"/>
        </w:rPr>
        <w:lastRenderedPageBreak/>
        <w:t>化（确需变更记账本位币时，应当采用</w:t>
      </w:r>
      <w:r>
        <w:rPr>
          <w:rStyle w:val="font14zd2"/>
          <w:rFonts w:ascii="宋体" w:hAnsi="宋体" w:cs="宋体" w:hint="eastAsia"/>
        </w:rPr>
        <w:t>变更当日的即期汇率</w:t>
      </w:r>
      <w:r>
        <w:rPr>
          <w:rFonts w:ascii="宋体" w:hAnsi="宋体" w:cs="宋体" w:hint="eastAsia"/>
          <w:color w:val="000000"/>
          <w:sz w:val="21"/>
          <w:szCs w:val="21"/>
        </w:rPr>
        <w:t>将所有项目折算为变更后的记账本位币）。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企业因经营所处的主要经济环境发生重大变化，确需变更记账本位币，将所有项目折算为变更后的记账本位币时应当采用的汇率为（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变更当日的即期汇率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期末汇率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合同约定汇率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即</w:t>
      </w:r>
      <w:r>
        <w:rPr>
          <w:rStyle w:val="fontkaiti1"/>
          <w:rFonts w:cs="宋体" w:hint="default"/>
          <w:color w:val="000000"/>
        </w:rPr>
        <w:t>期汇率的近似汇率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『答案解析』企业因经营所处的主要经济环境发生重大变化，确需变更记账本位币时，应当采用变更当日的即期汇率将所有项目折算为变更后的记账本位币。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下列关于会计基本假设的表述中，正确的是（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持续经营明确的是会计核算的空间范围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会计主体是指会计为之服务的特定单位，必须是企业法人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货币是会计核算的唯一计量单位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会计分期是费用跨期摊销、固定资产计提折旧的前提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，会计主体规定了会计核算的空间范围；选项</w:t>
      </w:r>
      <w:r>
        <w:rPr>
          <w:rStyle w:val="fontkaiti1"/>
          <w:rFonts w:cs="宋体" w:hint="default"/>
          <w:color w:val="000000"/>
        </w:rPr>
        <w:t>B</w:t>
      </w:r>
      <w:r>
        <w:rPr>
          <w:rStyle w:val="fontkaiti1"/>
          <w:rFonts w:cs="宋体" w:hint="default"/>
          <w:color w:val="000000"/>
        </w:rPr>
        <w:t>，会计主体可以是一个独立的法律主体，如企业法人；也可以不是一个独立的法律主体，如企业内部相对独立的核算单位，由多个企业法人组成的企业集团，由企业管理的证券投资基金、企业年金基金等；选项</w:t>
      </w:r>
      <w:r>
        <w:rPr>
          <w:rStyle w:val="fontkaiti1"/>
          <w:rFonts w:cs="宋体" w:hint="default"/>
          <w:color w:val="000000"/>
        </w:rPr>
        <w:t>C</w:t>
      </w:r>
      <w:r>
        <w:rPr>
          <w:rStyle w:val="fontkaiti1"/>
          <w:rFonts w:cs="宋体" w:hint="default"/>
          <w:color w:val="000000"/>
        </w:rPr>
        <w:t>，会计核算除了使用货币计量，还可以使用非货币计量单位，如实物数量等。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三、会计基础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62300" cy="1009650"/>
            <wp:effectExtent l="0" t="0" r="0" b="0"/>
            <wp:docPr id="5" name="图片_x0020d4a01197-ede2-4e3e-bc9b-063265babeb6" descr="1dadac21-22f1-450e-9b39-c8934093c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4a01197-ede2-4e3e-bc9b-063265babeb6" descr="1dadac21-22f1-450e-9b39-c8934093ca26"/>
                    <pic:cNvPicPr>
                      <a:picLocks noChangeAspect="1" noChangeArrowheads="1"/>
                    </pic:cNvPicPr>
                  </pic:nvPicPr>
                  <pic:blipFill>
                    <a:blip r:embed="rId10"/>
                    <a:srcRect/>
                    <a:stretch>
                      <a:fillRect/>
                    </a:stretch>
                  </pic:blipFill>
                  <pic:spPr bwMode="auto">
                    <a:xfrm>
                      <a:off x="0" y="0"/>
                      <a:ext cx="3162300" cy="1009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你开了一家书店。</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日，我到你的书店购买了一套应试指南，但没有付钱，离开前告知“下个月还钱！”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16</w:t>
      </w:r>
      <w:r>
        <w:rPr>
          <w:rFonts w:ascii="宋体" w:hAnsi="宋体" w:cs="宋体" w:hint="eastAsia"/>
          <w:color w:val="000000"/>
          <w:sz w:val="21"/>
          <w:szCs w:val="21"/>
        </w:rPr>
        <w:t>日我才把钱还给你，那对于你出售应试指南的收入，是</w:t>
      </w:r>
      <w:r>
        <w:rPr>
          <w:rFonts w:ascii="宋体" w:hAnsi="宋体" w:cs="宋体" w:hint="eastAsia"/>
          <w:color w:val="000000"/>
          <w:sz w:val="21"/>
          <w:szCs w:val="21"/>
        </w:rPr>
        <w:t>属于</w:t>
      </w:r>
      <w:r>
        <w:rPr>
          <w:rFonts w:ascii="宋体" w:hAnsi="宋体" w:cs="宋体" w:hint="eastAsia"/>
          <w:color w:val="000000"/>
          <w:sz w:val="21"/>
          <w:szCs w:val="21"/>
        </w:rPr>
        <w:t>2</w:t>
      </w:r>
      <w:r>
        <w:rPr>
          <w:rFonts w:ascii="宋体" w:hAnsi="宋体" w:cs="宋体" w:hint="eastAsia"/>
          <w:color w:val="000000"/>
          <w:sz w:val="21"/>
          <w:szCs w:val="21"/>
        </w:rPr>
        <w:t>月还是</w:t>
      </w:r>
      <w:r>
        <w:rPr>
          <w:rFonts w:ascii="宋体" w:hAnsi="宋体" w:cs="宋体" w:hint="eastAsia"/>
          <w:color w:val="000000"/>
          <w:sz w:val="21"/>
          <w:szCs w:val="21"/>
        </w:rPr>
        <w:t>3</w:t>
      </w:r>
      <w:r>
        <w:rPr>
          <w:rFonts w:ascii="宋体" w:hAnsi="宋体" w:cs="宋体" w:hint="eastAsia"/>
          <w:color w:val="000000"/>
          <w:sz w:val="21"/>
          <w:szCs w:val="21"/>
        </w:rPr>
        <w:t>月呢？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假定该书店采用</w:t>
      </w:r>
      <w:r>
        <w:rPr>
          <w:rStyle w:val="font14zd2"/>
          <w:rFonts w:ascii="宋体" w:hAnsi="宋体" w:cs="宋体" w:hint="eastAsia"/>
        </w:rPr>
        <w:t>权责发生制</w:t>
      </w:r>
      <w:r>
        <w:rPr>
          <w:rFonts w:ascii="宋体" w:hAnsi="宋体" w:cs="宋体" w:hint="eastAsia"/>
          <w:color w:val="000000"/>
          <w:sz w:val="21"/>
          <w:szCs w:val="21"/>
        </w:rPr>
        <w:t>会计核算基础→确认为</w:t>
      </w:r>
      <w:r>
        <w:rPr>
          <w:rFonts w:ascii="宋体" w:hAnsi="宋体" w:cs="宋体" w:hint="eastAsia"/>
          <w:color w:val="000000"/>
          <w:sz w:val="21"/>
          <w:szCs w:val="21"/>
        </w:rPr>
        <w:t>2</w:t>
      </w:r>
      <w:r>
        <w:rPr>
          <w:rFonts w:ascii="宋体" w:hAnsi="宋体" w:cs="宋体" w:hint="eastAsia"/>
          <w:color w:val="000000"/>
          <w:sz w:val="21"/>
          <w:szCs w:val="21"/>
        </w:rPr>
        <w:t>月的收入。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假定该书店采用</w:t>
      </w:r>
      <w:r>
        <w:rPr>
          <w:rStyle w:val="font14zd2"/>
          <w:rFonts w:ascii="宋体" w:hAnsi="宋体" w:cs="宋体" w:hint="eastAsia"/>
        </w:rPr>
        <w:t>收付实现制</w:t>
      </w:r>
      <w:r>
        <w:rPr>
          <w:rFonts w:ascii="宋体" w:hAnsi="宋体" w:cs="宋体" w:hint="eastAsia"/>
          <w:color w:val="000000"/>
          <w:sz w:val="21"/>
          <w:szCs w:val="21"/>
        </w:rPr>
        <w:t>会计核算基础→确认为</w:t>
      </w:r>
      <w:r>
        <w:rPr>
          <w:rFonts w:ascii="宋体" w:hAnsi="宋体" w:cs="宋体" w:hint="eastAsia"/>
          <w:color w:val="000000"/>
          <w:sz w:val="21"/>
          <w:szCs w:val="21"/>
        </w:rPr>
        <w:t>3</w:t>
      </w:r>
      <w:r>
        <w:rPr>
          <w:rFonts w:ascii="宋体" w:hAnsi="宋体" w:cs="宋体" w:hint="eastAsia"/>
          <w:color w:val="000000"/>
          <w:sz w:val="21"/>
          <w:szCs w:val="21"/>
        </w:rPr>
        <w:t>月的收入。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权责发生制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权责发生制——</w:t>
      </w:r>
      <w:r>
        <w:rPr>
          <w:rStyle w:val="font14zd2"/>
          <w:rFonts w:ascii="宋体" w:hAnsi="宋体" w:cs="宋体" w:hint="eastAsia"/>
        </w:rPr>
        <w:t>凡是</w:t>
      </w:r>
      <w:r>
        <w:rPr>
          <w:rFonts w:ascii="宋体" w:hAnsi="宋体" w:cs="宋体" w:hint="eastAsia"/>
          <w:color w:val="000000"/>
          <w:sz w:val="21"/>
          <w:szCs w:val="21"/>
        </w:rPr>
        <w:t>当期已经实现的收入和已经发生或者应当负担的费用，无论款项是否收付，都应当作为当期的收入和费用；</w:t>
      </w:r>
      <w:r>
        <w:rPr>
          <w:rStyle w:val="font14zd2"/>
          <w:rFonts w:ascii="宋体" w:hAnsi="宋体" w:cs="宋体" w:hint="eastAsia"/>
        </w:rPr>
        <w:t>凡是</w:t>
      </w:r>
      <w:r>
        <w:rPr>
          <w:rFonts w:ascii="宋体" w:hAnsi="宋体" w:cs="宋体" w:hint="eastAsia"/>
          <w:color w:val="000000"/>
          <w:sz w:val="21"/>
          <w:szCs w:val="21"/>
        </w:rPr>
        <w:t>不属于当期的收入和费用，即使款项已在当期收付，也不应作为当期的收入和费用。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企业财务会计应当以权责发生制为基础进行确认、计量和报告。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收付实现制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收付实现制——是以收到或支付现金作为确认收</w:t>
      </w:r>
      <w:r>
        <w:rPr>
          <w:rFonts w:ascii="宋体" w:hAnsi="宋体" w:cs="宋体" w:hint="eastAsia"/>
          <w:color w:val="000000"/>
          <w:sz w:val="21"/>
          <w:szCs w:val="21"/>
        </w:rPr>
        <w:t>入和费用的依据。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我国行政事业单位预算会计采用收付实现制。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财务会计要素及其确认、计量和报告</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0C7CF7" w:rsidP="000C7CF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财务会计要素及其确认、计量和报告</w:t>
      </w:r>
      <w:r>
        <w:rPr>
          <w:rFonts w:ascii="宋体" w:hAnsi="宋体" w:cs="宋体" w:hint="eastAsia"/>
          <w:color w:val="000000"/>
          <w:sz w:val="21"/>
          <w:szCs w:val="21"/>
        </w:rPr>
        <w:t xml:space="preserve"> </w:t>
      </w:r>
    </w:p>
    <w:p w:rsidR="00000000" w:rsidRDefault="000C7CF7" w:rsidP="000C7CF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一、财务会计要素及其确认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会计要素——会计核算的具体对象。企业财务会计要素包括资产、负债、所有者权益、收入、费用和利润六项。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）资产定义及特征。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资产——企业过去的交易或者事项形成的，企业拥有或控制的，预期会给企业带来经济利益的资源。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48125" cy="1304925"/>
            <wp:effectExtent l="19050" t="0" r="9525" b="0"/>
            <wp:docPr id="6" name="图片_x0020b27d5134-5d35-4b9c-9558-d93451a7cd05" descr="a862df5d-1d8f-4f28-93ae-5636f5cde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7d5134-5d35-4b9c-9558-d93451a7cd05" descr="a862df5d-1d8f-4f28-93ae-5636f5cdeb2c"/>
                    <pic:cNvPicPr>
                      <a:picLocks noChangeAspect="1" noChangeArrowheads="1"/>
                    </pic:cNvPicPr>
                  </pic:nvPicPr>
                  <pic:blipFill>
                    <a:blip r:embed="rId11"/>
                    <a:srcRect/>
                    <a:stretch>
                      <a:fillRect/>
                    </a:stretch>
                  </pic:blipFill>
                  <pic:spPr bwMode="auto">
                    <a:xfrm>
                      <a:off x="0" y="0"/>
                      <a:ext cx="4048125" cy="1304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）资产的确认条件。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将一项资源确认为资</w:t>
      </w:r>
      <w:r>
        <w:rPr>
          <w:rFonts w:ascii="宋体" w:hAnsi="宋体" w:cs="宋体" w:hint="eastAsia"/>
          <w:color w:val="000000"/>
          <w:sz w:val="21"/>
          <w:szCs w:val="21"/>
        </w:rPr>
        <w:t>产，需要符合资产的定义，但还应</w:t>
      </w:r>
      <w:r>
        <w:rPr>
          <w:rStyle w:val="font14zd2"/>
          <w:rFonts w:ascii="宋体" w:hAnsi="宋体" w:cs="宋体" w:hint="eastAsia"/>
        </w:rPr>
        <w:t>同时</w:t>
      </w:r>
      <w:r>
        <w:rPr>
          <w:rFonts w:ascii="宋体" w:hAnsi="宋体" w:cs="宋体" w:hint="eastAsia"/>
          <w:color w:val="000000"/>
          <w:sz w:val="21"/>
          <w:szCs w:val="21"/>
        </w:rPr>
        <w:t>满足以下两个</w:t>
      </w:r>
      <w:r>
        <w:rPr>
          <w:rStyle w:val="font14zd2"/>
          <w:rFonts w:ascii="宋体" w:hAnsi="宋体" w:cs="宋体" w:hint="eastAsia"/>
        </w:rPr>
        <w:t>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①与该资源有关的经济利益</w:t>
      </w:r>
      <w:r>
        <w:rPr>
          <w:rStyle w:val="font14zd2"/>
          <w:rFonts w:ascii="宋体" w:hAnsi="宋体" w:cs="宋体" w:hint="eastAsia"/>
        </w:rPr>
        <w:t>很可能</w:t>
      </w:r>
      <w:r>
        <w:rPr>
          <w:rFonts w:ascii="宋体" w:hAnsi="宋体" w:cs="宋体" w:hint="eastAsia"/>
          <w:color w:val="000000"/>
          <w:sz w:val="21"/>
          <w:szCs w:val="21"/>
        </w:rPr>
        <w:t>流入企业。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②该资源的</w:t>
      </w:r>
      <w:r>
        <w:rPr>
          <w:rStyle w:val="font14zd2"/>
          <w:rFonts w:ascii="宋体" w:hAnsi="宋体" w:cs="宋体" w:hint="eastAsia"/>
        </w:rPr>
        <w:t>成本或价值</w:t>
      </w:r>
      <w:r>
        <w:rPr>
          <w:rFonts w:ascii="宋体" w:hAnsi="宋体" w:cs="宋体" w:hint="eastAsia"/>
          <w:color w:val="000000"/>
          <w:sz w:val="21"/>
          <w:szCs w:val="21"/>
        </w:rPr>
        <w:t>能够</w:t>
      </w:r>
      <w:r>
        <w:rPr>
          <w:rStyle w:val="font14zd2"/>
          <w:rFonts w:ascii="宋体" w:hAnsi="宋体" w:cs="宋体" w:hint="eastAsia"/>
        </w:rPr>
        <w:t>可靠</w:t>
      </w:r>
      <w:r>
        <w:rPr>
          <w:rFonts w:ascii="宋体" w:hAnsi="宋体" w:cs="宋体" w:hint="eastAsia"/>
          <w:color w:val="000000"/>
          <w:sz w:val="21"/>
          <w:szCs w:val="21"/>
        </w:rPr>
        <w:t>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）资产的分类。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在资产负债表上，企业的资产应按其</w:t>
      </w:r>
      <w:r>
        <w:rPr>
          <w:rStyle w:val="font14zd2"/>
          <w:rFonts w:ascii="宋体" w:hAnsi="宋体" w:cs="宋体" w:hint="eastAsia"/>
        </w:rPr>
        <w:t>流动性</w:t>
      </w:r>
      <w:r>
        <w:rPr>
          <w:rFonts w:ascii="宋体" w:hAnsi="宋体" w:cs="宋体" w:hint="eastAsia"/>
          <w:color w:val="000000"/>
          <w:sz w:val="21"/>
          <w:szCs w:val="21"/>
        </w:rPr>
        <w:t>，分为流动资产和非流动资产。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资产满足下列条件</w:t>
      </w:r>
      <w:r>
        <w:rPr>
          <w:rStyle w:val="font14zd2"/>
          <w:rFonts w:ascii="宋体" w:hAnsi="宋体" w:cs="宋体" w:hint="eastAsia"/>
        </w:rPr>
        <w:t>之一</w:t>
      </w:r>
      <w:r>
        <w:rPr>
          <w:rFonts w:ascii="宋体" w:hAnsi="宋体" w:cs="宋体" w:hint="eastAsia"/>
          <w:color w:val="000000"/>
          <w:sz w:val="21"/>
          <w:szCs w:val="21"/>
        </w:rPr>
        <w:t>的，应当归类为流动资产：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①预计在一个正常营业周期中变现、出售或耗用；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②主要为交易目的而持有；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③预计在资产负债表日起一年内（含一年）变现；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④自资产负债表日起一年内（含一年），交换其他资产或清偿负债的能力不受</w:t>
      </w:r>
      <w:r>
        <w:rPr>
          <w:rFonts w:ascii="宋体" w:hAnsi="宋体" w:cs="宋体" w:hint="eastAsia"/>
          <w:color w:val="000000"/>
          <w:sz w:val="21"/>
          <w:szCs w:val="21"/>
        </w:rPr>
        <w:t>限制的现金或现金等价物。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2015·</w:t>
      </w:r>
      <w:r>
        <w:rPr>
          <w:rStyle w:val="fontkaiti1"/>
          <w:rFonts w:ascii="黑体" w:eastAsia="黑体" w:hAnsi="黑体" w:cs="宋体" w:hint="default"/>
          <w:color w:val="000000"/>
        </w:rPr>
        <w:t>多选题】</w:t>
      </w:r>
      <w:r>
        <w:rPr>
          <w:rStyle w:val="fontkaiti1"/>
          <w:rFonts w:cs="宋体" w:hint="default"/>
          <w:color w:val="000000"/>
        </w:rPr>
        <w:t>下列各项中，不应作为资产在年末资产负债表中反映的有（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委托加工商品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协商转让中的无形资产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很可能获得的第三方赔偿款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拟进行债务重组的应收债权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尚未批准处理的盘亏存货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，协商转让中的无形资产，与之相关的主要风险和报酬并没有转移，依然属于企业的资产；选项</w:t>
      </w:r>
      <w:r>
        <w:rPr>
          <w:rStyle w:val="fontkaiti1"/>
          <w:rFonts w:cs="宋体" w:hint="default"/>
          <w:color w:val="000000"/>
        </w:rPr>
        <w:t>D</w:t>
      </w:r>
      <w:r>
        <w:rPr>
          <w:rStyle w:val="fontkaiti1"/>
          <w:rFonts w:cs="宋体" w:hint="default"/>
          <w:color w:val="000000"/>
        </w:rPr>
        <w:t>，拟进行债务重组的应收债权，还应作为企业的应收债权在报表中列示；选项</w:t>
      </w:r>
      <w:r>
        <w:rPr>
          <w:rStyle w:val="fontkaiti1"/>
          <w:rFonts w:cs="宋体" w:hint="default"/>
          <w:color w:val="000000"/>
        </w:rPr>
        <w:t>E</w:t>
      </w:r>
      <w:r>
        <w:rPr>
          <w:rStyle w:val="fontkaiti1"/>
          <w:rFonts w:cs="宋体" w:hint="default"/>
          <w:color w:val="000000"/>
        </w:rPr>
        <w:t>，尚未批准处理的盘亏存货已不能为企</w:t>
      </w:r>
      <w:r>
        <w:rPr>
          <w:rStyle w:val="fontkaiti1"/>
          <w:rFonts w:cs="宋体" w:hint="default"/>
          <w:color w:val="000000"/>
        </w:rPr>
        <w:t>业带来经济利益，不符合资产确认条件，要在期末结转为零。所以期末不需要在资产负债表中列示。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）负债定义及特征。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负债——企业过去的交易或者事项形成的，预期会导致经济利益流出企业的现时义务。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47950" cy="1285875"/>
            <wp:effectExtent l="19050" t="0" r="0" b="0"/>
            <wp:docPr id="7" name="图片_x0020e19c01de-f7fa-4cb9-8b58-6c7125d58a56" descr="546647c9-fb9e-47fa-bfbf-7b5e487e8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19c01de-f7fa-4cb9-8b58-6c7125d58a56" descr="546647c9-fb9e-47fa-bfbf-7b5e487e8b98"/>
                    <pic:cNvPicPr>
                      <a:picLocks noChangeAspect="1" noChangeArrowheads="1"/>
                    </pic:cNvPicPr>
                  </pic:nvPicPr>
                  <pic:blipFill>
                    <a:blip r:embed="rId12"/>
                    <a:srcRect/>
                    <a:stretch>
                      <a:fillRect/>
                    </a:stretch>
                  </pic:blipFill>
                  <pic:spPr bwMode="auto">
                    <a:xfrm>
                      <a:off x="0" y="0"/>
                      <a:ext cx="2647950" cy="1285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）负债的确认条件。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将一项现时义务确认为负债，需要符合负债的定义，但还应</w:t>
      </w:r>
      <w:r>
        <w:rPr>
          <w:rStyle w:val="font14zd2"/>
          <w:rFonts w:ascii="宋体" w:hAnsi="宋体" w:cs="宋体" w:hint="eastAsia"/>
        </w:rPr>
        <w:t>同时</w:t>
      </w:r>
      <w:r>
        <w:rPr>
          <w:rFonts w:ascii="宋体" w:hAnsi="宋体" w:cs="宋体" w:hint="eastAsia"/>
          <w:color w:val="000000"/>
          <w:sz w:val="21"/>
          <w:szCs w:val="21"/>
        </w:rPr>
        <w:t>满足以下两个</w:t>
      </w:r>
      <w:r>
        <w:rPr>
          <w:rStyle w:val="font14zd2"/>
          <w:rFonts w:ascii="宋体" w:hAnsi="宋体" w:cs="宋体" w:hint="eastAsia"/>
        </w:rPr>
        <w:t>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①与该义务有关的经济利益</w:t>
      </w:r>
      <w:r>
        <w:rPr>
          <w:rStyle w:val="font14zd2"/>
          <w:rFonts w:ascii="宋体" w:hAnsi="宋体" w:cs="宋体" w:hint="eastAsia"/>
        </w:rPr>
        <w:t>很可能</w:t>
      </w:r>
      <w:r>
        <w:rPr>
          <w:rFonts w:ascii="宋体" w:hAnsi="宋体" w:cs="宋体" w:hint="eastAsia"/>
          <w:color w:val="000000"/>
          <w:sz w:val="21"/>
          <w:szCs w:val="21"/>
        </w:rPr>
        <w:t>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②未来流出的经济利益的金额能够</w:t>
      </w:r>
      <w:r>
        <w:rPr>
          <w:rStyle w:val="font14zd2"/>
          <w:rFonts w:ascii="宋体" w:hAnsi="宋体" w:cs="宋体" w:hint="eastAsia"/>
        </w:rPr>
        <w:t>可靠</w:t>
      </w:r>
      <w:r>
        <w:rPr>
          <w:rFonts w:ascii="宋体" w:hAnsi="宋体" w:cs="宋体" w:hint="eastAsia"/>
          <w:color w:val="000000"/>
          <w:sz w:val="21"/>
          <w:szCs w:val="21"/>
        </w:rPr>
        <w:t>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）负债的分类。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在资产负债表上，企业的负债应按其</w:t>
      </w:r>
      <w:r>
        <w:rPr>
          <w:rStyle w:val="font14zd2"/>
          <w:rFonts w:ascii="宋体" w:hAnsi="宋体" w:cs="宋体" w:hint="eastAsia"/>
        </w:rPr>
        <w:t>流动</w:t>
      </w:r>
      <w:r>
        <w:rPr>
          <w:rStyle w:val="font14zd2"/>
          <w:rFonts w:ascii="宋体" w:hAnsi="宋体" w:cs="宋体" w:hint="eastAsia"/>
        </w:rPr>
        <w:t>性</w:t>
      </w:r>
      <w:r>
        <w:rPr>
          <w:rFonts w:ascii="宋体" w:hAnsi="宋体" w:cs="宋体" w:hint="eastAsia"/>
          <w:color w:val="000000"/>
          <w:sz w:val="21"/>
          <w:szCs w:val="21"/>
        </w:rPr>
        <w:t>，分为流动负债和非流动负债。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负债满足下列条件之一的，应当归类为流动负债：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①预计在一个正常营业周期中清偿；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②主要为交易目的而持有；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③自资产负债表日起一年内到期应予以清偿；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④企业无权自主地将清偿推迟至资产负债表日后一年以上。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单选题】</w:t>
      </w:r>
      <w:r>
        <w:rPr>
          <w:rStyle w:val="fontkaiti1"/>
          <w:rFonts w:cs="宋体" w:hint="default"/>
          <w:color w:val="000000"/>
        </w:rPr>
        <w:t>甲公司持有一笔于</w:t>
      </w:r>
      <w:r>
        <w:rPr>
          <w:rStyle w:val="fontkaiti1"/>
          <w:rFonts w:cs="宋体" w:hint="default"/>
          <w:color w:val="000000"/>
        </w:rPr>
        <w:t>2011</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日从银行借入的五年期长期借款，下列关于该长期借款在</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日资产负债表列示的表述中，错误的是（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假定甲公司在</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日与银行完成长期再融资或展期，则该借</w:t>
      </w:r>
      <w:r>
        <w:rPr>
          <w:rStyle w:val="fontkaiti1"/>
          <w:rFonts w:cs="宋体" w:hint="default"/>
          <w:color w:val="000000"/>
        </w:rPr>
        <w:t>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假定甲公司在</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日（财务报告批准报出日为</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日）完成长期再融资或展期，则该借款应当划分为流动负债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假定甲公司与银行的借款协议上规定，甲公司在长期借款到期前可以自行决定是否展期，无需征得债权人同意，并且甲公司计划展期，则该借款应当划分为非流动负债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假定甲公司与银行的借款协议上规定，甲公司在长期借款到期后如能偿还，可以再获得一笔金额相同的长期借款，则该借款应当划分为非流动负债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，重新获得</w:t>
      </w:r>
      <w:r>
        <w:rPr>
          <w:rStyle w:val="fontkaiti1"/>
          <w:rFonts w:cs="宋体" w:hint="default"/>
          <w:color w:val="000000"/>
        </w:rPr>
        <w:t>的借款应当作为新的负债列报，原一年内到期的借款应该作为流动负债列报。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所有者权益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所有者权益——企业资产扣除负债后，由所有者享有的剩余权益。公司的所有者权益又称为股东权益。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1809750"/>
            <wp:effectExtent l="19050" t="0" r="9525" b="0"/>
            <wp:docPr id="8" name="图片_x002062cc3538-9ffd-4bde-9f8b-49d18f1843df" descr="652c1204-3d6f-48df-af5c-b8b560065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2cc3538-9ffd-4bde-9f8b-49d18f1843df" descr="652c1204-3d6f-48df-af5c-b8b56006547b"/>
                    <pic:cNvPicPr>
                      <a:picLocks noChangeAspect="1" noChangeArrowheads="1"/>
                    </pic:cNvPicPr>
                  </pic:nvPicPr>
                  <pic:blipFill>
                    <a:blip r:embed="rId13"/>
                    <a:srcRect/>
                    <a:stretch>
                      <a:fillRect/>
                    </a:stretch>
                  </pic:blipFill>
                  <pic:spPr bwMode="auto">
                    <a:xfrm>
                      <a:off x="0" y="0"/>
                      <a:ext cx="4143375" cy="1809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收入——企业在</w:t>
      </w:r>
      <w:r>
        <w:rPr>
          <w:rStyle w:val="font14zd2"/>
          <w:rFonts w:ascii="宋体" w:hAnsi="宋体" w:cs="宋体" w:hint="eastAsia"/>
        </w:rPr>
        <w:t>日常活动</w:t>
      </w:r>
      <w:r>
        <w:rPr>
          <w:rFonts w:ascii="宋体" w:hAnsi="宋体" w:cs="宋体" w:hint="eastAsia"/>
          <w:color w:val="000000"/>
          <w:sz w:val="21"/>
          <w:szCs w:val="21"/>
        </w:rPr>
        <w:t>中形成的、会导致所有者权益增加的、与所有者投入资本无关的经济利益的总流入。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9950" cy="1276350"/>
            <wp:effectExtent l="19050" t="0" r="0" b="0"/>
            <wp:docPr id="9" name="图片_x0020ea596e04-e112-4b6c-a20a-126155bc4660" descr="3f8fc17b-b248-4d26-b3cb-cf01f8d59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a596e04-e112-4b6c-a20a-126155bc4660" descr="3f8fc17b-b248-4d26-b3cb-cf01f8d5963f"/>
                    <pic:cNvPicPr>
                      <a:picLocks noChangeAspect="1" noChangeArrowheads="1"/>
                    </pic:cNvPicPr>
                  </pic:nvPicPr>
                  <pic:blipFill>
                    <a:blip r:embed="rId14"/>
                    <a:srcRect/>
                    <a:stretch>
                      <a:fillRect/>
                    </a:stretch>
                  </pic:blipFill>
                  <pic:spPr bwMode="auto">
                    <a:xfrm>
                      <a:off x="0" y="0"/>
                      <a:ext cx="3409950" cy="1276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费用——企业在</w:t>
      </w:r>
      <w:r>
        <w:rPr>
          <w:rStyle w:val="font14zd2"/>
          <w:rFonts w:ascii="宋体" w:hAnsi="宋体" w:cs="宋体" w:hint="eastAsia"/>
        </w:rPr>
        <w:t>日常活动</w:t>
      </w:r>
      <w:r>
        <w:rPr>
          <w:rFonts w:ascii="宋体" w:hAnsi="宋体" w:cs="宋体" w:hint="eastAsia"/>
          <w:color w:val="000000"/>
          <w:sz w:val="21"/>
          <w:szCs w:val="21"/>
        </w:rPr>
        <w:t>中形成的、会导致所有者权益减少的、与向所有者分配利润无关的经济利益的总流出。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71850" cy="1285875"/>
            <wp:effectExtent l="19050" t="0" r="0" b="0"/>
            <wp:docPr id="10" name="图片_x0020799900aa-9bde-43c0-9e5e-8377b78c5773" descr="ecc6ec6e-4e96-4ff8-9afa-d184b9188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99900aa-9bde-43c0-9e5e-8377b78c5773" descr="ecc6ec6e-4e96-4ff8-9afa-d184b9188ea3"/>
                    <pic:cNvPicPr>
                      <a:picLocks noChangeAspect="1" noChangeArrowheads="1"/>
                    </pic:cNvPicPr>
                  </pic:nvPicPr>
                  <pic:blipFill>
                    <a:blip r:embed="rId15"/>
                    <a:srcRect/>
                    <a:stretch>
                      <a:fillRect/>
                    </a:stretch>
                  </pic:blipFill>
                  <pic:spPr bwMode="auto">
                    <a:xfrm>
                      <a:off x="0" y="0"/>
                      <a:ext cx="3371850" cy="1285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多选题】</w:t>
      </w:r>
      <w:r>
        <w:rPr>
          <w:rStyle w:val="fontkaiti1"/>
          <w:rFonts w:cs="宋体" w:hint="default"/>
          <w:color w:val="000000"/>
        </w:rPr>
        <w:t>根据《企业会计准则》的规</w:t>
      </w:r>
      <w:r>
        <w:rPr>
          <w:rStyle w:val="fontkaiti1"/>
          <w:rFonts w:cs="宋体" w:hint="default"/>
          <w:color w:val="000000"/>
        </w:rPr>
        <w:t>定，下列关于费用的表述中，正确的有（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企业为生产产品、提供劳务等发生的可归属于产品成本、劳务成本等费用，应当在确认产品收入、劳务收入等时，将已销售产品、已提供劳务的成本等计入当期损益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企业发生的支出不产生经济利益的，或者即使能够产生经济利益但不符合或者不再符合资产确认条件的，应当在发生时确认为费用，计入当期损益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费用只有在经济利益很可能流出从而导致企业资产减少或者负债增加、且经济利益的流出额能够可靠计量时才能予以确认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如果一项支出在会计上不能确认为费用，一定应将</w:t>
      </w:r>
      <w:r>
        <w:rPr>
          <w:rStyle w:val="fontkaiti1"/>
          <w:rFonts w:cs="宋体" w:hint="default"/>
          <w:color w:val="000000"/>
        </w:rPr>
        <w:t>其确认为损失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企业经营活动中发生的、会导致所有者权益减少的经济利益的总流出均属于费用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，还可能确认为资产；选项</w:t>
      </w:r>
      <w:r>
        <w:rPr>
          <w:rStyle w:val="fontkaiti1"/>
          <w:rFonts w:cs="宋体" w:hint="default"/>
          <w:color w:val="000000"/>
        </w:rPr>
        <w:t>E</w:t>
      </w:r>
      <w:r>
        <w:rPr>
          <w:rStyle w:val="fontkaiti1"/>
          <w:rFonts w:cs="宋体" w:hint="default"/>
          <w:color w:val="000000"/>
        </w:rPr>
        <w:t>，费用是指企业在日常活动中发生的、会导致所有者权益减少的、与向所有者分配利润无关的经济利益的总流出。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利润——企业在一定会计期间的经营成果，包括收入减去费用、直接计入当期利润的利得和损失等。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二、会计计量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会计计量——为了在资产负债表和利润表内确认和列示财务报表的要素而确定其金额的过程。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历史</w:t>
      </w:r>
      <w:r>
        <w:rPr>
          <w:rFonts w:ascii="宋体" w:hAnsi="宋体" w:cs="宋体" w:hint="eastAsia"/>
          <w:color w:val="000000"/>
          <w:sz w:val="21"/>
          <w:szCs w:val="21"/>
        </w:rPr>
        <w:t>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历史成本——资产按照</w:t>
      </w:r>
      <w:r>
        <w:rPr>
          <w:rStyle w:val="font14zd2"/>
          <w:rFonts w:ascii="宋体" w:hAnsi="宋体" w:cs="宋体" w:hint="eastAsia"/>
        </w:rPr>
        <w:t>购买时</w:t>
      </w:r>
      <w:r>
        <w:rPr>
          <w:rFonts w:ascii="宋体" w:hAnsi="宋体" w:cs="宋体" w:hint="eastAsia"/>
          <w:color w:val="000000"/>
          <w:sz w:val="21"/>
          <w:szCs w:val="21"/>
        </w:rPr>
        <w:t>支付的现金或者现金等价物的金额，或者按照</w:t>
      </w:r>
      <w:r>
        <w:rPr>
          <w:rStyle w:val="font14zd2"/>
          <w:rFonts w:ascii="宋体" w:hAnsi="宋体" w:cs="宋体" w:hint="eastAsia"/>
        </w:rPr>
        <w:t>购买资产时</w:t>
      </w:r>
      <w:r>
        <w:rPr>
          <w:rFonts w:ascii="宋体" w:hAnsi="宋体" w:cs="宋体" w:hint="eastAsia"/>
          <w:color w:val="000000"/>
          <w:sz w:val="21"/>
          <w:szCs w:val="21"/>
        </w:rPr>
        <w:t>所付出的对价的公允价值计量；负债按照因承担现时义务而实际收到的款项或者资产的金额，或者承担现时义务的合同金额，或者按照日常活动中为偿还负债预期需要支付的现金或者现金等价物的金额计量。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企业在对会计要素进行计量时，一般应当采用历史成本。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2015·</w:t>
      </w:r>
      <w:r>
        <w:rPr>
          <w:rStyle w:val="fontkaiti1"/>
          <w:rFonts w:ascii="黑体" w:eastAsia="黑体" w:hAnsi="黑体" w:cs="宋体" w:hint="default"/>
          <w:color w:val="000000"/>
        </w:rPr>
        <w:t>单选题】</w:t>
      </w:r>
      <w:r>
        <w:rPr>
          <w:rStyle w:val="fontkaiti1"/>
          <w:rFonts w:cs="宋体" w:hint="default"/>
          <w:color w:val="000000"/>
        </w:rPr>
        <w:t>企业资产按购买时付出对价的公允价值计量，负债按照承担现时义务的合同金额计量，则所采用的计量属性为（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可变现净值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历史成本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重置成本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历史成本计量下，资产按照购买时支付的现金或者现金等价物的金额，或者按照购买资产时所付出的对价的公允价值计量；负债按照因承担现时义务而实际收到的款项或者资产的金额，或者承担现时义务的合同金额，或者按照日常活动中为偿还负债预期需要支付的现金或者现金等价物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重置成本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重置成本——资产按照</w:t>
      </w:r>
      <w:r>
        <w:rPr>
          <w:rStyle w:val="font14zd2"/>
          <w:rFonts w:ascii="宋体" w:hAnsi="宋体" w:cs="宋体" w:hint="eastAsia"/>
        </w:rPr>
        <w:t>现在购买相同或者相似资产</w:t>
      </w:r>
      <w:r>
        <w:rPr>
          <w:rFonts w:ascii="宋体" w:hAnsi="宋体" w:cs="宋体" w:hint="eastAsia"/>
          <w:color w:val="000000"/>
          <w:sz w:val="21"/>
          <w:szCs w:val="21"/>
        </w:rPr>
        <w:t>所需支付的现金或者现金等价物的金额计量；负债按照</w:t>
      </w:r>
      <w:r>
        <w:rPr>
          <w:rStyle w:val="font14zd2"/>
          <w:rFonts w:ascii="宋体" w:hAnsi="宋体" w:cs="宋体" w:hint="eastAsia"/>
        </w:rPr>
        <w:t>现在偿付该项债务</w:t>
      </w:r>
      <w:r>
        <w:rPr>
          <w:rFonts w:ascii="宋体" w:hAnsi="宋体" w:cs="宋体" w:hint="eastAsia"/>
          <w:color w:val="000000"/>
          <w:sz w:val="21"/>
          <w:szCs w:val="21"/>
        </w:rPr>
        <w:t>所需支付的现金或者现金等价物的金</w:t>
      </w:r>
      <w:r>
        <w:rPr>
          <w:rFonts w:ascii="宋体" w:hAnsi="宋体" w:cs="宋体" w:hint="eastAsia"/>
          <w:color w:val="000000"/>
          <w:sz w:val="21"/>
          <w:szCs w:val="21"/>
        </w:rPr>
        <w:t>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可变现净值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可变现净值——资产按照其正常对外销售所能收到现金或者现金等价物的金额扣减该资产至完工时估计将要发生的成本、估计的销售费用以及相关税费后的金额计量。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现值——资产按照预计从其持续使用和最终处置中所产生的未来净现金流入量的折现金额计量；负债按照预计期限内需要偿还的未来净现金流出量的折现金额计量。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67150" cy="952500"/>
            <wp:effectExtent l="19050" t="0" r="0" b="0"/>
            <wp:docPr id="11" name="图片_x0020ff41da23-8818-4c20-9fe4-37c0147f4ac0" descr="a8132d24-6958-4261-9156-ed2629e71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f41da23-8818-4c20-9fe4-37c0147f4ac0" descr="a8132d24-6958-4261-9156-ed2629e71b28"/>
                    <pic:cNvPicPr>
                      <a:picLocks noChangeAspect="1" noChangeArrowheads="1"/>
                    </pic:cNvPicPr>
                  </pic:nvPicPr>
                  <pic:blipFill>
                    <a:blip r:embed="rId16"/>
                    <a:srcRect/>
                    <a:stretch>
                      <a:fillRect/>
                    </a:stretch>
                  </pic:blipFill>
                  <pic:spPr bwMode="auto">
                    <a:xfrm>
                      <a:off x="0" y="0"/>
                      <a:ext cx="3867150" cy="952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公允价值——市场参与者在计量日发生的有序交易中，出售一项资产所能收到或者转移一项负债所需支付的价格。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三、财务报</w:t>
      </w:r>
      <w:r>
        <w:rPr>
          <w:rStyle w:val="a6"/>
          <w:rFonts w:ascii="宋体" w:hAnsi="宋体" w:cs="宋体" w:hint="eastAsia"/>
          <w:color w:val="000000"/>
          <w:sz w:val="21"/>
          <w:szCs w:val="21"/>
        </w:rPr>
        <w:t>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财务报告——企业对外提供的，反映企业某一特定日期的财务状况和某一会计期间的经营成果、现金流量等会计信息的文件。</w:t>
      </w:r>
      <w:r>
        <w:rPr>
          <w:rFonts w:ascii="宋体" w:hAnsi="宋体" w:cs="宋体" w:hint="eastAsia"/>
          <w:color w:val="000000"/>
          <w:sz w:val="21"/>
          <w:szCs w:val="21"/>
        </w:rPr>
        <w:t xml:space="preserve"> </w:t>
      </w:r>
      <w:r>
        <w:rPr>
          <w:rFonts w:ascii="宋体" w:hAnsi="宋体" w:cs="宋体" w:hint="eastAsia"/>
          <w:color w:val="000000"/>
          <w:sz w:val="21"/>
          <w:szCs w:val="21"/>
        </w:rPr>
        <w:t>财务报告包括财务报表和其他应当在财务报告中披露的相关信息和资料。财务报表至少包括</w:t>
      </w:r>
      <w:r>
        <w:rPr>
          <w:rStyle w:val="font14zd2"/>
          <w:rFonts w:ascii="宋体" w:hAnsi="宋体" w:cs="宋体" w:hint="eastAsia"/>
        </w:rPr>
        <w:t>资产负债表</w:t>
      </w:r>
      <w:r>
        <w:rPr>
          <w:rFonts w:ascii="宋体" w:hAnsi="宋体" w:cs="宋体" w:hint="eastAsia"/>
          <w:color w:val="000000"/>
          <w:sz w:val="21"/>
          <w:szCs w:val="21"/>
        </w:rPr>
        <w:t>、</w:t>
      </w:r>
      <w:r>
        <w:rPr>
          <w:rStyle w:val="font14zd2"/>
          <w:rFonts w:ascii="宋体" w:hAnsi="宋体" w:cs="宋体" w:hint="eastAsia"/>
        </w:rPr>
        <w:t>利润表</w:t>
      </w:r>
      <w:r>
        <w:rPr>
          <w:rFonts w:ascii="宋体" w:hAnsi="宋体" w:cs="宋体" w:hint="eastAsia"/>
          <w:color w:val="000000"/>
          <w:sz w:val="21"/>
          <w:szCs w:val="21"/>
        </w:rPr>
        <w:t>、</w:t>
      </w:r>
      <w:r>
        <w:rPr>
          <w:rStyle w:val="font14zd2"/>
          <w:rFonts w:ascii="宋体" w:hAnsi="宋体" w:cs="宋体" w:hint="eastAsia"/>
        </w:rPr>
        <w:t>现金流量表</w:t>
      </w:r>
      <w:r>
        <w:rPr>
          <w:rFonts w:ascii="宋体" w:hAnsi="宋体" w:cs="宋体" w:hint="eastAsia"/>
          <w:color w:val="000000"/>
          <w:sz w:val="21"/>
          <w:szCs w:val="21"/>
        </w:rPr>
        <w:t>等报表及其</w:t>
      </w:r>
      <w:r>
        <w:rPr>
          <w:rStyle w:val="font14zd2"/>
          <w:rFonts w:ascii="宋体" w:hAnsi="宋体" w:cs="宋体" w:hint="eastAsia"/>
        </w:rPr>
        <w:t>附注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企业财务会计信息质量要求及其核算规范</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0C7CF7" w:rsidP="000C7CF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企业财务会计信息质量要求及其核算规范</w:t>
      </w:r>
      <w:r>
        <w:rPr>
          <w:rFonts w:ascii="宋体" w:hAnsi="宋体" w:cs="宋体" w:hint="eastAsia"/>
          <w:color w:val="000000"/>
          <w:sz w:val="21"/>
          <w:szCs w:val="21"/>
        </w:rPr>
        <w:t xml:space="preserve"> </w:t>
      </w:r>
    </w:p>
    <w:p w:rsidR="00000000" w:rsidRDefault="000C7CF7" w:rsidP="000C7CF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一、财务会计信息质量要求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可靠性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可靠性——指企业应当以</w:t>
      </w:r>
      <w:r>
        <w:rPr>
          <w:rStyle w:val="font14zd2"/>
          <w:rFonts w:ascii="宋体" w:hAnsi="宋体" w:cs="宋体" w:hint="eastAsia"/>
        </w:rPr>
        <w:t>实际发生</w:t>
      </w:r>
      <w:r>
        <w:rPr>
          <w:rFonts w:ascii="宋体" w:hAnsi="宋体" w:cs="宋体" w:hint="eastAsia"/>
          <w:color w:val="000000"/>
          <w:sz w:val="21"/>
          <w:szCs w:val="21"/>
        </w:rPr>
        <w:t>的交易或者事项为依据进行会计核算，</w:t>
      </w:r>
      <w:r>
        <w:rPr>
          <w:rStyle w:val="font14zd2"/>
          <w:rFonts w:ascii="宋体" w:hAnsi="宋体" w:cs="宋体" w:hint="eastAsia"/>
        </w:rPr>
        <w:t>如实反映</w:t>
      </w:r>
      <w:r>
        <w:rPr>
          <w:rFonts w:ascii="宋体" w:hAnsi="宋体" w:cs="宋体" w:hint="eastAsia"/>
          <w:color w:val="000000"/>
          <w:sz w:val="21"/>
          <w:szCs w:val="21"/>
        </w:rPr>
        <w:t>符合确认和计量要求的各项会计要素</w:t>
      </w:r>
      <w:r>
        <w:rPr>
          <w:rFonts w:ascii="宋体" w:hAnsi="宋体" w:cs="宋体" w:hint="eastAsia"/>
          <w:color w:val="000000"/>
          <w:sz w:val="21"/>
          <w:szCs w:val="21"/>
        </w:rPr>
        <w:t>及其他相关信息，保证会计信息</w:t>
      </w:r>
      <w:r>
        <w:rPr>
          <w:rStyle w:val="font14zd2"/>
          <w:rFonts w:ascii="宋体" w:hAnsi="宋体" w:cs="宋体" w:hint="eastAsia"/>
        </w:rPr>
        <w:t>真实可靠</w:t>
      </w:r>
      <w:r>
        <w:rPr>
          <w:rFonts w:ascii="宋体" w:hAnsi="宋体" w:cs="宋体" w:hint="eastAsia"/>
          <w:color w:val="000000"/>
          <w:sz w:val="21"/>
          <w:szCs w:val="21"/>
        </w:rPr>
        <w:t>、</w:t>
      </w:r>
      <w:r>
        <w:rPr>
          <w:rStyle w:val="font14zd2"/>
          <w:rFonts w:ascii="宋体" w:hAnsi="宋体" w:cs="宋体" w:hint="eastAsia"/>
        </w:rPr>
        <w:t>内容完整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相关性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相关性——指企业提供的会计信息应当与财务报告使用者的</w:t>
      </w:r>
      <w:r>
        <w:rPr>
          <w:rStyle w:val="font14zd2"/>
          <w:rFonts w:ascii="宋体" w:hAnsi="宋体" w:cs="宋体" w:hint="eastAsia"/>
        </w:rPr>
        <w:t>经济决策需要相关</w:t>
      </w:r>
      <w:r>
        <w:rPr>
          <w:rFonts w:ascii="宋体" w:hAnsi="宋体" w:cs="宋体" w:hint="eastAsia"/>
          <w:color w:val="000000"/>
          <w:sz w:val="21"/>
          <w:szCs w:val="21"/>
        </w:rPr>
        <w:t>，有助于财务报告使用者对企业过去、现在或未来的情况作出评价或者预测。例如，</w:t>
      </w:r>
      <w:r>
        <w:rPr>
          <w:rStyle w:val="font14zd2"/>
          <w:rFonts w:ascii="宋体" w:hAnsi="宋体" w:cs="宋体" w:hint="eastAsia"/>
        </w:rPr>
        <w:t>区分</w:t>
      </w:r>
      <w:r>
        <w:rPr>
          <w:rFonts w:ascii="宋体" w:hAnsi="宋体" w:cs="宋体" w:hint="eastAsia"/>
          <w:color w:val="000000"/>
          <w:sz w:val="21"/>
          <w:szCs w:val="21"/>
        </w:rPr>
        <w:t>收入和利得、费用和损失，</w:t>
      </w:r>
      <w:r>
        <w:rPr>
          <w:rStyle w:val="font14zd2"/>
          <w:rFonts w:ascii="宋体" w:hAnsi="宋体" w:cs="宋体" w:hint="eastAsia"/>
        </w:rPr>
        <w:t>区分</w:t>
      </w:r>
      <w:r>
        <w:rPr>
          <w:rFonts w:ascii="宋体" w:hAnsi="宋体" w:cs="宋体" w:hint="eastAsia"/>
          <w:color w:val="000000"/>
          <w:sz w:val="21"/>
          <w:szCs w:val="21"/>
        </w:rPr>
        <w:t>流动资产和非流动资产、流动负债和非流动负债以及</w:t>
      </w:r>
      <w:r>
        <w:rPr>
          <w:rStyle w:val="font14zd2"/>
          <w:rFonts w:ascii="宋体" w:hAnsi="宋体" w:cs="宋体" w:hint="eastAsia"/>
        </w:rPr>
        <w:t>采用公允价值计量</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可理解性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可理解性——指企业提供的会计信息应当</w:t>
      </w:r>
      <w:r>
        <w:rPr>
          <w:rStyle w:val="font14zd2"/>
          <w:rFonts w:ascii="宋体" w:hAnsi="宋体" w:cs="宋体" w:hint="eastAsia"/>
        </w:rPr>
        <w:t>清晰明了</w:t>
      </w:r>
      <w:r>
        <w:rPr>
          <w:rFonts w:ascii="宋体" w:hAnsi="宋体" w:cs="宋体" w:hint="eastAsia"/>
          <w:color w:val="000000"/>
          <w:sz w:val="21"/>
          <w:szCs w:val="21"/>
        </w:rPr>
        <w:t>，便于财务报告使用者理解和使用。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可比性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可比性——指企业提供的会计信息应当具有可比性，包括同一企业不同时期可</w:t>
      </w:r>
      <w:r>
        <w:rPr>
          <w:rFonts w:ascii="宋体" w:hAnsi="宋体" w:cs="宋体" w:hint="eastAsia"/>
          <w:color w:val="000000"/>
          <w:sz w:val="21"/>
          <w:szCs w:val="21"/>
        </w:rPr>
        <w:t>比</w:t>
      </w:r>
      <w:r>
        <w:rPr>
          <w:rStyle w:val="font14zd2"/>
          <w:rFonts w:ascii="宋体" w:hAnsi="宋体" w:cs="宋体" w:hint="eastAsia"/>
        </w:rPr>
        <w:t>（纵向可比）</w:t>
      </w:r>
      <w:r>
        <w:rPr>
          <w:rFonts w:ascii="宋体" w:hAnsi="宋体" w:cs="宋体" w:hint="eastAsia"/>
          <w:color w:val="000000"/>
          <w:sz w:val="21"/>
          <w:szCs w:val="21"/>
        </w:rPr>
        <w:t>和不同企业相同会计期间可比</w:t>
      </w:r>
      <w:r>
        <w:rPr>
          <w:rStyle w:val="font14zd2"/>
          <w:rFonts w:ascii="宋体" w:hAnsi="宋体" w:cs="宋体" w:hint="eastAsia"/>
        </w:rPr>
        <w:t>（横向可比）</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同一企业不同时期发生的相同或者相似的交易或者事项，应当采用</w:t>
      </w:r>
      <w:r>
        <w:rPr>
          <w:rStyle w:val="font14zd2"/>
          <w:rFonts w:ascii="宋体" w:hAnsi="宋体" w:cs="宋体" w:hint="eastAsia"/>
        </w:rPr>
        <w:t>一致的会计政策</w:t>
      </w:r>
      <w:r>
        <w:rPr>
          <w:rFonts w:ascii="宋体" w:hAnsi="宋体" w:cs="宋体" w:hint="eastAsia"/>
          <w:color w:val="000000"/>
          <w:sz w:val="21"/>
          <w:szCs w:val="21"/>
        </w:rPr>
        <w:t>，</w:t>
      </w:r>
      <w:r>
        <w:rPr>
          <w:rStyle w:val="font14zd2"/>
          <w:rFonts w:ascii="宋体" w:hAnsi="宋体" w:cs="宋体" w:hint="eastAsia"/>
        </w:rPr>
        <w:t>不得随意变更</w:t>
      </w:r>
      <w:r>
        <w:rPr>
          <w:rFonts w:ascii="宋体" w:hAnsi="宋体" w:cs="宋体" w:hint="eastAsia"/>
          <w:color w:val="000000"/>
          <w:sz w:val="21"/>
          <w:szCs w:val="21"/>
        </w:rPr>
        <w:t>。确需变更的，应当在附注中说明。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不同企业同一会计期间发生的相同或者相似的交易或事项，应当采用</w:t>
      </w:r>
      <w:r>
        <w:rPr>
          <w:rStyle w:val="font14zd2"/>
          <w:rFonts w:ascii="宋体" w:hAnsi="宋体" w:cs="宋体" w:hint="eastAsia"/>
        </w:rPr>
        <w:t>相同或相似的会计政策</w:t>
      </w:r>
      <w:r>
        <w:rPr>
          <w:rFonts w:ascii="宋体" w:hAnsi="宋体" w:cs="宋体" w:hint="eastAsia"/>
          <w:color w:val="000000"/>
          <w:sz w:val="21"/>
          <w:szCs w:val="21"/>
        </w:rPr>
        <w:t>，</w:t>
      </w:r>
      <w:r>
        <w:rPr>
          <w:rStyle w:val="font14zd2"/>
          <w:rFonts w:ascii="宋体" w:hAnsi="宋体" w:cs="宋体" w:hint="eastAsia"/>
        </w:rPr>
        <w:t>确保会计信息口径一致</w:t>
      </w:r>
      <w:r>
        <w:rPr>
          <w:rFonts w:ascii="宋体" w:hAnsi="宋体" w:cs="宋体" w:hint="eastAsia"/>
          <w:color w:val="000000"/>
          <w:sz w:val="21"/>
          <w:szCs w:val="21"/>
        </w:rPr>
        <w:t>、</w:t>
      </w:r>
      <w:r>
        <w:rPr>
          <w:rStyle w:val="font14zd2"/>
          <w:rFonts w:ascii="宋体" w:hAnsi="宋体" w:cs="宋体" w:hint="eastAsia"/>
        </w:rPr>
        <w:t>相互可比</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下列各项会计处理方法中，体现财务会计信息可比性的是（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分期收款发出商品未全额确认为当期收入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发出存货的计价方法一经确定，不得随意变更，如需变更应在财务报表附</w:t>
      </w:r>
      <w:r>
        <w:rPr>
          <w:rStyle w:val="fontkaiti1"/>
          <w:rFonts w:cs="宋体" w:hint="default"/>
          <w:color w:val="000000"/>
        </w:rPr>
        <w:t>注披露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对发生减值的资产计提减值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对个别资产采用现值计量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比性要求同一企业不同时期发生的相同或者相似的交易或者事项，应当采用一致的会计政策，不得随意变更。确需变更的，应当在附注中说明。不同企业同一会计期间发生的相同或者相似的交易或者事项，应当采用相同或相似的会计政策，确保会计信息口径一致、相互可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实质重于形式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实质重于形式——指企业应当按照交易或事项的</w:t>
      </w:r>
      <w:r>
        <w:rPr>
          <w:rStyle w:val="font14zd2"/>
          <w:rFonts w:ascii="宋体" w:hAnsi="宋体" w:cs="宋体" w:hint="eastAsia"/>
        </w:rPr>
        <w:t>经济实质</w:t>
      </w:r>
      <w:r>
        <w:rPr>
          <w:rFonts w:ascii="宋体" w:hAnsi="宋体" w:cs="宋体" w:hint="eastAsia"/>
          <w:color w:val="000000"/>
          <w:sz w:val="21"/>
          <w:szCs w:val="21"/>
        </w:rPr>
        <w:t>进行会计确认、计量和报告，不应仅以交易或事项的</w:t>
      </w:r>
      <w:r>
        <w:rPr>
          <w:rStyle w:val="font14zd2"/>
          <w:rFonts w:ascii="宋体" w:hAnsi="宋体" w:cs="宋体" w:hint="eastAsia"/>
        </w:rPr>
        <w:t>法律形式</w:t>
      </w:r>
      <w:r>
        <w:rPr>
          <w:rFonts w:ascii="宋体" w:hAnsi="宋体" w:cs="宋体" w:hint="eastAsia"/>
          <w:color w:val="000000"/>
          <w:sz w:val="21"/>
          <w:szCs w:val="21"/>
        </w:rPr>
        <w:t>为依据。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00525" cy="2514600"/>
            <wp:effectExtent l="19050" t="0" r="9525" b="0"/>
            <wp:docPr id="12" name="图片_x00209e04e006-0afa-4d7e-996e-12c78251df39" descr="5c6f4e90-a97e-4029-bbb6-4b377033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e04e006-0afa-4d7e-996e-12c78251df39" descr="5c6f4e90-a97e-4029-bbb6-4b3770332059"/>
                    <pic:cNvPicPr>
                      <a:picLocks noChangeAspect="1" noChangeArrowheads="1"/>
                    </pic:cNvPicPr>
                  </pic:nvPicPr>
                  <pic:blipFill>
                    <a:blip r:embed="rId17"/>
                    <a:srcRect/>
                    <a:stretch>
                      <a:fillRect/>
                    </a:stretch>
                  </pic:blipFill>
                  <pic:spPr bwMode="auto">
                    <a:xfrm>
                      <a:off x="0" y="0"/>
                      <a:ext cx="4200525" cy="2514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重要性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重要性——指企业提供的会计信息应当反映与企业财务状况、经营成果和现金流量等有关的所有</w:t>
      </w:r>
      <w:r>
        <w:rPr>
          <w:rStyle w:val="font14zd2"/>
          <w:rFonts w:ascii="宋体" w:hAnsi="宋体" w:cs="宋体" w:hint="eastAsia"/>
        </w:rPr>
        <w:t>重要</w:t>
      </w:r>
      <w:r>
        <w:rPr>
          <w:rFonts w:ascii="宋体" w:hAnsi="宋体" w:cs="宋体" w:hint="eastAsia"/>
          <w:color w:val="000000"/>
          <w:sz w:val="21"/>
          <w:szCs w:val="21"/>
        </w:rPr>
        <w:t>交易或者事项。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企业核算中遵循重要性原则的同时要考虑提供会计信息的成本与效益问题，使得提供会计信息的收益大于成本，</w:t>
      </w:r>
      <w:r>
        <w:rPr>
          <w:rStyle w:val="font14zd2"/>
          <w:rFonts w:ascii="宋体" w:hAnsi="宋体" w:cs="宋体" w:hint="eastAsia"/>
        </w:rPr>
        <w:t>避免出现提供会计信息的成本大于收益的情况</w:t>
      </w:r>
      <w:r>
        <w:rPr>
          <w:rFonts w:ascii="宋体" w:hAnsi="宋体" w:cs="宋体" w:hint="eastAsia"/>
          <w:color w:val="000000"/>
          <w:sz w:val="21"/>
          <w:szCs w:val="21"/>
        </w:rPr>
        <w:t>，在全面反映企业财务状况和经营成果的基础上，起到突出重点，简化核算，节约人力、物力和财力，提高会计核算的工作效率。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谨慎性——指企业对交易或者事项进行会计确认、计量和报告应当保持应有的谨慎，</w:t>
      </w:r>
      <w:r>
        <w:rPr>
          <w:rStyle w:val="font14zd2"/>
          <w:rFonts w:ascii="宋体" w:hAnsi="宋体" w:cs="宋体" w:hint="eastAsia"/>
        </w:rPr>
        <w:t>不应高估</w:t>
      </w:r>
      <w:r>
        <w:rPr>
          <w:rFonts w:ascii="宋体" w:hAnsi="宋体" w:cs="宋体" w:hint="eastAsia"/>
          <w:color w:val="000000"/>
          <w:sz w:val="21"/>
          <w:szCs w:val="21"/>
        </w:rPr>
        <w:t>资产或者收益</w:t>
      </w:r>
      <w:r>
        <w:rPr>
          <w:rFonts w:ascii="宋体" w:hAnsi="宋体" w:cs="宋体" w:hint="eastAsia"/>
          <w:color w:val="000000"/>
          <w:sz w:val="21"/>
          <w:szCs w:val="21"/>
        </w:rPr>
        <w:t>、</w:t>
      </w:r>
      <w:r>
        <w:rPr>
          <w:rStyle w:val="font14zd2"/>
          <w:rFonts w:ascii="宋体" w:hAnsi="宋体" w:cs="宋体" w:hint="eastAsia"/>
        </w:rPr>
        <w:t>低估</w:t>
      </w:r>
      <w:r>
        <w:rPr>
          <w:rFonts w:ascii="宋体" w:hAnsi="宋体" w:cs="宋体" w:hint="eastAsia"/>
          <w:color w:val="000000"/>
          <w:sz w:val="21"/>
          <w:szCs w:val="21"/>
        </w:rPr>
        <w:t>负债或者费用。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对于预计会发生的损失应计算入账，对于可能发生的收益则不预计入账，对资产计提减值准备，递延所得税资产的确认，对售出商品很可能发生的保修义务确认预计负债等均体现了谨慎性要求，但是并不意味着企业可以任意设置各种秘密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下列各项中，体现谨慎性会计信息质量要求的有（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资产负债表中的负债按流动负债和非流动负债分别列报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企业对售出商品很可能发生的保修义务确认预计负债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企业进行所得税会计处理时，只有存在确凿证据表明未来期间</w:t>
      </w:r>
      <w:r>
        <w:rPr>
          <w:rStyle w:val="fontkaiti1"/>
          <w:rFonts w:cs="宋体" w:hint="default"/>
          <w:color w:val="000000"/>
        </w:rPr>
        <w:t>很可能获得足够的应纳税所得额用于抵扣可抵扣暂时性差异，才确认相关的递延所得税资产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融资性售后回购销售商品取得的价款不确认收入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企业将资本公积转增股本，对各列报期间的每股收益重新计算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，体现了相关性会计信息质量要求；选项</w:t>
      </w:r>
      <w:r>
        <w:rPr>
          <w:rStyle w:val="fontkaiti1"/>
          <w:rFonts w:cs="宋体" w:hint="default"/>
          <w:color w:val="000000"/>
        </w:rPr>
        <w:t>D</w:t>
      </w:r>
      <w:r>
        <w:rPr>
          <w:rStyle w:val="fontkaiti1"/>
          <w:rFonts w:cs="宋体" w:hint="default"/>
          <w:color w:val="000000"/>
        </w:rPr>
        <w:t>，体现实质重于形式会计信息质量要求，选项</w:t>
      </w:r>
      <w:r>
        <w:rPr>
          <w:rStyle w:val="fontkaiti1"/>
          <w:rFonts w:cs="宋体" w:hint="default"/>
          <w:color w:val="000000"/>
        </w:rPr>
        <w:t>E</w:t>
      </w:r>
      <w:r>
        <w:rPr>
          <w:rStyle w:val="fontkaiti1"/>
          <w:rFonts w:cs="宋体" w:hint="default"/>
          <w:color w:val="000000"/>
        </w:rPr>
        <w:t>，体现了可比性会计信息质量要求。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多选题】</w:t>
      </w:r>
      <w:r>
        <w:rPr>
          <w:rStyle w:val="fontkaiti1"/>
          <w:rFonts w:cs="宋体" w:hint="default"/>
          <w:color w:val="000000"/>
        </w:rPr>
        <w:t>下列会计核算中体现了谨慎性会计信息质量要求的有（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应低估资产或收益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不高估资产或收益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计提特殊准备项目以平滑利润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应确认预计发生的损失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不确认可能发生的收益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，谨慎性要求企业不应高估资产或者收益、低估负债或者费用；选项</w:t>
      </w:r>
      <w:r>
        <w:rPr>
          <w:rStyle w:val="fontkaiti1"/>
          <w:rFonts w:cs="宋体" w:hint="default"/>
          <w:color w:val="000000"/>
        </w:rPr>
        <w:t>C</w:t>
      </w:r>
      <w:r>
        <w:rPr>
          <w:rStyle w:val="fontkaiti1"/>
          <w:rFonts w:cs="宋体" w:hint="default"/>
          <w:color w:val="000000"/>
        </w:rPr>
        <w:t>，遵循谨慎性并不意味着企业可以任意设置各种秘密准备，否则，就属于滥用谨慎性原则。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多选题】</w:t>
      </w:r>
      <w:r>
        <w:rPr>
          <w:rStyle w:val="fontkaiti1"/>
          <w:rFonts w:cs="宋体" w:hint="default"/>
          <w:color w:val="000000"/>
        </w:rPr>
        <w:t>下列关于企业财务会计信息质量要求的表述中，正确的有（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企业应当以实际发生的交易或事项为依据进行会计核算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企业应将预计发生的损失和很可能发生收益完整入账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企业应当依据</w:t>
      </w:r>
      <w:r>
        <w:rPr>
          <w:rStyle w:val="fontkaiti1"/>
          <w:rFonts w:cs="宋体" w:hint="default"/>
          <w:color w:val="000000"/>
        </w:rPr>
        <w:t>交易的法律形式进行会计确认、计量和报告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企业提供的会计核算信息应清晰明了，便于会计信息使用者理解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企业对不同会计期发生的相同或相似的交易应当采用一致的会计政策，不得随意变更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，属于可靠性要求；选项</w:t>
      </w:r>
      <w:r>
        <w:rPr>
          <w:rStyle w:val="fontkaiti1"/>
          <w:rFonts w:cs="宋体" w:hint="default"/>
          <w:color w:val="000000"/>
        </w:rPr>
        <w:t>D</w:t>
      </w:r>
      <w:r>
        <w:rPr>
          <w:rStyle w:val="fontkaiti1"/>
          <w:rFonts w:cs="宋体" w:hint="default"/>
          <w:color w:val="000000"/>
        </w:rPr>
        <w:t>，属于可理解性要求；选项</w:t>
      </w:r>
      <w:r>
        <w:rPr>
          <w:rStyle w:val="fontkaiti1"/>
          <w:rFonts w:cs="宋体" w:hint="default"/>
          <w:color w:val="000000"/>
        </w:rPr>
        <w:t>E</w:t>
      </w:r>
      <w:r>
        <w:rPr>
          <w:rStyle w:val="fontkaiti1"/>
          <w:rFonts w:cs="宋体" w:hint="default"/>
          <w:color w:val="000000"/>
        </w:rPr>
        <w:t>，属于可比性要求。选项</w:t>
      </w:r>
      <w:r>
        <w:rPr>
          <w:rStyle w:val="fontkaiti1"/>
          <w:rFonts w:cs="宋体" w:hint="default"/>
          <w:color w:val="000000"/>
        </w:rPr>
        <w:t>B</w:t>
      </w:r>
      <w:r>
        <w:rPr>
          <w:rStyle w:val="fontkaiti1"/>
          <w:rFonts w:cs="宋体" w:hint="default"/>
          <w:color w:val="000000"/>
        </w:rPr>
        <w:t>，谨慎性要求企业应当将预计很可能发生的损失和基本确定可以发生的收益入账；选项</w:t>
      </w:r>
      <w:r>
        <w:rPr>
          <w:rStyle w:val="fontkaiti1"/>
          <w:rFonts w:cs="宋体" w:hint="default"/>
          <w:color w:val="000000"/>
        </w:rPr>
        <w:t>C</w:t>
      </w:r>
      <w:r>
        <w:rPr>
          <w:rStyle w:val="fontkaiti1"/>
          <w:rFonts w:cs="宋体" w:hint="default"/>
          <w:color w:val="000000"/>
        </w:rPr>
        <w:t>，实质重于形式要求企业应当按照交易或者事项的经济实质进行会计确认、计量和报告，不应仅以交易或者事项的法律形式为依据。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单选题】</w:t>
      </w:r>
      <w:r>
        <w:rPr>
          <w:rStyle w:val="fontkaiti1"/>
          <w:rFonts w:cs="宋体" w:hint="default"/>
          <w:color w:val="000000"/>
        </w:rPr>
        <w:t>下列关于会计信息质量要求的表述中，错误的是（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售后回购在会计上一般不确认收入体现了实质重于形式的要求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企业会计政策不得随意变更体现了可比性的要求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避免企业出现提供会计信息的成本大于收益的情况体现了重要性的要求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适度高估负债和费用，低估资产和收入体现了谨慎性的要求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『答案解析』谨慎性要求企业对交易或事项应当保持应有的谨慎，不应高估资产或收益，不应低估负债或费用，故选项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及时性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及时性—</w:t>
      </w:r>
      <w:r>
        <w:rPr>
          <w:rFonts w:ascii="宋体" w:hAnsi="宋体" w:cs="宋体" w:hint="eastAsia"/>
          <w:color w:val="000000"/>
          <w:sz w:val="21"/>
          <w:szCs w:val="21"/>
        </w:rPr>
        <w:t>—指企业对于已经发生的交易或者事项，应当及时进行会计确认、计量和报告，</w:t>
      </w:r>
      <w:r>
        <w:rPr>
          <w:rStyle w:val="font14zd2"/>
          <w:rFonts w:ascii="宋体" w:hAnsi="宋体" w:cs="宋体" w:hint="eastAsia"/>
        </w:rPr>
        <w:t>不得提前或延后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二、企业财务会计核算规范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企业会计核算规范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我国的企业会计核算规范主要由《会计法》《企业会计准则》等组成，并形成了以《会计法》为核心的一个比较完整的体系。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《会计法》第四十一条规定，伪造、变造会计凭证、会计账簿，编制虚假财务会计报告，隐匿或者故意销毁依法应当保存的会计凭证、会计账簿、财务会计报告的，由县级以上人民政府财政部门</w:t>
      </w:r>
      <w:r>
        <w:rPr>
          <w:rStyle w:val="font14zd2"/>
          <w:rFonts w:ascii="宋体" w:hAnsi="宋体" w:cs="宋体" w:hint="eastAsia"/>
        </w:rPr>
        <w:t>责令限期改正</w:t>
      </w:r>
      <w:r>
        <w:rPr>
          <w:rFonts w:ascii="宋体" w:hAnsi="宋体" w:cs="宋体" w:hint="eastAsia"/>
          <w:color w:val="000000"/>
          <w:sz w:val="21"/>
          <w:szCs w:val="21"/>
        </w:rPr>
        <w:t>，</w:t>
      </w:r>
      <w:r>
        <w:rPr>
          <w:rStyle w:val="font14zd2"/>
          <w:rFonts w:ascii="宋体" w:hAnsi="宋体" w:cs="宋体" w:hint="eastAsia"/>
        </w:rPr>
        <w:t>给予警告</w:t>
      </w:r>
      <w:r>
        <w:rPr>
          <w:rFonts w:ascii="宋体" w:hAnsi="宋体" w:cs="宋体" w:hint="eastAsia"/>
          <w:color w:val="000000"/>
          <w:sz w:val="21"/>
          <w:szCs w:val="21"/>
        </w:rPr>
        <w:t>、</w:t>
      </w:r>
      <w:r>
        <w:rPr>
          <w:rStyle w:val="font14zd2"/>
          <w:rFonts w:ascii="宋体" w:hAnsi="宋体" w:cs="宋体" w:hint="eastAsia"/>
        </w:rPr>
        <w:t>通报批评</w:t>
      </w:r>
      <w:r>
        <w:rPr>
          <w:rFonts w:ascii="宋体" w:hAnsi="宋体" w:cs="宋体" w:hint="eastAsia"/>
          <w:color w:val="000000"/>
          <w:sz w:val="21"/>
          <w:szCs w:val="21"/>
        </w:rPr>
        <w:t>，没收违法所得，违法所得</w:t>
      </w:r>
      <w:r>
        <w:rPr>
          <w:rFonts w:ascii="宋体" w:hAnsi="宋体" w:cs="宋体" w:hint="eastAsia"/>
          <w:color w:val="000000"/>
          <w:sz w:val="21"/>
          <w:szCs w:val="21"/>
        </w:rPr>
        <w:t>20</w:t>
      </w:r>
      <w:r>
        <w:rPr>
          <w:rFonts w:ascii="宋体" w:hAnsi="宋体" w:cs="宋体" w:hint="eastAsia"/>
          <w:color w:val="000000"/>
          <w:sz w:val="21"/>
          <w:szCs w:val="21"/>
        </w:rPr>
        <w:t>万元以上</w:t>
      </w:r>
      <w:r>
        <w:rPr>
          <w:rFonts w:ascii="宋体" w:hAnsi="宋体" w:cs="宋体" w:hint="eastAsia"/>
          <w:color w:val="000000"/>
          <w:sz w:val="21"/>
          <w:szCs w:val="21"/>
        </w:rPr>
        <w:t>的，对单位可以并处违法所得</w:t>
      </w:r>
      <w:r>
        <w:rPr>
          <w:rStyle w:val="font14zd2"/>
          <w:rFonts w:ascii="宋体" w:hAnsi="宋体" w:cs="宋体" w:hint="eastAsia"/>
        </w:rPr>
        <w:t>1</w:t>
      </w:r>
      <w:r>
        <w:rPr>
          <w:rStyle w:val="font14zd2"/>
          <w:rFonts w:ascii="宋体" w:hAnsi="宋体" w:cs="宋体" w:hint="eastAsia"/>
        </w:rPr>
        <w:t>倍以上</w:t>
      </w:r>
      <w:r>
        <w:rPr>
          <w:rStyle w:val="font14zd2"/>
          <w:rFonts w:ascii="宋体" w:hAnsi="宋体" w:cs="宋体" w:hint="eastAsia"/>
        </w:rPr>
        <w:t>10</w:t>
      </w:r>
      <w:r>
        <w:rPr>
          <w:rStyle w:val="font14zd2"/>
          <w:rFonts w:ascii="宋体" w:hAnsi="宋体" w:cs="宋体" w:hint="eastAsia"/>
        </w:rPr>
        <w:t>倍以下</w:t>
      </w:r>
      <w:r>
        <w:rPr>
          <w:rFonts w:ascii="宋体" w:hAnsi="宋体" w:cs="宋体" w:hint="eastAsia"/>
          <w:color w:val="000000"/>
          <w:sz w:val="21"/>
          <w:szCs w:val="21"/>
        </w:rPr>
        <w:t>的罚款，没有违法所得或者违法所得不足</w:t>
      </w:r>
      <w:r>
        <w:rPr>
          <w:rFonts w:ascii="宋体" w:hAnsi="宋体" w:cs="宋体" w:hint="eastAsia"/>
          <w:color w:val="000000"/>
          <w:sz w:val="21"/>
          <w:szCs w:val="21"/>
        </w:rPr>
        <w:t>20</w:t>
      </w:r>
      <w:r>
        <w:rPr>
          <w:rFonts w:ascii="宋体" w:hAnsi="宋体" w:cs="宋体" w:hint="eastAsia"/>
          <w:color w:val="000000"/>
          <w:sz w:val="21"/>
          <w:szCs w:val="21"/>
        </w:rPr>
        <w:t>万元的，可以并处</w:t>
      </w:r>
      <w:r>
        <w:rPr>
          <w:rStyle w:val="font14zd2"/>
          <w:rFonts w:ascii="宋体" w:hAnsi="宋体" w:cs="宋体" w:hint="eastAsia"/>
        </w:rPr>
        <w:t>20</w:t>
      </w:r>
      <w:r>
        <w:rPr>
          <w:rStyle w:val="font14zd2"/>
          <w:rFonts w:ascii="宋体" w:hAnsi="宋体" w:cs="宋体" w:hint="eastAsia"/>
        </w:rPr>
        <w:t>万元以上</w:t>
      </w:r>
      <w:r>
        <w:rPr>
          <w:rStyle w:val="font14zd2"/>
          <w:rFonts w:ascii="宋体" w:hAnsi="宋体" w:cs="宋体" w:hint="eastAsia"/>
        </w:rPr>
        <w:t>200</w:t>
      </w:r>
      <w:r>
        <w:rPr>
          <w:rStyle w:val="font14zd2"/>
          <w:rFonts w:ascii="宋体" w:hAnsi="宋体" w:cs="宋体" w:hint="eastAsia"/>
        </w:rPr>
        <w:t>万元以下</w:t>
      </w:r>
      <w:r>
        <w:rPr>
          <w:rFonts w:ascii="宋体" w:hAnsi="宋体" w:cs="宋体" w:hint="eastAsia"/>
          <w:color w:val="000000"/>
          <w:sz w:val="21"/>
          <w:szCs w:val="21"/>
        </w:rPr>
        <w:t>的罚款；对其直接负责的主管人员和其他直接责任人员可以处</w:t>
      </w:r>
      <w:r>
        <w:rPr>
          <w:rStyle w:val="font14zd2"/>
          <w:rFonts w:ascii="宋体" w:hAnsi="宋体" w:cs="宋体" w:hint="eastAsia"/>
        </w:rPr>
        <w:t>10</w:t>
      </w:r>
      <w:r>
        <w:rPr>
          <w:rStyle w:val="font14zd2"/>
          <w:rFonts w:ascii="宋体" w:hAnsi="宋体" w:cs="宋体" w:hint="eastAsia"/>
        </w:rPr>
        <w:t>万元以上</w:t>
      </w:r>
      <w:r>
        <w:rPr>
          <w:rStyle w:val="font14zd2"/>
          <w:rFonts w:ascii="宋体" w:hAnsi="宋体" w:cs="宋体" w:hint="eastAsia"/>
        </w:rPr>
        <w:t>50</w:t>
      </w:r>
      <w:r>
        <w:rPr>
          <w:rStyle w:val="font14zd2"/>
          <w:rFonts w:ascii="宋体" w:hAnsi="宋体" w:cs="宋体" w:hint="eastAsia"/>
        </w:rPr>
        <w:t>万元以下</w:t>
      </w:r>
      <w:r>
        <w:rPr>
          <w:rFonts w:ascii="宋体" w:hAnsi="宋体" w:cs="宋体" w:hint="eastAsia"/>
          <w:color w:val="000000"/>
          <w:sz w:val="21"/>
          <w:szCs w:val="21"/>
        </w:rPr>
        <w:t>的罚款，情节严重的，可以处</w:t>
      </w:r>
      <w:r>
        <w:rPr>
          <w:rStyle w:val="font14zd2"/>
          <w:rFonts w:ascii="宋体" w:hAnsi="宋体" w:cs="宋体" w:hint="eastAsia"/>
        </w:rPr>
        <w:t>50</w:t>
      </w:r>
      <w:r>
        <w:rPr>
          <w:rStyle w:val="font14zd2"/>
          <w:rFonts w:ascii="宋体" w:hAnsi="宋体" w:cs="宋体" w:hint="eastAsia"/>
        </w:rPr>
        <w:t>万元以上</w:t>
      </w:r>
      <w:r>
        <w:rPr>
          <w:rStyle w:val="font14zd2"/>
          <w:rFonts w:ascii="宋体" w:hAnsi="宋体" w:cs="宋体" w:hint="eastAsia"/>
        </w:rPr>
        <w:t>200</w:t>
      </w:r>
      <w:r>
        <w:rPr>
          <w:rStyle w:val="font14zd2"/>
          <w:rFonts w:ascii="宋体" w:hAnsi="宋体" w:cs="宋体" w:hint="eastAsia"/>
        </w:rPr>
        <w:t>万元以下</w:t>
      </w:r>
      <w:r>
        <w:rPr>
          <w:rFonts w:ascii="宋体" w:hAnsi="宋体" w:cs="宋体" w:hint="eastAsia"/>
          <w:color w:val="000000"/>
          <w:sz w:val="21"/>
          <w:szCs w:val="21"/>
        </w:rPr>
        <w:t>的罚款；属于公职人员的，还应当依法给予处分；其中的会计人员，</w:t>
      </w:r>
      <w:r>
        <w:rPr>
          <w:rStyle w:val="font14zd2"/>
          <w:rFonts w:ascii="宋体" w:hAnsi="宋体" w:cs="宋体" w:hint="eastAsia"/>
        </w:rPr>
        <w:t>5</w:t>
      </w:r>
      <w:r>
        <w:rPr>
          <w:rStyle w:val="font14zd2"/>
          <w:rFonts w:ascii="宋体" w:hAnsi="宋体" w:cs="宋体" w:hint="eastAsia"/>
        </w:rPr>
        <w:t>年内</w:t>
      </w:r>
      <w:r>
        <w:rPr>
          <w:rFonts w:ascii="宋体" w:hAnsi="宋体" w:cs="宋体" w:hint="eastAsia"/>
          <w:color w:val="000000"/>
          <w:sz w:val="21"/>
          <w:szCs w:val="21"/>
        </w:rPr>
        <w:t>不得从事会计工作；构成犯罪的，依法追究</w:t>
      </w:r>
      <w:r>
        <w:rPr>
          <w:rStyle w:val="font14zd2"/>
          <w:rFonts w:ascii="宋体" w:hAnsi="宋体" w:cs="宋体" w:hint="eastAsia"/>
        </w:rPr>
        <w:t>刑事责任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根据最新修订的《中华人民共和国会计法》规定，下列对伪造、变造会计凭证、会计账簿，编制虚假财务会计报告的处罚中，正确</w:t>
      </w:r>
      <w:r>
        <w:rPr>
          <w:rStyle w:val="fontkaiti1"/>
          <w:rFonts w:cs="宋体" w:hint="default"/>
          <w:color w:val="000000"/>
        </w:rPr>
        <w:t>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责令限期改正，给予警告、通报批评、没收违法所得及罚款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违法所得不足</w:t>
      </w:r>
      <w:r>
        <w:rPr>
          <w:rStyle w:val="fontkaiti1"/>
          <w:rFonts w:cs="宋体" w:hint="default"/>
          <w:color w:val="000000"/>
        </w:rPr>
        <w:t>20</w:t>
      </w:r>
      <w:r>
        <w:rPr>
          <w:rStyle w:val="fontkaiti1"/>
          <w:rFonts w:cs="宋体" w:hint="default"/>
          <w:color w:val="000000"/>
        </w:rPr>
        <w:t>万元，可以对单位并处</w:t>
      </w:r>
      <w:r>
        <w:rPr>
          <w:rStyle w:val="fontkaiti1"/>
          <w:rFonts w:cs="宋体" w:hint="default"/>
          <w:color w:val="000000"/>
        </w:rPr>
        <w:t>10</w:t>
      </w:r>
      <w:r>
        <w:rPr>
          <w:rStyle w:val="fontkaiti1"/>
          <w:rFonts w:cs="宋体" w:hint="default"/>
          <w:color w:val="000000"/>
        </w:rPr>
        <w:t>万元以上</w:t>
      </w:r>
      <w:r>
        <w:rPr>
          <w:rStyle w:val="fontkaiti1"/>
          <w:rFonts w:cs="宋体" w:hint="default"/>
          <w:color w:val="000000"/>
        </w:rPr>
        <w:t>100</w:t>
      </w:r>
      <w:r>
        <w:rPr>
          <w:rStyle w:val="fontkaiti1"/>
          <w:rFonts w:cs="宋体" w:hint="default"/>
          <w:color w:val="000000"/>
        </w:rPr>
        <w:t>万元以下罚款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对直接负责的主管人员可以处以最高</w:t>
      </w:r>
      <w:r>
        <w:rPr>
          <w:rStyle w:val="fontkaiti1"/>
          <w:rFonts w:cs="宋体" w:hint="default"/>
          <w:color w:val="000000"/>
        </w:rPr>
        <w:t>200</w:t>
      </w:r>
      <w:r>
        <w:rPr>
          <w:rStyle w:val="fontkaiti1"/>
          <w:rFonts w:cs="宋体" w:hint="default"/>
          <w:color w:val="000000"/>
        </w:rPr>
        <w:t>万元的罚款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相关的会计人员</w:t>
      </w:r>
      <w:r>
        <w:rPr>
          <w:rStyle w:val="fontkaiti1"/>
          <w:rFonts w:cs="宋体" w:hint="default"/>
          <w:color w:val="000000"/>
        </w:rPr>
        <w:t>5</w:t>
      </w:r>
      <w:r>
        <w:rPr>
          <w:rStyle w:val="fontkaiti1"/>
          <w:rFonts w:cs="宋体" w:hint="default"/>
          <w:color w:val="000000"/>
        </w:rPr>
        <w:t>年内不得从事会计工作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违法所得</w:t>
      </w:r>
      <w:r>
        <w:rPr>
          <w:rStyle w:val="fontkaiti1"/>
          <w:rFonts w:cs="宋体" w:hint="default"/>
          <w:color w:val="000000"/>
        </w:rPr>
        <w:t>20</w:t>
      </w:r>
      <w:r>
        <w:rPr>
          <w:rStyle w:val="fontkaiti1"/>
          <w:rFonts w:cs="宋体" w:hint="default"/>
          <w:color w:val="000000"/>
        </w:rPr>
        <w:t>万元以上的，可以对单位并处违法所得</w:t>
      </w:r>
      <w:r>
        <w:rPr>
          <w:rStyle w:val="fontkaiti1"/>
          <w:rFonts w:cs="宋体" w:hint="default"/>
          <w:color w:val="000000"/>
        </w:rPr>
        <w:t>1</w:t>
      </w:r>
      <w:r>
        <w:rPr>
          <w:rStyle w:val="fontkaiti1"/>
          <w:rFonts w:cs="宋体" w:hint="default"/>
          <w:color w:val="000000"/>
        </w:rPr>
        <w:t>倍以上</w:t>
      </w:r>
      <w:r>
        <w:rPr>
          <w:rStyle w:val="fontkaiti1"/>
          <w:rFonts w:cs="宋体" w:hint="default"/>
          <w:color w:val="000000"/>
        </w:rPr>
        <w:t>10</w:t>
      </w:r>
      <w:r>
        <w:rPr>
          <w:rStyle w:val="fontkaiti1"/>
          <w:rFonts w:cs="宋体" w:hint="default"/>
          <w:color w:val="000000"/>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，没有违法所得或者违法所得不足</w:t>
      </w:r>
      <w:r>
        <w:rPr>
          <w:rStyle w:val="fontkaiti1"/>
          <w:rFonts w:cs="宋体" w:hint="default"/>
          <w:color w:val="000000"/>
        </w:rPr>
        <w:t>20</w:t>
      </w:r>
      <w:r>
        <w:rPr>
          <w:rStyle w:val="fontkaiti1"/>
          <w:rFonts w:cs="宋体" w:hint="default"/>
          <w:color w:val="000000"/>
        </w:rPr>
        <w:t>万元的，可以并处</w:t>
      </w:r>
      <w:r>
        <w:rPr>
          <w:rStyle w:val="fontkaiti1"/>
          <w:rFonts w:cs="宋体" w:hint="default"/>
          <w:color w:val="000000"/>
        </w:rPr>
        <w:t>20</w:t>
      </w:r>
      <w:r>
        <w:rPr>
          <w:rStyle w:val="fontkaiti1"/>
          <w:rFonts w:cs="宋体" w:hint="default"/>
          <w:color w:val="000000"/>
        </w:rPr>
        <w:t>万元以上</w:t>
      </w:r>
      <w:r>
        <w:rPr>
          <w:rStyle w:val="fontkaiti1"/>
          <w:rFonts w:cs="宋体" w:hint="default"/>
          <w:color w:val="000000"/>
        </w:rPr>
        <w:t>200</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会计人员职业道德规</w:t>
      </w:r>
      <w:r>
        <w:rPr>
          <w:rFonts w:ascii="宋体" w:hAnsi="宋体" w:cs="宋体" w:hint="eastAsia"/>
          <w:color w:val="000000"/>
          <w:sz w:val="21"/>
          <w:szCs w:val="21"/>
        </w:rPr>
        <w:t>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根据《会计人员职业道德规范》规定，会计人员在工作中应遵守的职业道德规范</w:t>
      </w:r>
      <w:r>
        <w:rPr>
          <w:rStyle w:val="font14zd2"/>
          <w:rFonts w:ascii="宋体" w:hAnsi="宋体" w:cs="宋体" w:hint="eastAsia"/>
        </w:rPr>
        <w:t>包括</w:t>
      </w:r>
      <w:r>
        <w:rPr>
          <w:rFonts w:ascii="宋体" w:hAnsi="宋体" w:cs="宋体" w:hint="eastAsia"/>
          <w:color w:val="000000"/>
          <w:sz w:val="21"/>
          <w:szCs w:val="21"/>
        </w:rPr>
        <w:t>：坚持诚信，守法奉公；坚持准则，守责敬业；坚持学习，守正创新。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 xml:space="preserve">根据财政部印发的《会计人员职业道德规范》规定，下列不属于职业道德规范的是（　</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坚持诚信，守法奉公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坚持准则，守责敬业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坚持革新，守规进取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坚持学习，守正创新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『答案解析』根据财政部印发的《会计人员职业道德规范》规定，会计人员在工作中应遵守的职业道德规范包括：</w:t>
      </w:r>
      <w:r>
        <w:rPr>
          <w:rStyle w:val="fontkaiti1"/>
          <w:rFonts w:cs="宋体" w:hint="default"/>
          <w:color w:val="000000"/>
        </w:rPr>
        <w:t>①</w:t>
      </w:r>
      <w:r>
        <w:rPr>
          <w:rStyle w:val="fontkaiti1"/>
          <w:rFonts w:cs="宋体" w:hint="default"/>
          <w:color w:val="000000"/>
        </w:rPr>
        <w:t>坚持诚</w:t>
      </w:r>
      <w:r>
        <w:rPr>
          <w:rStyle w:val="fontkaiti1"/>
          <w:rFonts w:cs="宋体" w:hint="default"/>
          <w:color w:val="000000"/>
        </w:rPr>
        <w:t>信，守法奉公；</w:t>
      </w:r>
      <w:r>
        <w:rPr>
          <w:rStyle w:val="fontkaiti1"/>
          <w:rFonts w:cs="宋体" w:hint="default"/>
          <w:color w:val="000000"/>
        </w:rPr>
        <w:t>②</w:t>
      </w:r>
      <w:r>
        <w:rPr>
          <w:rStyle w:val="fontkaiti1"/>
          <w:rFonts w:cs="宋体" w:hint="default"/>
          <w:color w:val="000000"/>
        </w:rPr>
        <w:t>坚持准则，守责敬业；</w:t>
      </w:r>
      <w:r>
        <w:rPr>
          <w:rStyle w:val="fontkaiti1"/>
          <w:rFonts w:cs="宋体" w:hint="default"/>
          <w:color w:val="000000"/>
        </w:rPr>
        <w:t>③</w:t>
      </w:r>
      <w:r>
        <w:rPr>
          <w:rStyle w:val="fontkaiti1"/>
          <w:rFonts w:cs="宋体" w:hint="default"/>
          <w:color w:val="000000"/>
        </w:rPr>
        <w:t>坚持学习，守正创新。</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52825" cy="2552700"/>
            <wp:effectExtent l="19050" t="0" r="9525" b="0"/>
            <wp:docPr id="13" name="图片_x002068d680f7-81f4-407c-8d86-05570509a025" descr="2820a685-1ae0-4d97-abd6-047e681a6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d680f7-81f4-407c-8d86-05570509a025" descr="2820a685-1ae0-4d97-abd6-047e681a644d"/>
                    <pic:cNvPicPr>
                      <a:picLocks noChangeAspect="1" noChangeArrowheads="1"/>
                    </pic:cNvPicPr>
                  </pic:nvPicPr>
                  <pic:blipFill>
                    <a:blip r:embed="rId18"/>
                    <a:srcRect/>
                    <a:stretch>
                      <a:fillRect/>
                    </a:stretch>
                  </pic:blipFill>
                  <pic:spPr bwMode="auto">
                    <a:xfrm>
                      <a:off x="0" y="0"/>
                      <a:ext cx="3552825" cy="2552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19"/>
      <w:footerReference w:type="default" r:id="rId2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0C7CF7">
      <w:pPr>
        <w:rPr>
          <w:color w:val="000000"/>
        </w:rPr>
      </w:pPr>
      <w:r>
        <w:rPr>
          <w:color w:val="000000"/>
        </w:rPr>
        <w:separator/>
      </w:r>
    </w:p>
  </w:endnote>
  <w:endnote w:type="continuationSeparator" w:id="1">
    <w:p w:rsidR="00000000" w:rsidRDefault="000C7CF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C7CF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#Time#:1781144776867#Type#:file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0C7CF7">
      <w:pPr>
        <w:rPr>
          <w:color w:val="000000"/>
        </w:rPr>
      </w:pPr>
      <w:r>
        <w:rPr>
          <w:color w:val="000000"/>
        </w:rPr>
        <w:separator/>
      </w:r>
    </w:p>
  </w:footnote>
  <w:footnote w:type="continuationSeparator" w:id="1">
    <w:p w:rsidR="00000000" w:rsidRDefault="000C7CF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C7CF7" w:rsidP="000C7CF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财务会计概论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0C7CF7"/>
    <w:rsid w:val="000C7CF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header1.xml" Type="http://schemas.openxmlformats.org/officeDocument/2006/relationships/header"/><Relationship Id="rId2" Target="settings.xml" Type="http://schemas.openxmlformats.org/officeDocument/2006/relationships/settings"/><Relationship Id="rId20" Target="footer1.xml" Type="http://schemas.openxmlformats.org/officeDocument/2006/relationships/footer"/><Relationship Id="rId21" Target="fontTable.xml" Type="http://schemas.openxmlformats.org/officeDocument/2006/relationships/fontTable"/><Relationship Id="rId22"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1380</Words>
  <Characters>7871</Characters>
  <Application>Microsoft Office Word</Application>
  <DocSecurity>4</DocSecurity>
  <Lines>65</Lines>
  <Paragraphs>18</Paragraphs>
  <ScaleCrop>false</ScaleCrop>
  <Company/>
  <LinksUpToDate>false</LinksUpToDate>
  <CharactersWithSpaces>9233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2026-05-29T08:50:00Z</dcterms:created>
  <dc:creator>CDEL</dc:creator>
  <cp:lastModifiedBy>Windows 用户</cp:lastModifiedBy>
  <dcterms:modified xsi:type="dcterms:W3CDTF">2026-05-29T08:50:00Z</dcterms:modified>
  <cp:revision>2</cp:revision>
</cp:coreProperties>
</file>