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377C85" w:rsidP="00377C85">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前</w:t>
      </w:r>
      <w:r>
        <w:rPr>
          <w:rFonts w:ascii="宋体" w:hAnsi="宋体" w:cs="宋体" w:hint="eastAsia"/>
          <w:b/>
          <w:bCs/>
          <w:color w:val="000000"/>
          <w:sz w:val="28"/>
          <w:szCs w:val="28"/>
        </w:rPr>
        <w:t xml:space="preserve"> </w:t>
      </w:r>
      <w:r>
        <w:rPr>
          <w:rFonts w:ascii="宋体" w:hAnsi="宋体" w:cs="宋体" w:hint="eastAsia"/>
          <w:b/>
          <w:bCs/>
          <w:color w:val="000000"/>
          <w:sz w:val="28"/>
          <w:szCs w:val="28"/>
        </w:rPr>
        <w:t>言</w:t>
      </w:r>
    </w:p>
    <w:p w:rsidR="00000000" w:rsidRDefault="00377C85" w:rsidP="00377C85">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科目特点、考试特点及备考建议</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目　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01</w:t>
      </w:r>
      <w:r>
        <w:rPr>
          <w:rFonts w:ascii="宋体" w:hAnsi="宋体" w:hint="eastAsia"/>
          <w:color w:val="000000"/>
          <w:sz w:val="21"/>
          <w:szCs w:val="21"/>
        </w:rPr>
        <w:t xml:space="preserve">　科目特点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02</w:t>
      </w:r>
      <w:r>
        <w:rPr>
          <w:rFonts w:ascii="宋体" w:hAnsi="宋体" w:hint="eastAsia"/>
          <w:color w:val="000000"/>
          <w:sz w:val="21"/>
          <w:szCs w:val="21"/>
        </w:rPr>
        <w:t xml:space="preserve">　考试特点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03</w:t>
      </w:r>
      <w:r>
        <w:rPr>
          <w:rFonts w:ascii="宋体" w:hAnsi="宋体" w:hint="eastAsia"/>
          <w:color w:val="000000"/>
          <w:sz w:val="21"/>
          <w:szCs w:val="21"/>
        </w:rPr>
        <w:t xml:space="preserve">　备考建议</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04</w:t>
      </w:r>
      <w:r>
        <w:rPr>
          <w:rFonts w:ascii="宋体" w:hAnsi="宋体" w:hint="eastAsia"/>
          <w:color w:val="000000"/>
          <w:sz w:val="21"/>
          <w:szCs w:val="21"/>
        </w:rPr>
        <w:t xml:space="preserve">　教材变化</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b/>
          <w:bCs/>
          <w:color w:val="000000"/>
          <w:sz w:val="21"/>
          <w:szCs w:val="21"/>
        </w:rPr>
        <w:t xml:space="preserve">　</w:t>
      </w:r>
      <w:r>
        <w:rPr>
          <w:rStyle w:val="spancdelblanksign"/>
          <w:rFonts w:ascii="宋体" w:hAnsi="宋体" w:hint="eastAsia"/>
          <w:b/>
          <w:bCs/>
          <w:color w:val="000000"/>
          <w:sz w:val="21"/>
          <w:szCs w:val="21"/>
        </w:rPr>
        <w:t xml:space="preserve">　</w:t>
      </w:r>
      <w:r>
        <w:rPr>
          <w:rStyle w:val="a6"/>
          <w:rFonts w:ascii="宋体" w:hAnsi="宋体" w:hint="eastAsia"/>
          <w:color w:val="000000"/>
          <w:sz w:val="21"/>
          <w:szCs w:val="21"/>
        </w:rPr>
        <w:t>一、科目特点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（一）内容多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上编财务管理部分，财务管理的四项内容，筹资、投资、营运、分配，教材都讲了；下编财务会计部分，</w:t>
      </w:r>
      <w:r>
        <w:rPr>
          <w:rFonts w:ascii="宋体" w:hAnsi="宋体" w:hint="eastAsia"/>
          <w:color w:val="000000"/>
          <w:sz w:val="21"/>
          <w:szCs w:val="21"/>
        </w:rPr>
        <w:t>42</w:t>
      </w:r>
      <w:r>
        <w:rPr>
          <w:rFonts w:ascii="宋体" w:hAnsi="宋体" w:hint="eastAsia"/>
          <w:color w:val="000000"/>
          <w:sz w:val="21"/>
          <w:szCs w:val="21"/>
        </w:rPr>
        <w:t>个具体会计准则中，除了生物资产等特殊行业的几个准则、套期会计、合营安排、合并财务报表以外，其他所有的准则，教材都涉及了，考试也都考。</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一定要早点开始。把时间均匀开，防止前松后紧。</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（二）难度大</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财管有很</w:t>
      </w:r>
      <w:r>
        <w:rPr>
          <w:rFonts w:ascii="宋体" w:hAnsi="宋体" w:hint="eastAsia"/>
          <w:color w:val="000000"/>
          <w:sz w:val="21"/>
          <w:szCs w:val="21"/>
        </w:rPr>
        <w:t>多公式需要去记，如果记不住，考试考计算，那就是不会。有很多概念、优缺点需要熟悉，要能区分开张三李四赵五王六，考试时一旦弄混，就容易选错。</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有的会计准则，比如长期股权投资、所得税、收入、租赁等内容，难度非常大，没有两遍、三遍，是不可能学明白的。</w:t>
      </w:r>
      <w:r>
        <w:rPr>
          <w:rFonts w:ascii="宋体" w:hAnsi="宋体" w:hint="eastAsia"/>
          <w:color w:val="000000"/>
          <w:sz w:val="21"/>
          <w:szCs w:val="21"/>
        </w:rPr>
        <w:t>2013</w:t>
      </w:r>
      <w:r>
        <w:rPr>
          <w:rFonts w:ascii="宋体" w:hAnsi="宋体" w:hint="eastAsia"/>
          <w:color w:val="000000"/>
          <w:sz w:val="21"/>
          <w:szCs w:val="21"/>
        </w:rPr>
        <w:t>年会计调整与所得税结合的综合题、</w:t>
      </w:r>
      <w:r>
        <w:rPr>
          <w:rFonts w:ascii="宋体" w:hAnsi="宋体" w:hint="eastAsia"/>
          <w:color w:val="000000"/>
          <w:sz w:val="21"/>
          <w:szCs w:val="21"/>
        </w:rPr>
        <w:t>2023</w:t>
      </w:r>
      <w:r>
        <w:rPr>
          <w:rFonts w:ascii="宋体" w:hAnsi="宋体" w:hint="eastAsia"/>
          <w:color w:val="000000"/>
          <w:sz w:val="21"/>
          <w:szCs w:val="21"/>
        </w:rPr>
        <w:t>年租赁与所得税结合的综合题，比注会的考题难度还要大。</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（三）通过率低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本科目是五科当中通过率倒数第二低的，很多考生往往因为这科考了好几次，总是考不过，陷入下一个循环。所以，为了防止重蹈覆辙，大家在思想上一</w:t>
      </w:r>
      <w:r>
        <w:rPr>
          <w:rFonts w:ascii="宋体" w:hAnsi="宋体" w:hint="eastAsia"/>
          <w:color w:val="000000"/>
          <w:sz w:val="21"/>
          <w:szCs w:val="21"/>
        </w:rPr>
        <w:t>定要引起足够的重视，同时在学习时，要投入比其他科目更多的时间和精力。</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08"/>
        <w:gridCol w:w="1073"/>
        <w:gridCol w:w="1073"/>
        <w:gridCol w:w="1074"/>
        <w:gridCol w:w="1074"/>
        <w:gridCol w:w="1074"/>
        <w:gridCol w:w="1534"/>
      </w:tblGrid>
      <w:tr w:rsidR="00000000" w:rsidTr="00377C85">
        <w:trPr>
          <w:cantSplit/>
          <w:trHeight w:val="270"/>
          <w:tblHeader/>
          <w:jc w:val="center"/>
        </w:trPr>
        <w:tc>
          <w:tcPr>
            <w:tcW w:w="16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77C85" w:rsidP="00377C8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科目</w:t>
            </w:r>
          </w:p>
        </w:tc>
        <w:tc>
          <w:tcPr>
            <w:tcW w:w="9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77C85" w:rsidP="00377C8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2021</w:t>
            </w:r>
            <w:r>
              <w:rPr>
                <w:rFonts w:ascii="宋体" w:hAnsi="宋体" w:cs="宋体" w:hint="eastAsia"/>
                <w:color w:val="000000"/>
                <w:sz w:val="21"/>
                <w:szCs w:val="21"/>
              </w:rPr>
              <w:t>年</w:t>
            </w:r>
          </w:p>
        </w:tc>
        <w:tc>
          <w:tcPr>
            <w:tcW w:w="9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77C85" w:rsidP="00377C8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2022</w:t>
            </w:r>
            <w:r>
              <w:rPr>
                <w:rFonts w:ascii="宋体" w:hAnsi="宋体" w:cs="宋体" w:hint="eastAsia"/>
                <w:color w:val="000000"/>
                <w:sz w:val="21"/>
                <w:szCs w:val="21"/>
              </w:rPr>
              <w:t>年</w:t>
            </w:r>
          </w:p>
        </w:tc>
        <w:tc>
          <w:tcPr>
            <w:tcW w:w="9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77C85" w:rsidP="00377C8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2023</w:t>
            </w:r>
            <w:r>
              <w:rPr>
                <w:rFonts w:ascii="宋体" w:hAnsi="宋体" w:cs="宋体" w:hint="eastAsia"/>
                <w:color w:val="000000"/>
                <w:sz w:val="21"/>
                <w:szCs w:val="21"/>
              </w:rPr>
              <w:t>年</w:t>
            </w:r>
          </w:p>
        </w:tc>
        <w:tc>
          <w:tcPr>
            <w:tcW w:w="9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77C85" w:rsidP="00377C8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2024</w:t>
            </w:r>
            <w:r>
              <w:rPr>
                <w:rFonts w:ascii="宋体" w:hAnsi="宋体" w:cs="宋体" w:hint="eastAsia"/>
                <w:color w:val="000000"/>
                <w:sz w:val="21"/>
                <w:szCs w:val="21"/>
              </w:rPr>
              <w:t>年</w:t>
            </w:r>
          </w:p>
        </w:tc>
        <w:tc>
          <w:tcPr>
            <w:tcW w:w="9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77C85" w:rsidP="00377C8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2025</w:t>
            </w:r>
            <w:r>
              <w:rPr>
                <w:rFonts w:ascii="宋体" w:hAnsi="宋体" w:cs="宋体" w:hint="eastAsia"/>
                <w:color w:val="000000"/>
                <w:sz w:val="21"/>
                <w:szCs w:val="21"/>
              </w:rPr>
              <w:t>年</w:t>
            </w:r>
          </w:p>
        </w:tc>
        <w:tc>
          <w:tcPr>
            <w:tcW w:w="13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77C85" w:rsidP="00377C8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五年平均区间</w:t>
            </w:r>
          </w:p>
        </w:tc>
      </w:tr>
      <w:tr w:rsidR="00000000" w:rsidTr="00377C85">
        <w:trPr>
          <w:cantSplit/>
          <w:trHeight w:val="270"/>
          <w:jc w:val="center"/>
        </w:trPr>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税法（一）</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33</w:t>
            </w:r>
            <w:r>
              <w:rPr>
                <w:rFonts w:ascii="宋体" w:hAnsi="宋体" w:cs="宋体" w:hint="eastAsia"/>
                <w:color w:val="000000"/>
                <w:sz w:val="21"/>
                <w:szCs w:val="21"/>
              </w:rPr>
              <w:t>％－</w:t>
            </w:r>
            <w:r>
              <w:rPr>
                <w:rFonts w:ascii="宋体" w:hAnsi="宋体" w:cs="宋体" w:hint="eastAsia"/>
                <w:color w:val="000000"/>
                <w:sz w:val="21"/>
                <w:szCs w:val="21"/>
              </w:rPr>
              <w:t>36</w:t>
            </w:r>
            <w:r>
              <w:rPr>
                <w:rFonts w:ascii="宋体" w:hAnsi="宋体" w:cs="宋体" w:hint="eastAsia"/>
                <w:color w:val="000000"/>
                <w:sz w:val="21"/>
                <w:szCs w:val="21"/>
              </w:rPr>
              <w:t>％</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31</w:t>
            </w:r>
            <w:r>
              <w:rPr>
                <w:rFonts w:ascii="宋体" w:hAnsi="宋体" w:cs="宋体" w:hint="eastAsia"/>
                <w:color w:val="000000"/>
                <w:sz w:val="21"/>
                <w:szCs w:val="21"/>
              </w:rPr>
              <w:t>％－</w:t>
            </w:r>
            <w:r>
              <w:rPr>
                <w:rFonts w:ascii="宋体" w:hAnsi="宋体" w:cs="宋体" w:hint="eastAsia"/>
                <w:color w:val="000000"/>
                <w:sz w:val="21"/>
                <w:szCs w:val="21"/>
              </w:rPr>
              <w:t>34</w:t>
            </w:r>
            <w:r>
              <w:rPr>
                <w:rFonts w:ascii="宋体" w:hAnsi="宋体" w:cs="宋体" w:hint="eastAsia"/>
                <w:color w:val="000000"/>
                <w:sz w:val="21"/>
                <w:szCs w:val="21"/>
              </w:rPr>
              <w:t>％</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32</w:t>
            </w:r>
            <w:r>
              <w:rPr>
                <w:rFonts w:ascii="宋体" w:hAnsi="宋体" w:cs="宋体" w:hint="eastAsia"/>
                <w:color w:val="000000"/>
                <w:sz w:val="21"/>
                <w:szCs w:val="21"/>
              </w:rPr>
              <w:t>％－</w:t>
            </w:r>
            <w:r>
              <w:rPr>
                <w:rFonts w:ascii="宋体" w:hAnsi="宋体" w:cs="宋体" w:hint="eastAsia"/>
                <w:color w:val="000000"/>
                <w:sz w:val="21"/>
                <w:szCs w:val="21"/>
              </w:rPr>
              <w:t>35</w:t>
            </w:r>
            <w:r>
              <w:rPr>
                <w:rFonts w:ascii="宋体" w:hAnsi="宋体" w:cs="宋体" w:hint="eastAsia"/>
                <w:color w:val="000000"/>
                <w:sz w:val="21"/>
                <w:szCs w:val="21"/>
              </w:rPr>
              <w:t>％</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30</w:t>
            </w:r>
            <w:r>
              <w:rPr>
                <w:rFonts w:ascii="宋体" w:hAnsi="宋体" w:cs="宋体" w:hint="eastAsia"/>
                <w:color w:val="000000"/>
                <w:sz w:val="21"/>
                <w:szCs w:val="21"/>
              </w:rPr>
              <w:t>％－</w:t>
            </w:r>
            <w:r>
              <w:rPr>
                <w:rFonts w:ascii="宋体" w:hAnsi="宋体" w:cs="宋体" w:hint="eastAsia"/>
                <w:color w:val="000000"/>
                <w:sz w:val="21"/>
                <w:szCs w:val="21"/>
              </w:rPr>
              <w:t>33</w:t>
            </w:r>
            <w:r>
              <w:rPr>
                <w:rFonts w:ascii="宋体" w:hAnsi="宋体" w:cs="宋体" w:hint="eastAsia"/>
                <w:color w:val="000000"/>
                <w:sz w:val="21"/>
                <w:szCs w:val="21"/>
              </w:rPr>
              <w:t>％</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32</w:t>
            </w:r>
            <w:r>
              <w:rPr>
                <w:rFonts w:ascii="宋体" w:hAnsi="宋体" w:cs="宋体" w:hint="eastAsia"/>
                <w:color w:val="000000"/>
                <w:sz w:val="21"/>
                <w:szCs w:val="21"/>
              </w:rPr>
              <w:t>％－</w:t>
            </w:r>
            <w:r>
              <w:rPr>
                <w:rFonts w:ascii="宋体" w:hAnsi="宋体" w:cs="宋体" w:hint="eastAsia"/>
                <w:color w:val="000000"/>
                <w:sz w:val="21"/>
                <w:szCs w:val="21"/>
              </w:rPr>
              <w:t>35</w:t>
            </w:r>
            <w:r>
              <w:rPr>
                <w:rFonts w:ascii="宋体" w:hAnsi="宋体" w:cs="宋体" w:hint="eastAsia"/>
                <w:color w:val="000000"/>
                <w:sz w:val="21"/>
                <w:szCs w:val="21"/>
              </w:rPr>
              <w:t>％</w:t>
            </w:r>
          </w:p>
        </w:tc>
        <w:tc>
          <w:tcPr>
            <w:tcW w:w="1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32</w:t>
            </w:r>
            <w:r>
              <w:rPr>
                <w:rFonts w:ascii="宋体" w:hAnsi="宋体" w:cs="宋体" w:hint="eastAsia"/>
                <w:color w:val="000000"/>
                <w:sz w:val="21"/>
                <w:szCs w:val="21"/>
              </w:rPr>
              <w:t>％－</w:t>
            </w:r>
            <w:r>
              <w:rPr>
                <w:rFonts w:ascii="宋体" w:hAnsi="宋体" w:cs="宋体" w:hint="eastAsia"/>
                <w:color w:val="000000"/>
                <w:sz w:val="21"/>
                <w:szCs w:val="21"/>
              </w:rPr>
              <w:t>35</w:t>
            </w:r>
            <w:r>
              <w:rPr>
                <w:rFonts w:ascii="宋体" w:hAnsi="宋体" w:cs="宋体" w:hint="eastAsia"/>
                <w:color w:val="000000"/>
                <w:sz w:val="21"/>
                <w:szCs w:val="21"/>
              </w:rPr>
              <w:t>％</w:t>
            </w:r>
          </w:p>
        </w:tc>
      </w:tr>
      <w:tr w:rsidR="00000000" w:rsidTr="00377C85">
        <w:trPr>
          <w:cantSplit/>
          <w:trHeight w:val="270"/>
          <w:jc w:val="center"/>
        </w:trPr>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税法（二）</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30</w:t>
            </w:r>
            <w:r>
              <w:rPr>
                <w:rFonts w:ascii="宋体" w:hAnsi="宋体" w:cs="宋体" w:hint="eastAsia"/>
                <w:color w:val="000000"/>
                <w:sz w:val="21"/>
                <w:szCs w:val="21"/>
              </w:rPr>
              <w:t>％－</w:t>
            </w:r>
            <w:r>
              <w:rPr>
                <w:rFonts w:ascii="宋体" w:hAnsi="宋体" w:cs="宋体" w:hint="eastAsia"/>
                <w:color w:val="000000"/>
                <w:sz w:val="21"/>
                <w:szCs w:val="21"/>
              </w:rPr>
              <w:t>33</w:t>
            </w:r>
            <w:r>
              <w:rPr>
                <w:rFonts w:ascii="宋体" w:hAnsi="宋体" w:cs="宋体" w:hint="eastAsia"/>
                <w:color w:val="000000"/>
                <w:sz w:val="21"/>
                <w:szCs w:val="21"/>
              </w:rPr>
              <w:t>％</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29</w:t>
            </w:r>
            <w:r>
              <w:rPr>
                <w:rFonts w:ascii="宋体" w:hAnsi="宋体" w:cs="宋体" w:hint="eastAsia"/>
                <w:color w:val="000000"/>
                <w:sz w:val="21"/>
                <w:szCs w:val="21"/>
              </w:rPr>
              <w:t>％－</w:t>
            </w:r>
            <w:r>
              <w:rPr>
                <w:rFonts w:ascii="宋体" w:hAnsi="宋体" w:cs="宋体" w:hint="eastAsia"/>
                <w:color w:val="000000"/>
                <w:sz w:val="21"/>
                <w:szCs w:val="21"/>
              </w:rPr>
              <w:t>32</w:t>
            </w:r>
            <w:r>
              <w:rPr>
                <w:rFonts w:ascii="宋体" w:hAnsi="宋体" w:cs="宋体" w:hint="eastAsia"/>
                <w:color w:val="000000"/>
                <w:sz w:val="21"/>
                <w:szCs w:val="21"/>
              </w:rPr>
              <w:t>％</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30</w:t>
            </w:r>
            <w:r>
              <w:rPr>
                <w:rFonts w:ascii="宋体" w:hAnsi="宋体" w:cs="宋体" w:hint="eastAsia"/>
                <w:color w:val="000000"/>
                <w:sz w:val="21"/>
                <w:szCs w:val="21"/>
              </w:rPr>
              <w:t>％－</w:t>
            </w:r>
            <w:r>
              <w:rPr>
                <w:rFonts w:ascii="宋体" w:hAnsi="宋体" w:cs="宋体" w:hint="eastAsia"/>
                <w:color w:val="000000"/>
                <w:sz w:val="21"/>
                <w:szCs w:val="21"/>
              </w:rPr>
              <w:t>33</w:t>
            </w:r>
            <w:r>
              <w:rPr>
                <w:rFonts w:ascii="宋体" w:hAnsi="宋体" w:cs="宋体" w:hint="eastAsia"/>
                <w:color w:val="000000"/>
                <w:sz w:val="21"/>
                <w:szCs w:val="21"/>
              </w:rPr>
              <w:t>％</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28</w:t>
            </w:r>
            <w:r>
              <w:rPr>
                <w:rFonts w:ascii="宋体" w:hAnsi="宋体" w:cs="宋体" w:hint="eastAsia"/>
                <w:color w:val="000000"/>
                <w:sz w:val="21"/>
                <w:szCs w:val="21"/>
              </w:rPr>
              <w:t>％－</w:t>
            </w:r>
            <w:r>
              <w:rPr>
                <w:rFonts w:ascii="宋体" w:hAnsi="宋体" w:cs="宋体" w:hint="eastAsia"/>
                <w:color w:val="000000"/>
                <w:sz w:val="21"/>
                <w:szCs w:val="21"/>
              </w:rPr>
              <w:t>31</w:t>
            </w:r>
            <w:r>
              <w:rPr>
                <w:rFonts w:ascii="宋体" w:hAnsi="宋体" w:cs="宋体" w:hint="eastAsia"/>
                <w:color w:val="000000"/>
                <w:sz w:val="21"/>
                <w:szCs w:val="21"/>
              </w:rPr>
              <w:t>％</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29</w:t>
            </w:r>
            <w:r>
              <w:rPr>
                <w:rFonts w:ascii="宋体" w:hAnsi="宋体" w:cs="宋体" w:hint="eastAsia"/>
                <w:color w:val="000000"/>
                <w:sz w:val="21"/>
                <w:szCs w:val="21"/>
              </w:rPr>
              <w:t>％－</w:t>
            </w:r>
            <w:r>
              <w:rPr>
                <w:rFonts w:ascii="宋体" w:hAnsi="宋体" w:cs="宋体" w:hint="eastAsia"/>
                <w:color w:val="000000"/>
                <w:sz w:val="21"/>
                <w:szCs w:val="21"/>
              </w:rPr>
              <w:t>32</w:t>
            </w:r>
            <w:r>
              <w:rPr>
                <w:rFonts w:ascii="宋体" w:hAnsi="宋体" w:cs="宋体" w:hint="eastAsia"/>
                <w:color w:val="000000"/>
                <w:sz w:val="21"/>
                <w:szCs w:val="21"/>
              </w:rPr>
              <w:t>％</w:t>
            </w:r>
          </w:p>
        </w:tc>
        <w:tc>
          <w:tcPr>
            <w:tcW w:w="1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29</w:t>
            </w:r>
            <w:r>
              <w:rPr>
                <w:rFonts w:ascii="宋体" w:hAnsi="宋体" w:cs="宋体" w:hint="eastAsia"/>
                <w:color w:val="000000"/>
                <w:sz w:val="21"/>
                <w:szCs w:val="21"/>
              </w:rPr>
              <w:t>％－</w:t>
            </w:r>
            <w:r>
              <w:rPr>
                <w:rFonts w:ascii="宋体" w:hAnsi="宋体" w:cs="宋体" w:hint="eastAsia"/>
                <w:color w:val="000000"/>
                <w:sz w:val="21"/>
                <w:szCs w:val="21"/>
              </w:rPr>
              <w:t>32</w:t>
            </w:r>
            <w:r>
              <w:rPr>
                <w:rFonts w:ascii="宋体" w:hAnsi="宋体" w:cs="宋体" w:hint="eastAsia"/>
                <w:color w:val="000000"/>
                <w:sz w:val="21"/>
                <w:szCs w:val="21"/>
              </w:rPr>
              <w:t>％</w:t>
            </w:r>
          </w:p>
        </w:tc>
      </w:tr>
      <w:tr w:rsidR="00000000" w:rsidTr="00377C85">
        <w:trPr>
          <w:cantSplit/>
          <w:trHeight w:val="270"/>
          <w:jc w:val="center"/>
        </w:trPr>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涉税服务相关法律</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24</w:t>
            </w:r>
            <w:r>
              <w:rPr>
                <w:rFonts w:ascii="宋体" w:hAnsi="宋体" w:cs="宋体" w:hint="eastAsia"/>
                <w:color w:val="000000"/>
                <w:sz w:val="21"/>
                <w:szCs w:val="21"/>
              </w:rPr>
              <w:t>％－</w:t>
            </w:r>
            <w:r>
              <w:rPr>
                <w:rFonts w:ascii="宋体" w:hAnsi="宋体" w:cs="宋体" w:hint="eastAsia"/>
                <w:color w:val="000000"/>
                <w:sz w:val="21"/>
                <w:szCs w:val="21"/>
              </w:rPr>
              <w:t>27</w:t>
            </w:r>
            <w:r>
              <w:rPr>
                <w:rFonts w:ascii="宋体" w:hAnsi="宋体" w:cs="宋体" w:hint="eastAsia"/>
                <w:color w:val="000000"/>
                <w:sz w:val="21"/>
                <w:szCs w:val="21"/>
              </w:rPr>
              <w:t>％</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23</w:t>
            </w:r>
            <w:r>
              <w:rPr>
                <w:rFonts w:ascii="宋体" w:hAnsi="宋体" w:cs="宋体" w:hint="eastAsia"/>
                <w:color w:val="000000"/>
                <w:sz w:val="21"/>
                <w:szCs w:val="21"/>
              </w:rPr>
              <w:t>％－</w:t>
            </w:r>
            <w:r>
              <w:rPr>
                <w:rFonts w:ascii="宋体" w:hAnsi="宋体" w:cs="宋体" w:hint="eastAsia"/>
                <w:color w:val="000000"/>
                <w:sz w:val="21"/>
                <w:szCs w:val="21"/>
              </w:rPr>
              <w:t>26</w:t>
            </w:r>
            <w:r>
              <w:rPr>
                <w:rFonts w:ascii="宋体" w:hAnsi="宋体" w:cs="宋体" w:hint="eastAsia"/>
                <w:color w:val="000000"/>
                <w:sz w:val="21"/>
                <w:szCs w:val="21"/>
              </w:rPr>
              <w:t>％</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24</w:t>
            </w:r>
            <w:r>
              <w:rPr>
                <w:rFonts w:ascii="宋体" w:hAnsi="宋体" w:cs="宋体" w:hint="eastAsia"/>
                <w:color w:val="000000"/>
                <w:sz w:val="21"/>
                <w:szCs w:val="21"/>
              </w:rPr>
              <w:t>％－</w:t>
            </w:r>
            <w:r>
              <w:rPr>
                <w:rFonts w:ascii="宋体" w:hAnsi="宋体" w:cs="宋体" w:hint="eastAsia"/>
                <w:color w:val="000000"/>
                <w:sz w:val="21"/>
                <w:szCs w:val="21"/>
              </w:rPr>
              <w:t>27</w:t>
            </w:r>
            <w:r>
              <w:rPr>
                <w:rFonts w:ascii="宋体" w:hAnsi="宋体" w:cs="宋体" w:hint="eastAsia"/>
                <w:color w:val="000000"/>
                <w:sz w:val="21"/>
                <w:szCs w:val="21"/>
              </w:rPr>
              <w:t>％</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22</w:t>
            </w:r>
            <w:r>
              <w:rPr>
                <w:rFonts w:ascii="宋体" w:hAnsi="宋体" w:cs="宋体" w:hint="eastAsia"/>
                <w:color w:val="000000"/>
                <w:sz w:val="21"/>
                <w:szCs w:val="21"/>
              </w:rPr>
              <w:t>％－</w:t>
            </w:r>
            <w:r>
              <w:rPr>
                <w:rFonts w:ascii="宋体" w:hAnsi="宋体" w:cs="宋体" w:hint="eastAsia"/>
                <w:color w:val="000000"/>
                <w:sz w:val="21"/>
                <w:szCs w:val="21"/>
              </w:rPr>
              <w:t>25</w:t>
            </w:r>
            <w:r>
              <w:rPr>
                <w:rFonts w:ascii="宋体" w:hAnsi="宋体" w:cs="宋体" w:hint="eastAsia"/>
                <w:color w:val="000000"/>
                <w:sz w:val="21"/>
                <w:szCs w:val="21"/>
              </w:rPr>
              <w:t>％</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23</w:t>
            </w:r>
            <w:r>
              <w:rPr>
                <w:rFonts w:ascii="宋体" w:hAnsi="宋体" w:cs="宋体" w:hint="eastAsia"/>
                <w:color w:val="000000"/>
                <w:sz w:val="21"/>
                <w:szCs w:val="21"/>
              </w:rPr>
              <w:t>％－</w:t>
            </w:r>
            <w:r>
              <w:rPr>
                <w:rFonts w:ascii="宋体" w:hAnsi="宋体" w:cs="宋体" w:hint="eastAsia"/>
                <w:color w:val="000000"/>
                <w:sz w:val="21"/>
                <w:szCs w:val="21"/>
              </w:rPr>
              <w:t>26</w:t>
            </w:r>
            <w:r>
              <w:rPr>
                <w:rFonts w:ascii="宋体" w:hAnsi="宋体" w:cs="宋体" w:hint="eastAsia"/>
                <w:color w:val="000000"/>
                <w:sz w:val="21"/>
                <w:szCs w:val="21"/>
              </w:rPr>
              <w:t>％</w:t>
            </w:r>
          </w:p>
        </w:tc>
        <w:tc>
          <w:tcPr>
            <w:tcW w:w="1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23</w:t>
            </w:r>
            <w:r>
              <w:rPr>
                <w:rFonts w:ascii="宋体" w:hAnsi="宋体" w:cs="宋体" w:hint="eastAsia"/>
                <w:color w:val="000000"/>
                <w:sz w:val="21"/>
                <w:szCs w:val="21"/>
              </w:rPr>
              <w:t>％－</w:t>
            </w:r>
            <w:r>
              <w:rPr>
                <w:rFonts w:ascii="宋体" w:hAnsi="宋体" w:cs="宋体" w:hint="eastAsia"/>
                <w:color w:val="000000"/>
                <w:sz w:val="21"/>
                <w:szCs w:val="21"/>
              </w:rPr>
              <w:t>26</w:t>
            </w:r>
            <w:r>
              <w:rPr>
                <w:rFonts w:ascii="宋体" w:hAnsi="宋体" w:cs="宋体" w:hint="eastAsia"/>
                <w:color w:val="000000"/>
                <w:sz w:val="21"/>
                <w:szCs w:val="21"/>
              </w:rPr>
              <w:t>％</w:t>
            </w:r>
          </w:p>
        </w:tc>
      </w:tr>
      <w:tr w:rsidR="00000000" w:rsidTr="00377C85">
        <w:trPr>
          <w:cantSplit/>
          <w:trHeight w:val="270"/>
          <w:jc w:val="center"/>
        </w:trPr>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财务与会计</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22</w:t>
            </w:r>
            <w:r>
              <w:rPr>
                <w:rFonts w:ascii="宋体" w:hAnsi="宋体" w:cs="宋体" w:hint="eastAsia"/>
                <w:color w:val="000000"/>
                <w:sz w:val="21"/>
                <w:szCs w:val="21"/>
              </w:rPr>
              <w:t>％－</w:t>
            </w:r>
            <w:r>
              <w:rPr>
                <w:rFonts w:ascii="宋体" w:hAnsi="宋体" w:cs="宋体" w:hint="eastAsia"/>
                <w:color w:val="000000"/>
                <w:sz w:val="21"/>
                <w:szCs w:val="21"/>
              </w:rPr>
              <w:t>25</w:t>
            </w:r>
            <w:r>
              <w:rPr>
                <w:rFonts w:ascii="宋体" w:hAnsi="宋体" w:cs="宋体" w:hint="eastAsia"/>
                <w:color w:val="000000"/>
                <w:sz w:val="21"/>
                <w:szCs w:val="21"/>
              </w:rPr>
              <w:t>％</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21</w:t>
            </w:r>
            <w:r>
              <w:rPr>
                <w:rFonts w:ascii="宋体" w:hAnsi="宋体" w:cs="宋体" w:hint="eastAsia"/>
                <w:color w:val="000000"/>
                <w:sz w:val="21"/>
                <w:szCs w:val="21"/>
              </w:rPr>
              <w:t>％－</w:t>
            </w:r>
            <w:r>
              <w:rPr>
                <w:rFonts w:ascii="宋体" w:hAnsi="宋体" w:cs="宋体" w:hint="eastAsia"/>
                <w:color w:val="000000"/>
                <w:sz w:val="21"/>
                <w:szCs w:val="21"/>
              </w:rPr>
              <w:t>24</w:t>
            </w:r>
            <w:r>
              <w:rPr>
                <w:rFonts w:ascii="宋体" w:hAnsi="宋体" w:cs="宋体" w:hint="eastAsia"/>
                <w:color w:val="000000"/>
                <w:sz w:val="21"/>
                <w:szCs w:val="21"/>
              </w:rPr>
              <w:t>％</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22</w:t>
            </w:r>
            <w:r>
              <w:rPr>
                <w:rFonts w:ascii="宋体" w:hAnsi="宋体" w:cs="宋体" w:hint="eastAsia"/>
                <w:color w:val="000000"/>
                <w:sz w:val="21"/>
                <w:szCs w:val="21"/>
              </w:rPr>
              <w:t>％－</w:t>
            </w:r>
            <w:r>
              <w:rPr>
                <w:rFonts w:ascii="宋体" w:hAnsi="宋体" w:cs="宋体" w:hint="eastAsia"/>
                <w:color w:val="000000"/>
                <w:sz w:val="21"/>
                <w:szCs w:val="21"/>
              </w:rPr>
              <w:t>25</w:t>
            </w:r>
            <w:r>
              <w:rPr>
                <w:rFonts w:ascii="宋体" w:hAnsi="宋体" w:cs="宋体" w:hint="eastAsia"/>
                <w:color w:val="000000"/>
                <w:sz w:val="21"/>
                <w:szCs w:val="21"/>
              </w:rPr>
              <w:t>％</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21</w:t>
            </w:r>
            <w:r>
              <w:rPr>
                <w:rFonts w:ascii="宋体" w:hAnsi="宋体" w:cs="宋体" w:hint="eastAsia"/>
                <w:color w:val="000000"/>
                <w:sz w:val="21"/>
                <w:szCs w:val="21"/>
              </w:rPr>
              <w:t>％－</w:t>
            </w:r>
            <w:r>
              <w:rPr>
                <w:rFonts w:ascii="宋体" w:hAnsi="宋体" w:cs="宋体" w:hint="eastAsia"/>
                <w:color w:val="000000"/>
                <w:sz w:val="21"/>
                <w:szCs w:val="21"/>
              </w:rPr>
              <w:t>24</w:t>
            </w:r>
            <w:r>
              <w:rPr>
                <w:rFonts w:ascii="宋体" w:hAnsi="宋体" w:cs="宋体" w:hint="eastAsia"/>
                <w:color w:val="000000"/>
                <w:sz w:val="21"/>
                <w:szCs w:val="21"/>
              </w:rPr>
              <w:t>％</w:t>
            </w:r>
          </w:p>
        </w:tc>
        <w:tc>
          <w:tcPr>
            <w:tcW w:w="1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21</w:t>
            </w:r>
            <w:r>
              <w:rPr>
                <w:rFonts w:ascii="宋体" w:hAnsi="宋体" w:cs="宋体" w:hint="eastAsia"/>
                <w:color w:val="000000"/>
                <w:sz w:val="21"/>
                <w:szCs w:val="21"/>
              </w:rPr>
              <w:t>％－</w:t>
            </w:r>
            <w:r>
              <w:rPr>
                <w:rFonts w:ascii="宋体" w:hAnsi="宋体" w:cs="宋体" w:hint="eastAsia"/>
                <w:color w:val="000000"/>
                <w:sz w:val="21"/>
                <w:szCs w:val="21"/>
              </w:rPr>
              <w:t>24</w:t>
            </w:r>
            <w:r>
              <w:rPr>
                <w:rFonts w:ascii="宋体" w:hAnsi="宋体" w:cs="宋体" w:hint="eastAsia"/>
                <w:color w:val="000000"/>
                <w:sz w:val="21"/>
                <w:szCs w:val="21"/>
              </w:rPr>
              <w:t>％</w:t>
            </w:r>
          </w:p>
        </w:tc>
      </w:tr>
      <w:tr w:rsidR="00000000" w:rsidTr="00377C85">
        <w:trPr>
          <w:cantSplit/>
          <w:trHeight w:val="270"/>
          <w:jc w:val="center"/>
        </w:trPr>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涉税服务实务</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17</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16</w:t>
            </w:r>
            <w:r>
              <w:rPr>
                <w:rFonts w:ascii="宋体" w:hAnsi="宋体" w:cs="宋体" w:hint="eastAsia"/>
                <w:color w:val="000000"/>
                <w:sz w:val="21"/>
                <w:szCs w:val="21"/>
              </w:rPr>
              <w:t>％－</w:t>
            </w:r>
            <w:r>
              <w:rPr>
                <w:rFonts w:ascii="宋体" w:hAnsi="宋体" w:cs="宋体" w:hint="eastAsia"/>
                <w:color w:val="000000"/>
                <w:sz w:val="21"/>
                <w:szCs w:val="21"/>
              </w:rPr>
              <w:t>19</w:t>
            </w:r>
            <w:r>
              <w:rPr>
                <w:rFonts w:ascii="宋体" w:hAnsi="宋体" w:cs="宋体" w:hint="eastAsia"/>
                <w:color w:val="000000"/>
                <w:sz w:val="21"/>
                <w:szCs w:val="21"/>
              </w:rPr>
              <w:t>％</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17</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18</w:t>
            </w:r>
            <w:r>
              <w:rPr>
                <w:rFonts w:ascii="宋体" w:hAnsi="宋体" w:cs="宋体" w:hint="eastAsia"/>
                <w:color w:val="000000"/>
                <w:sz w:val="21"/>
                <w:szCs w:val="21"/>
              </w:rPr>
              <w:t>％－</w:t>
            </w:r>
            <w:r>
              <w:rPr>
                <w:rFonts w:ascii="宋体" w:hAnsi="宋体" w:cs="宋体" w:hint="eastAsia"/>
                <w:color w:val="000000"/>
                <w:sz w:val="21"/>
                <w:szCs w:val="21"/>
              </w:rPr>
              <w:t>21</w:t>
            </w:r>
            <w:r>
              <w:rPr>
                <w:rFonts w:ascii="宋体" w:hAnsi="宋体" w:cs="宋体" w:hint="eastAsia"/>
                <w:color w:val="000000"/>
                <w:sz w:val="21"/>
                <w:szCs w:val="21"/>
              </w:rPr>
              <w:t>％</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19</w:t>
            </w:r>
            <w:r>
              <w:rPr>
                <w:rFonts w:ascii="宋体" w:hAnsi="宋体" w:cs="宋体" w:hint="eastAsia"/>
                <w:color w:val="000000"/>
                <w:sz w:val="21"/>
                <w:szCs w:val="21"/>
              </w:rPr>
              <w:t>％－</w:t>
            </w:r>
            <w:r>
              <w:rPr>
                <w:rFonts w:ascii="宋体" w:hAnsi="宋体" w:cs="宋体" w:hint="eastAsia"/>
                <w:color w:val="000000"/>
                <w:sz w:val="21"/>
                <w:szCs w:val="21"/>
              </w:rPr>
              <w:t>22</w:t>
            </w:r>
            <w:r>
              <w:rPr>
                <w:rFonts w:ascii="宋体" w:hAnsi="宋体" w:cs="宋体" w:hint="eastAsia"/>
                <w:color w:val="000000"/>
                <w:sz w:val="21"/>
                <w:szCs w:val="21"/>
              </w:rPr>
              <w:t>％</w:t>
            </w:r>
          </w:p>
        </w:tc>
        <w:tc>
          <w:tcPr>
            <w:tcW w:w="1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17</w:t>
            </w:r>
            <w:r>
              <w:rPr>
                <w:rFonts w:ascii="宋体" w:hAnsi="宋体" w:cs="宋体" w:hint="eastAsia"/>
                <w:color w:val="000000"/>
                <w:sz w:val="21"/>
                <w:szCs w:val="21"/>
              </w:rPr>
              <w:t>％－</w:t>
            </w:r>
            <w:r>
              <w:rPr>
                <w:rFonts w:ascii="宋体" w:hAnsi="宋体" w:cs="宋体" w:hint="eastAsia"/>
                <w:color w:val="000000"/>
                <w:sz w:val="21"/>
                <w:szCs w:val="21"/>
              </w:rPr>
              <w:t>21</w:t>
            </w:r>
            <w:r>
              <w:rPr>
                <w:rFonts w:ascii="宋体" w:hAnsi="宋体" w:cs="宋体" w:hint="eastAsia"/>
                <w:color w:val="000000"/>
                <w:sz w:val="21"/>
                <w:szCs w:val="21"/>
              </w:rPr>
              <w:t>％</w:t>
            </w:r>
          </w:p>
        </w:tc>
      </w:tr>
    </w:tbl>
    <w:p w:rsidR="00000000" w:rsidRDefault="00377C85" w:rsidP="00377C85">
      <w:pPr>
        <w:spacing w:line="276" w:lineRule="auto"/>
        <w:textAlignment w:val="center"/>
        <w:rPr>
          <w:rFonts w:ascii="宋体" w:hAnsi="宋体" w:hint="eastAsia"/>
          <w:color w:val="000000"/>
          <w:sz w:val="21"/>
          <w:szCs w:val="21"/>
        </w:rPr>
      </w:pPr>
      <w:r>
        <w:rPr>
          <w:rFonts w:ascii="宋体" w:hAnsi="宋体" w:hint="eastAsia"/>
          <w:color w:val="000000"/>
          <w:sz w:val="21"/>
          <w:szCs w:val="21"/>
        </w:rPr>
        <w:br/>
      </w:r>
      <w:r>
        <w:rPr>
          <w:rStyle w:val="spancdelblanksign"/>
          <w:rFonts w:ascii="宋体" w:hAnsi="宋体" w:hint="eastAsia"/>
          <w:b/>
          <w:bCs/>
          <w:color w:val="000000"/>
          <w:sz w:val="21"/>
          <w:szCs w:val="21"/>
        </w:rPr>
        <w:t xml:space="preserve">　</w:t>
      </w:r>
      <w:r>
        <w:rPr>
          <w:rStyle w:val="spancdelblanksign"/>
          <w:rFonts w:ascii="宋体" w:hAnsi="宋体" w:hint="eastAsia"/>
          <w:b/>
          <w:bCs/>
          <w:color w:val="000000"/>
          <w:sz w:val="21"/>
          <w:szCs w:val="21"/>
        </w:rPr>
        <w:t xml:space="preserve">　</w:t>
      </w:r>
      <w:r>
        <w:rPr>
          <w:rStyle w:val="a6"/>
          <w:rFonts w:ascii="宋体" w:hAnsi="宋体" w:hint="eastAsia"/>
          <w:color w:val="000000"/>
          <w:sz w:val="21"/>
          <w:szCs w:val="21"/>
        </w:rPr>
        <w:t>二、考试特点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（一）考试时间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2026</w:t>
      </w:r>
      <w:r>
        <w:rPr>
          <w:rFonts w:ascii="宋体" w:hAnsi="宋体" w:hint="eastAsia"/>
          <w:color w:val="000000"/>
          <w:sz w:val="21"/>
          <w:szCs w:val="21"/>
        </w:rPr>
        <w:t>年税务师职业资格考试《财务与会计》考试时间为</w:t>
      </w:r>
      <w:r>
        <w:rPr>
          <w:rFonts w:ascii="宋体" w:hAnsi="宋体" w:hint="eastAsia"/>
          <w:color w:val="000000"/>
          <w:sz w:val="21"/>
          <w:szCs w:val="21"/>
        </w:rPr>
        <w:t>2026</w:t>
      </w:r>
      <w:r>
        <w:rPr>
          <w:rFonts w:ascii="宋体" w:hAnsi="宋体" w:hint="eastAsia"/>
          <w:color w:val="000000"/>
          <w:sz w:val="21"/>
          <w:szCs w:val="21"/>
        </w:rPr>
        <w:t>年</w:t>
      </w:r>
      <w:r>
        <w:rPr>
          <w:rFonts w:ascii="宋体" w:hAnsi="宋体" w:hint="eastAsia"/>
          <w:color w:val="000000"/>
          <w:sz w:val="21"/>
          <w:szCs w:val="21"/>
        </w:rPr>
        <w:t>11</w:t>
      </w:r>
      <w:r>
        <w:rPr>
          <w:rFonts w:ascii="宋体" w:hAnsi="宋体" w:hint="eastAsia"/>
          <w:color w:val="000000"/>
          <w:sz w:val="21"/>
          <w:szCs w:val="21"/>
        </w:rPr>
        <w:t>月</w:t>
      </w:r>
      <w:r>
        <w:rPr>
          <w:rFonts w:ascii="宋体" w:hAnsi="宋体" w:hint="eastAsia"/>
          <w:color w:val="000000"/>
          <w:sz w:val="21"/>
          <w:szCs w:val="21"/>
        </w:rPr>
        <w:t>15</w:t>
      </w:r>
      <w:r>
        <w:rPr>
          <w:rFonts w:ascii="宋体" w:hAnsi="宋体" w:hint="eastAsia"/>
          <w:color w:val="000000"/>
          <w:sz w:val="21"/>
          <w:szCs w:val="21"/>
        </w:rPr>
        <w:t>日</w:t>
      </w:r>
      <w:r>
        <w:rPr>
          <w:rFonts w:ascii="宋体" w:hAnsi="宋体" w:hint="eastAsia"/>
          <w:color w:val="000000"/>
          <w:sz w:val="21"/>
          <w:szCs w:val="21"/>
        </w:rPr>
        <w:t>9</w:t>
      </w:r>
      <w:r>
        <w:rPr>
          <w:rFonts w:ascii="宋体" w:hAnsi="宋体" w:hint="eastAsia"/>
          <w:color w:val="000000"/>
          <w:sz w:val="21"/>
          <w:szCs w:val="21"/>
        </w:rPr>
        <w:t>：</w:t>
      </w:r>
      <w:r>
        <w:rPr>
          <w:rFonts w:ascii="宋体" w:hAnsi="宋体" w:hint="eastAsia"/>
          <w:color w:val="000000"/>
          <w:sz w:val="21"/>
          <w:szCs w:val="21"/>
        </w:rPr>
        <w:t>00</w:t>
      </w:r>
      <w:r>
        <w:rPr>
          <w:rFonts w:ascii="宋体" w:hAnsi="宋体" w:hint="eastAsia"/>
          <w:color w:val="000000"/>
          <w:sz w:val="21"/>
          <w:szCs w:val="21"/>
        </w:rPr>
        <w:t>－</w:t>
      </w:r>
      <w:r>
        <w:rPr>
          <w:rFonts w:ascii="宋体" w:hAnsi="宋体" w:hint="eastAsia"/>
          <w:color w:val="000000"/>
          <w:sz w:val="21"/>
          <w:szCs w:val="21"/>
        </w:rPr>
        <w:t>11</w:t>
      </w:r>
      <w:r>
        <w:rPr>
          <w:rFonts w:ascii="宋体" w:hAnsi="宋体" w:hint="eastAsia"/>
          <w:color w:val="000000"/>
          <w:sz w:val="21"/>
          <w:szCs w:val="21"/>
        </w:rPr>
        <w:t>：</w:t>
      </w:r>
      <w:r>
        <w:rPr>
          <w:rFonts w:ascii="宋体" w:hAnsi="宋体" w:hint="eastAsia"/>
          <w:color w:val="000000"/>
          <w:sz w:val="21"/>
          <w:szCs w:val="21"/>
        </w:rPr>
        <w:t>30</w:t>
      </w:r>
      <w:r>
        <w:rPr>
          <w:rFonts w:ascii="宋体" w:hAnsi="宋体" w:hint="eastAsia"/>
          <w:color w:val="000000"/>
          <w:sz w:val="21"/>
          <w:szCs w:val="21"/>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（二）考查形式</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21"/>
        <w:gridCol w:w="1922"/>
        <w:gridCol w:w="2035"/>
        <w:gridCol w:w="1490"/>
        <w:gridCol w:w="2542"/>
      </w:tblGrid>
      <w:tr w:rsidR="00000000" w:rsidTr="00377C85">
        <w:trPr>
          <w:cantSplit/>
          <w:trHeight w:val="300"/>
          <w:tblHeader/>
          <w:jc w:val="center"/>
        </w:trPr>
        <w:tc>
          <w:tcPr>
            <w:tcW w:w="10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77C85" w:rsidP="00377C8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题型</w:t>
            </w:r>
          </w:p>
        </w:tc>
        <w:tc>
          <w:tcPr>
            <w:tcW w:w="27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77C85" w:rsidP="00377C8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单选题</w:t>
            </w:r>
          </w:p>
        </w:tc>
        <w:tc>
          <w:tcPr>
            <w:tcW w:w="29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77C85" w:rsidP="00377C8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多选题</w:t>
            </w:r>
          </w:p>
        </w:tc>
        <w:tc>
          <w:tcPr>
            <w:tcW w:w="20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77C85" w:rsidP="00377C8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计算题</w:t>
            </w:r>
          </w:p>
        </w:tc>
        <w:tc>
          <w:tcPr>
            <w:tcW w:w="37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77C85" w:rsidP="00377C8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综合分析题</w:t>
            </w:r>
          </w:p>
        </w:tc>
      </w:tr>
      <w:tr w:rsidR="00000000" w:rsidTr="00377C85">
        <w:trPr>
          <w:cantSplit/>
          <w:trHeight w:val="300"/>
          <w:jc w:val="center"/>
        </w:trPr>
        <w:tc>
          <w:tcPr>
            <w:tcW w:w="10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lastRenderedPageBreak/>
              <w:t>题量</w:t>
            </w:r>
          </w:p>
        </w:tc>
        <w:tc>
          <w:tcPr>
            <w:tcW w:w="27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40</w:t>
            </w:r>
          </w:p>
        </w:tc>
        <w:tc>
          <w:tcPr>
            <w:tcW w:w="29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p>
        </w:tc>
        <w:tc>
          <w:tcPr>
            <w:tcW w:w="2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w:t>
            </w:r>
          </w:p>
        </w:tc>
        <w:tc>
          <w:tcPr>
            <w:tcW w:w="3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12</w:t>
            </w:r>
          </w:p>
        </w:tc>
      </w:tr>
      <w:tr w:rsidR="00000000" w:rsidTr="00377C85">
        <w:trPr>
          <w:cantSplit/>
          <w:trHeight w:val="300"/>
          <w:jc w:val="center"/>
        </w:trPr>
        <w:tc>
          <w:tcPr>
            <w:tcW w:w="10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分值</w:t>
            </w:r>
          </w:p>
        </w:tc>
        <w:tc>
          <w:tcPr>
            <w:tcW w:w="27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60</w:t>
            </w:r>
          </w:p>
        </w:tc>
        <w:tc>
          <w:tcPr>
            <w:tcW w:w="29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40</w:t>
            </w:r>
          </w:p>
        </w:tc>
        <w:tc>
          <w:tcPr>
            <w:tcW w:w="2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16</w:t>
            </w:r>
          </w:p>
        </w:tc>
        <w:tc>
          <w:tcPr>
            <w:tcW w:w="3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24</w:t>
            </w:r>
          </w:p>
        </w:tc>
      </w:tr>
      <w:tr w:rsidR="00000000" w:rsidTr="00377C85">
        <w:trPr>
          <w:cantSplit/>
          <w:trHeight w:val="300"/>
          <w:jc w:val="center"/>
        </w:trPr>
        <w:tc>
          <w:tcPr>
            <w:tcW w:w="10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内容分布</w:t>
            </w:r>
          </w:p>
        </w:tc>
        <w:tc>
          <w:tcPr>
            <w:tcW w:w="27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w:t>
            </w:r>
            <w:r>
              <w:rPr>
                <w:rFonts w:ascii="宋体" w:hAnsi="宋体" w:cs="宋体" w:hint="eastAsia"/>
                <w:color w:val="000000"/>
                <w:sz w:val="21"/>
                <w:szCs w:val="21"/>
              </w:rPr>
              <w:t>30</w:t>
            </w:r>
            <w:r>
              <w:rPr>
                <w:rFonts w:ascii="宋体" w:hAnsi="宋体" w:cs="宋体" w:hint="eastAsia"/>
                <w:color w:val="000000"/>
                <w:sz w:val="21"/>
                <w:szCs w:val="21"/>
              </w:rPr>
              <w:t>题、财管</w:t>
            </w:r>
            <w:r>
              <w:rPr>
                <w:rFonts w:ascii="宋体" w:hAnsi="宋体" w:cs="宋体" w:hint="eastAsia"/>
                <w:color w:val="000000"/>
                <w:sz w:val="21"/>
                <w:szCs w:val="21"/>
              </w:rPr>
              <w:t>10</w:t>
            </w:r>
            <w:r>
              <w:rPr>
                <w:rFonts w:ascii="宋体" w:hAnsi="宋体" w:cs="宋体" w:hint="eastAsia"/>
                <w:color w:val="000000"/>
                <w:sz w:val="21"/>
                <w:szCs w:val="21"/>
              </w:rPr>
              <w:t>题左右</w:t>
            </w:r>
          </w:p>
        </w:tc>
        <w:tc>
          <w:tcPr>
            <w:tcW w:w="29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w:t>
            </w:r>
            <w:r>
              <w:rPr>
                <w:rFonts w:ascii="宋体" w:hAnsi="宋体" w:cs="宋体" w:hint="eastAsia"/>
                <w:color w:val="000000"/>
                <w:sz w:val="21"/>
                <w:szCs w:val="21"/>
              </w:rPr>
              <w:t>14</w:t>
            </w:r>
            <w:r>
              <w:rPr>
                <w:rFonts w:ascii="宋体" w:hAnsi="宋体" w:cs="宋体" w:hint="eastAsia"/>
                <w:color w:val="000000"/>
                <w:sz w:val="21"/>
                <w:szCs w:val="21"/>
              </w:rPr>
              <w:t>题、财管</w:t>
            </w:r>
            <w:r>
              <w:rPr>
                <w:rFonts w:ascii="宋体" w:hAnsi="宋体" w:cs="宋体" w:hint="eastAsia"/>
                <w:color w:val="000000"/>
                <w:sz w:val="21"/>
                <w:szCs w:val="21"/>
              </w:rPr>
              <w:t>6</w:t>
            </w:r>
            <w:r>
              <w:rPr>
                <w:rFonts w:ascii="宋体" w:hAnsi="宋体" w:cs="宋体" w:hint="eastAsia"/>
                <w:color w:val="000000"/>
                <w:sz w:val="21"/>
                <w:szCs w:val="21"/>
              </w:rPr>
              <w:t>题左右</w:t>
            </w:r>
          </w:p>
        </w:tc>
        <w:tc>
          <w:tcPr>
            <w:tcW w:w="2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w:t>
            </w:r>
            <w:r>
              <w:rPr>
                <w:rFonts w:ascii="宋体" w:hAnsi="宋体" w:cs="宋体" w:hint="eastAsia"/>
                <w:color w:val="000000"/>
                <w:sz w:val="21"/>
                <w:szCs w:val="21"/>
              </w:rPr>
              <w:t>1</w:t>
            </w:r>
            <w:r>
              <w:rPr>
                <w:rFonts w:ascii="宋体" w:hAnsi="宋体" w:cs="宋体" w:hint="eastAsia"/>
                <w:color w:val="000000"/>
                <w:sz w:val="21"/>
                <w:szCs w:val="21"/>
              </w:rPr>
              <w:t>题、财管</w:t>
            </w:r>
            <w:r>
              <w:rPr>
                <w:rFonts w:ascii="宋体" w:hAnsi="宋体" w:cs="宋体" w:hint="eastAsia"/>
                <w:color w:val="000000"/>
                <w:sz w:val="21"/>
                <w:szCs w:val="21"/>
              </w:rPr>
              <w:t>1</w:t>
            </w:r>
            <w:r>
              <w:rPr>
                <w:rFonts w:ascii="宋体" w:hAnsi="宋体" w:cs="宋体" w:hint="eastAsia"/>
                <w:color w:val="000000"/>
                <w:sz w:val="21"/>
                <w:szCs w:val="21"/>
              </w:rPr>
              <w:t>题</w:t>
            </w:r>
          </w:p>
        </w:tc>
        <w:tc>
          <w:tcPr>
            <w:tcW w:w="3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主要考会计</w:t>
            </w:r>
          </w:p>
        </w:tc>
      </w:tr>
      <w:tr w:rsidR="00000000" w:rsidTr="00377C85">
        <w:trPr>
          <w:cantSplit/>
          <w:trHeight w:val="300"/>
          <w:jc w:val="center"/>
        </w:trPr>
        <w:tc>
          <w:tcPr>
            <w:tcW w:w="10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得分规则</w:t>
            </w:r>
          </w:p>
        </w:tc>
        <w:tc>
          <w:tcPr>
            <w:tcW w:w="27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每题</w:t>
            </w:r>
            <w:r>
              <w:rPr>
                <w:rFonts w:ascii="宋体" w:hAnsi="宋体" w:cs="宋体" w:hint="eastAsia"/>
                <w:color w:val="000000"/>
                <w:sz w:val="21"/>
                <w:szCs w:val="21"/>
              </w:rPr>
              <w:t>4</w:t>
            </w:r>
            <w:r>
              <w:rPr>
                <w:rFonts w:ascii="宋体" w:hAnsi="宋体" w:cs="宋体" w:hint="eastAsia"/>
                <w:color w:val="000000"/>
                <w:sz w:val="21"/>
                <w:szCs w:val="21"/>
              </w:rPr>
              <w:t>个选项，只有</w:t>
            </w:r>
            <w:r>
              <w:rPr>
                <w:rFonts w:ascii="宋体" w:hAnsi="宋体" w:cs="宋体" w:hint="eastAsia"/>
                <w:color w:val="000000"/>
                <w:sz w:val="21"/>
                <w:szCs w:val="21"/>
              </w:rPr>
              <w:t>1</w:t>
            </w:r>
            <w:r>
              <w:rPr>
                <w:rFonts w:ascii="宋体" w:hAnsi="宋体" w:cs="宋体" w:hint="eastAsia"/>
                <w:color w:val="000000"/>
                <w:sz w:val="21"/>
                <w:szCs w:val="21"/>
              </w:rPr>
              <w:t>个正确</w:t>
            </w:r>
          </w:p>
        </w:tc>
        <w:tc>
          <w:tcPr>
            <w:tcW w:w="29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每题</w:t>
            </w:r>
            <w:r>
              <w:rPr>
                <w:rFonts w:ascii="宋体" w:hAnsi="宋体" w:cs="宋体" w:hint="eastAsia"/>
                <w:color w:val="000000"/>
                <w:sz w:val="21"/>
                <w:szCs w:val="21"/>
              </w:rPr>
              <w:t>5</w:t>
            </w:r>
            <w:r>
              <w:rPr>
                <w:rFonts w:ascii="宋体" w:hAnsi="宋体" w:cs="宋体" w:hint="eastAsia"/>
                <w:color w:val="000000"/>
                <w:sz w:val="21"/>
                <w:szCs w:val="21"/>
              </w:rPr>
              <w:t>个选项，有</w:t>
            </w:r>
            <w:r>
              <w:rPr>
                <w:rFonts w:ascii="宋体" w:hAnsi="宋体" w:cs="宋体" w:hint="eastAsia"/>
                <w:color w:val="000000"/>
                <w:sz w:val="21"/>
                <w:szCs w:val="21"/>
              </w:rPr>
              <w:t>2</w:t>
            </w:r>
            <w:r>
              <w:rPr>
                <w:rFonts w:ascii="宋体" w:hAnsi="宋体" w:cs="宋体" w:hint="eastAsia"/>
                <w:color w:val="000000"/>
                <w:sz w:val="21"/>
                <w:szCs w:val="21"/>
              </w:rPr>
              <w:t>个或</w:t>
            </w:r>
            <w:r>
              <w:rPr>
                <w:rFonts w:ascii="宋体" w:hAnsi="宋体" w:cs="宋体" w:hint="eastAsia"/>
                <w:color w:val="000000"/>
                <w:sz w:val="21"/>
                <w:szCs w:val="21"/>
              </w:rPr>
              <w:t>2</w:t>
            </w:r>
            <w:r>
              <w:rPr>
                <w:rFonts w:ascii="宋体" w:hAnsi="宋体" w:cs="宋体" w:hint="eastAsia"/>
                <w:color w:val="000000"/>
                <w:sz w:val="21"/>
                <w:szCs w:val="21"/>
              </w:rPr>
              <w:t>个以上正确，至少有</w:t>
            </w:r>
            <w:r>
              <w:rPr>
                <w:rFonts w:ascii="宋体" w:hAnsi="宋体" w:cs="宋体" w:hint="eastAsia"/>
                <w:color w:val="000000"/>
                <w:sz w:val="21"/>
                <w:szCs w:val="21"/>
              </w:rPr>
              <w:t>1</w:t>
            </w:r>
            <w:r>
              <w:rPr>
                <w:rFonts w:ascii="宋体" w:hAnsi="宋体" w:cs="宋体" w:hint="eastAsia"/>
                <w:color w:val="000000"/>
                <w:sz w:val="21"/>
                <w:szCs w:val="21"/>
              </w:rPr>
              <w:t>个错项。错选，不得分；少选，所选的每个选项得</w:t>
            </w:r>
            <w:r>
              <w:rPr>
                <w:rFonts w:ascii="宋体" w:hAnsi="宋体" w:cs="宋体" w:hint="eastAsia"/>
                <w:color w:val="000000"/>
                <w:sz w:val="21"/>
                <w:szCs w:val="21"/>
              </w:rPr>
              <w:t>0.5</w:t>
            </w:r>
            <w:r>
              <w:rPr>
                <w:rFonts w:ascii="宋体" w:hAnsi="宋体" w:cs="宋体" w:hint="eastAsia"/>
                <w:color w:val="000000"/>
                <w:sz w:val="21"/>
                <w:szCs w:val="21"/>
              </w:rPr>
              <w:t>分</w:t>
            </w:r>
          </w:p>
        </w:tc>
        <w:tc>
          <w:tcPr>
            <w:tcW w:w="2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每题</w:t>
            </w:r>
            <w:r>
              <w:rPr>
                <w:rFonts w:ascii="宋体" w:hAnsi="宋体" w:cs="宋体" w:hint="eastAsia"/>
                <w:color w:val="000000"/>
                <w:sz w:val="21"/>
                <w:szCs w:val="21"/>
              </w:rPr>
              <w:t>4</w:t>
            </w:r>
            <w:r>
              <w:rPr>
                <w:rFonts w:ascii="宋体" w:hAnsi="宋体" w:cs="宋体" w:hint="eastAsia"/>
                <w:color w:val="000000"/>
                <w:sz w:val="21"/>
                <w:szCs w:val="21"/>
              </w:rPr>
              <w:t>个选项中，只有</w:t>
            </w:r>
            <w:r>
              <w:rPr>
                <w:rFonts w:ascii="宋体" w:hAnsi="宋体" w:cs="宋体" w:hint="eastAsia"/>
                <w:color w:val="000000"/>
                <w:sz w:val="21"/>
                <w:szCs w:val="21"/>
              </w:rPr>
              <w:t>1</w:t>
            </w:r>
            <w:r>
              <w:rPr>
                <w:rFonts w:ascii="宋体" w:hAnsi="宋体" w:cs="宋体" w:hint="eastAsia"/>
                <w:color w:val="000000"/>
                <w:sz w:val="21"/>
                <w:szCs w:val="21"/>
              </w:rPr>
              <w:t>个正确</w:t>
            </w:r>
          </w:p>
        </w:tc>
        <w:tc>
          <w:tcPr>
            <w:tcW w:w="3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由单选和多选组成。</w:t>
            </w:r>
            <w:r>
              <w:rPr>
                <w:rFonts w:ascii="宋体" w:hAnsi="宋体" w:cs="宋体" w:hint="eastAsia"/>
                <w:color w:val="000000"/>
                <w:sz w:val="21"/>
                <w:szCs w:val="21"/>
              </w:rPr>
              <w:t>4</w:t>
            </w:r>
            <w:r>
              <w:rPr>
                <w:rFonts w:ascii="宋体" w:hAnsi="宋体" w:cs="宋体" w:hint="eastAsia"/>
                <w:color w:val="000000"/>
                <w:sz w:val="21"/>
                <w:szCs w:val="21"/>
              </w:rPr>
              <w:t>个或</w:t>
            </w:r>
            <w:r>
              <w:rPr>
                <w:rFonts w:ascii="宋体" w:hAnsi="宋体" w:cs="宋体" w:hint="eastAsia"/>
                <w:color w:val="000000"/>
                <w:sz w:val="21"/>
                <w:szCs w:val="21"/>
              </w:rPr>
              <w:t>5</w:t>
            </w:r>
            <w:r>
              <w:rPr>
                <w:rFonts w:ascii="宋体" w:hAnsi="宋体" w:cs="宋体" w:hint="eastAsia"/>
                <w:color w:val="000000"/>
                <w:sz w:val="21"/>
                <w:szCs w:val="21"/>
              </w:rPr>
              <w:t>个选项中，错选，不得分；少选，所选的每个选项得</w:t>
            </w:r>
            <w:r>
              <w:rPr>
                <w:rFonts w:ascii="宋体" w:hAnsi="宋体" w:cs="宋体" w:hint="eastAsia"/>
                <w:color w:val="000000"/>
                <w:sz w:val="21"/>
                <w:szCs w:val="21"/>
              </w:rPr>
              <w:t>0.5</w:t>
            </w:r>
            <w:r>
              <w:rPr>
                <w:rFonts w:ascii="宋体" w:hAnsi="宋体" w:cs="宋体" w:hint="eastAsia"/>
                <w:color w:val="000000"/>
                <w:sz w:val="21"/>
                <w:szCs w:val="21"/>
              </w:rPr>
              <w:t>分</w:t>
            </w:r>
          </w:p>
        </w:tc>
      </w:tr>
    </w:tbl>
    <w:p w:rsidR="00000000" w:rsidRDefault="00377C85" w:rsidP="00377C85">
      <w:pPr>
        <w:spacing w:after="240" w:line="276" w:lineRule="auto"/>
        <w:textAlignment w:val="center"/>
        <w:rPr>
          <w:rFonts w:ascii="宋体" w:hAnsi="宋体" w:hint="eastAsia"/>
          <w:color w:val="000000"/>
          <w:sz w:val="21"/>
          <w:szCs w:val="21"/>
        </w:rPr>
      </w:pP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（三）命题规律</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计算量大</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注会侧重职业判断，职称侧重账务处理，税务师侧重计算，为税收服务的财务数字计算，考题对于会计处理的过程不做重点考查，</w:t>
      </w:r>
      <w:r>
        <w:rPr>
          <w:rStyle w:val="font14zd2"/>
          <w:rFonts w:ascii="宋体" w:hAnsi="宋体" w:hint="eastAsia"/>
        </w:rPr>
        <w:t>重在处理的结果。</w:t>
      </w:r>
      <w:r>
        <w:rPr>
          <w:rFonts w:ascii="宋体" w:hAnsi="宋体" w:hint="eastAsia"/>
          <w:color w:val="000000"/>
          <w:sz w:val="21"/>
          <w:szCs w:val="21"/>
        </w:rPr>
        <w:t>有的单选题每个选项的计算量都很大，相当于一个小计算；有的财管题，用财管的公式来回推导，考中小学数学。有的考题，明明用两步计算就可以把知识点考到位，非得考三步。有的计算，用两组数据就可以把知识点全都涵盖到，非得用三组数据。</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雨露均沾</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命题的原则是把大纲和教材涉及到的所有内容都纳入考试范围，即便今年有的知识点没考，明年也会考，明年不考，就会在后年的题目中出现，就是不能有漏网之鱼，所有的知识点都要考到，防止押题等方式应对考试，违背选拔人才的宗旨。包括我们认为比较偏的、冷门的知识点也要抽冷子考你几道。比如，</w:t>
      </w:r>
      <w:r>
        <w:rPr>
          <w:rFonts w:ascii="宋体" w:hAnsi="宋体" w:hint="eastAsia"/>
          <w:color w:val="000000"/>
          <w:sz w:val="21"/>
          <w:szCs w:val="21"/>
        </w:rPr>
        <w:t>2024</w:t>
      </w:r>
      <w:r>
        <w:rPr>
          <w:rFonts w:ascii="宋体" w:hAnsi="宋体" w:hint="eastAsia"/>
          <w:color w:val="000000"/>
          <w:sz w:val="21"/>
          <w:szCs w:val="21"/>
        </w:rPr>
        <w:t>年出口退税实行免抵退办法，竟然考了数字计算和账务处理，而教材根本没有讲计算。</w:t>
      </w:r>
      <w:r>
        <w:rPr>
          <w:rFonts w:ascii="宋体" w:hAnsi="宋体" w:hint="eastAsia"/>
          <w:color w:val="000000"/>
          <w:sz w:val="21"/>
          <w:szCs w:val="21"/>
        </w:rPr>
        <w:t>2024</w:t>
      </w:r>
      <w:r>
        <w:rPr>
          <w:rFonts w:ascii="宋体" w:hAnsi="宋体" w:hint="eastAsia"/>
          <w:color w:val="000000"/>
          <w:sz w:val="21"/>
          <w:szCs w:val="21"/>
        </w:rPr>
        <w:t>年破产清算财务报表列报，在我预测下，终于考了。</w:t>
      </w:r>
      <w:r>
        <w:rPr>
          <w:rFonts w:ascii="宋体" w:hAnsi="宋体" w:hint="eastAsia"/>
          <w:color w:val="000000"/>
          <w:sz w:val="21"/>
          <w:szCs w:val="21"/>
        </w:rPr>
        <w:t>2024</w:t>
      </w:r>
      <w:r>
        <w:rPr>
          <w:rFonts w:ascii="宋体" w:hAnsi="宋体" w:hint="eastAsia"/>
          <w:color w:val="000000"/>
          <w:sz w:val="21"/>
          <w:szCs w:val="21"/>
        </w:rPr>
        <w:t>年考了包装物押金消费税的处理、售后租回交易的处理。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3.</w:t>
      </w:r>
      <w:r>
        <w:rPr>
          <w:rFonts w:ascii="宋体" w:hAnsi="宋体" w:hint="eastAsia"/>
          <w:color w:val="000000"/>
          <w:sz w:val="21"/>
          <w:szCs w:val="21"/>
        </w:rPr>
        <w:t>逢新必考</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准则变化的</w:t>
      </w:r>
      <w:r>
        <w:rPr>
          <w:rFonts w:ascii="宋体" w:hAnsi="宋体" w:hint="eastAsia"/>
          <w:color w:val="000000"/>
          <w:sz w:val="21"/>
          <w:szCs w:val="21"/>
        </w:rPr>
        <w:t>年份，收入、租赁、债务重组等均在当年考过大题。</w:t>
      </w:r>
      <w:r>
        <w:rPr>
          <w:rFonts w:ascii="宋体" w:hAnsi="宋体" w:hint="eastAsia"/>
          <w:color w:val="000000"/>
          <w:sz w:val="21"/>
          <w:szCs w:val="21"/>
        </w:rPr>
        <w:t>2023</w:t>
      </w:r>
      <w:r>
        <w:rPr>
          <w:rFonts w:ascii="宋体" w:hAnsi="宋体" w:hint="eastAsia"/>
          <w:color w:val="000000"/>
          <w:sz w:val="21"/>
          <w:szCs w:val="21"/>
        </w:rPr>
        <w:t>年考了单项交易确认递延所得税（</w:t>
      </w:r>
      <w:r>
        <w:rPr>
          <w:rFonts w:ascii="宋体" w:hAnsi="宋体" w:hint="eastAsia"/>
          <w:color w:val="000000"/>
          <w:sz w:val="21"/>
          <w:szCs w:val="21"/>
        </w:rPr>
        <w:t>2022</w:t>
      </w:r>
      <w:r>
        <w:rPr>
          <w:rFonts w:ascii="宋体" w:hAnsi="宋体" w:hint="eastAsia"/>
          <w:color w:val="000000"/>
          <w:sz w:val="21"/>
          <w:szCs w:val="21"/>
        </w:rPr>
        <w:t>年《企业会计准则解释第</w:t>
      </w:r>
      <w:r>
        <w:rPr>
          <w:rFonts w:ascii="宋体" w:hAnsi="宋体" w:hint="eastAsia"/>
          <w:color w:val="000000"/>
          <w:sz w:val="21"/>
          <w:szCs w:val="21"/>
        </w:rPr>
        <w:t>16</w:t>
      </w:r>
      <w:r>
        <w:rPr>
          <w:rFonts w:ascii="宋体" w:hAnsi="宋体" w:hint="eastAsia"/>
          <w:color w:val="000000"/>
          <w:sz w:val="21"/>
          <w:szCs w:val="21"/>
        </w:rPr>
        <w:t>号》），</w:t>
      </w:r>
      <w:r>
        <w:rPr>
          <w:rFonts w:ascii="宋体" w:hAnsi="宋体" w:hint="eastAsia"/>
          <w:color w:val="000000"/>
          <w:sz w:val="21"/>
          <w:szCs w:val="21"/>
        </w:rPr>
        <w:t>2024</w:t>
      </w:r>
      <w:r>
        <w:rPr>
          <w:rFonts w:ascii="宋体" w:hAnsi="宋体" w:hint="eastAsia"/>
          <w:color w:val="000000"/>
          <w:sz w:val="21"/>
          <w:szCs w:val="21"/>
        </w:rPr>
        <w:t>年考了数据资源确认为存货的成本（</w:t>
      </w:r>
      <w:r>
        <w:rPr>
          <w:rFonts w:ascii="宋体" w:hAnsi="宋体" w:hint="eastAsia"/>
          <w:color w:val="000000"/>
          <w:sz w:val="21"/>
          <w:szCs w:val="21"/>
        </w:rPr>
        <w:t>2023</w:t>
      </w:r>
      <w:r>
        <w:rPr>
          <w:rFonts w:ascii="宋体" w:hAnsi="宋体" w:hint="eastAsia"/>
          <w:color w:val="000000"/>
          <w:sz w:val="21"/>
          <w:szCs w:val="21"/>
        </w:rPr>
        <w:t>年《企业数据资源相关会计处理暂行规定》）。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4.</w:t>
      </w:r>
      <w:r>
        <w:rPr>
          <w:rFonts w:ascii="宋体" w:hAnsi="宋体" w:hint="eastAsia"/>
          <w:color w:val="000000"/>
          <w:sz w:val="21"/>
          <w:szCs w:val="21"/>
        </w:rPr>
        <w:t>重者恒重</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铁打的营盘流水的兵，有些传统的重点，就好比营盘，每年都要考它。比如，下列考点为</w:t>
      </w:r>
      <w:r>
        <w:rPr>
          <w:rStyle w:val="font14zd2"/>
          <w:rFonts w:ascii="宋体" w:hAnsi="宋体" w:hint="eastAsia"/>
        </w:rPr>
        <w:t>高频考点</w:t>
      </w:r>
      <w:r>
        <w:rPr>
          <w:rFonts w:ascii="宋体" w:hAnsi="宋体" w:hint="eastAsia"/>
          <w:color w:val="000000"/>
          <w:sz w:val="21"/>
          <w:szCs w:val="21"/>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客观题：</w:t>
      </w:r>
      <w:r>
        <w:rPr>
          <w:rFonts w:ascii="宋体" w:hAnsi="宋体" w:hint="eastAsia"/>
          <w:color w:val="000000"/>
          <w:sz w:val="21"/>
          <w:szCs w:val="21"/>
        </w:rPr>
        <w:t>财务管理目标，资金需要量预测的销售百分比法，不同筹资方式的优缺点，资本成本的计算，每股收益的计算，财务预算编制方法的优缺点，股利分配政策的优缺点，坏账准备计算，存货</w:t>
      </w:r>
      <w:r>
        <w:rPr>
          <w:rFonts w:ascii="宋体" w:hAnsi="宋体" w:hint="eastAsia"/>
          <w:color w:val="000000"/>
          <w:sz w:val="21"/>
          <w:szCs w:val="21"/>
        </w:rPr>
        <w:t>成本的计算，计划成本法</w:t>
      </w:r>
      <w:r>
        <w:rPr>
          <w:rFonts w:ascii="宋体" w:hAnsi="宋体" w:hint="eastAsia"/>
          <w:color w:val="000000"/>
          <w:sz w:val="21"/>
          <w:szCs w:val="21"/>
        </w:rPr>
        <w:t xml:space="preserve"> </w:t>
      </w:r>
      <w:r>
        <w:rPr>
          <w:rFonts w:ascii="宋体" w:hAnsi="宋体" w:hint="eastAsia"/>
          <w:color w:val="000000"/>
          <w:sz w:val="21"/>
          <w:szCs w:val="21"/>
        </w:rPr>
        <w:t>，存货跌价准备的计算，固定资产折旧和减值，固定资产改扩建，借款费用资本化期间的确定，其他综合收益的两种分类，会计政策与估计变更的区分，调整事项与非调整事项的识别等。</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主观题：</w:t>
      </w:r>
      <w:r>
        <w:rPr>
          <w:rFonts w:ascii="宋体" w:hAnsi="宋体" w:hint="eastAsia"/>
          <w:color w:val="000000"/>
          <w:sz w:val="21"/>
          <w:szCs w:val="21"/>
        </w:rPr>
        <w:t>长期股权投资，收入，所得税，债务重组，投资管理，本量利分析，资本结构，翻来覆去的考，而且还考过重复的题。</w:t>
      </w:r>
      <w:r>
        <w:rPr>
          <w:rFonts w:ascii="宋体" w:hAnsi="宋体" w:hint="eastAsia"/>
          <w:color w:val="000000"/>
          <w:sz w:val="21"/>
          <w:szCs w:val="21"/>
        </w:rPr>
        <w:t>2022</w:t>
      </w:r>
      <w:r>
        <w:rPr>
          <w:rFonts w:ascii="宋体" w:hAnsi="宋体" w:hint="eastAsia"/>
          <w:color w:val="000000"/>
          <w:sz w:val="21"/>
          <w:szCs w:val="21"/>
        </w:rPr>
        <w:t>年长期股权投资综合题跟</w:t>
      </w:r>
      <w:r>
        <w:rPr>
          <w:rFonts w:ascii="宋体" w:hAnsi="宋体" w:hint="eastAsia"/>
          <w:color w:val="000000"/>
          <w:sz w:val="21"/>
          <w:szCs w:val="21"/>
        </w:rPr>
        <w:t>2021</w:t>
      </w:r>
      <w:r>
        <w:rPr>
          <w:rFonts w:ascii="宋体" w:hAnsi="宋体" w:hint="eastAsia"/>
          <w:color w:val="000000"/>
          <w:sz w:val="21"/>
          <w:szCs w:val="21"/>
        </w:rPr>
        <w:t>年几乎一样，</w:t>
      </w:r>
      <w:r>
        <w:rPr>
          <w:rFonts w:ascii="宋体" w:hAnsi="宋体" w:hint="eastAsia"/>
          <w:color w:val="000000"/>
          <w:sz w:val="21"/>
          <w:szCs w:val="21"/>
        </w:rPr>
        <w:t>2024</w:t>
      </w:r>
      <w:r>
        <w:rPr>
          <w:rFonts w:ascii="宋体" w:hAnsi="宋体" w:hint="eastAsia"/>
          <w:color w:val="000000"/>
          <w:sz w:val="21"/>
          <w:szCs w:val="21"/>
        </w:rPr>
        <w:t>年债务重组计算题跟</w:t>
      </w:r>
      <w:r>
        <w:rPr>
          <w:rFonts w:ascii="宋体" w:hAnsi="宋体" w:hint="eastAsia"/>
          <w:color w:val="000000"/>
          <w:sz w:val="21"/>
          <w:szCs w:val="21"/>
        </w:rPr>
        <w:t>2017</w:t>
      </w:r>
      <w:r>
        <w:rPr>
          <w:rFonts w:ascii="宋体" w:hAnsi="宋体" w:hint="eastAsia"/>
          <w:color w:val="000000"/>
          <w:sz w:val="21"/>
          <w:szCs w:val="21"/>
        </w:rPr>
        <w:t>年的考题题干几乎一样。</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5.</w:t>
      </w:r>
      <w:r>
        <w:rPr>
          <w:rFonts w:ascii="宋体" w:hAnsi="宋体" w:hint="eastAsia"/>
          <w:color w:val="000000"/>
          <w:sz w:val="21"/>
          <w:szCs w:val="21"/>
        </w:rPr>
        <w:t>文字游戏</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税务考试的出题人热衷于搞文字游戏，根据多年的教学辅导经验和对真题的研究</w:t>
      </w:r>
      <w:r>
        <w:rPr>
          <w:rFonts w:ascii="宋体" w:hAnsi="宋体" w:hint="eastAsia"/>
          <w:color w:val="000000"/>
          <w:sz w:val="21"/>
          <w:szCs w:val="21"/>
        </w:rPr>
        <w:t>，我总结出下面几种玩法：</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）表述相反。</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例如，可收回金额取较高者还是较低者，并购价值低估和高估，降低代理成本和提高代理成本，卖方融资和买方融资，质保期结束和质保期内等。</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）张冠李戴。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lastRenderedPageBreak/>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例如，综合性项目政府补助，内部研发，连房带地一起买，固定股利政策能保持股利稳定（而不是固定股利支付率政策）等。</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）偷换概念。</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例如，初始成本与入账价值等。</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）瞒天过海。</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例如，内部研发，资本化支出是达到预定用途时结转为无形资产，不是期末；费用化支出是期末转管理费用</w:t>
      </w:r>
      <w:r>
        <w:rPr>
          <w:rFonts w:ascii="宋体" w:hAnsi="宋体" w:hint="eastAsia"/>
          <w:color w:val="000000"/>
          <w:sz w:val="21"/>
          <w:szCs w:val="21"/>
        </w:rPr>
        <w:t>等。</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5</w:t>
      </w:r>
      <w:r>
        <w:rPr>
          <w:rFonts w:ascii="宋体" w:hAnsi="宋体" w:hint="eastAsia"/>
          <w:color w:val="000000"/>
          <w:sz w:val="21"/>
          <w:szCs w:val="21"/>
        </w:rPr>
        <w:t>）隐去条件。</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例如，收入和费用的概念，开发阶段的利息支出在符合资本化条件时才能计入成本。</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因为税务师考题愿意搞文字游戏和无聊的计算，导致有的同学在考试过程中蒙圈了，有同学说真想戳自己的双眼，明明让选错误的，非得把正确的选上；不是遗漏这个就是忽略那个，逢坑必掉。</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其实，在课程当中我都会给大家讲解出题人挖坑的点，会不厌其烦的提醒大家考试时需要特别注意的地方，如果大家认真听课了，考试时保持良好的心态，很多问题也就不成问题了。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b/>
          <w:bCs/>
          <w:color w:val="000000"/>
          <w:sz w:val="21"/>
          <w:szCs w:val="21"/>
        </w:rPr>
        <w:t xml:space="preserve">　</w:t>
      </w:r>
      <w:r>
        <w:rPr>
          <w:rStyle w:val="spancdelblanksign"/>
          <w:rFonts w:ascii="宋体" w:hAnsi="宋体" w:hint="eastAsia"/>
          <w:b/>
          <w:bCs/>
          <w:color w:val="000000"/>
          <w:sz w:val="21"/>
          <w:szCs w:val="21"/>
        </w:rPr>
        <w:t xml:space="preserve">　</w:t>
      </w:r>
      <w:r>
        <w:rPr>
          <w:rStyle w:val="a6"/>
          <w:rFonts w:ascii="宋体" w:hAnsi="宋体" w:hint="eastAsia"/>
          <w:color w:val="000000"/>
          <w:sz w:val="21"/>
          <w:szCs w:val="21"/>
        </w:rPr>
        <w:t>三、备考建议</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（一）应试指南如何使用</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应试指南适合大家在</w:t>
      </w:r>
      <w:r>
        <w:rPr>
          <w:rStyle w:val="font14zd2"/>
          <w:rFonts w:ascii="宋体" w:hAnsi="宋体" w:hint="eastAsia"/>
        </w:rPr>
        <w:t>基础阶段</w:t>
      </w:r>
      <w:r>
        <w:rPr>
          <w:rFonts w:ascii="宋体" w:hAnsi="宋体" w:hint="eastAsia"/>
          <w:color w:val="000000"/>
          <w:sz w:val="21"/>
          <w:szCs w:val="21"/>
        </w:rPr>
        <w:t>和</w:t>
      </w:r>
      <w:r>
        <w:rPr>
          <w:rStyle w:val="font14zd2"/>
          <w:rFonts w:ascii="宋体" w:hAnsi="宋体" w:hint="eastAsia"/>
        </w:rPr>
        <w:t>习题强化阶段</w:t>
      </w:r>
      <w:r>
        <w:rPr>
          <w:rFonts w:ascii="宋体" w:hAnsi="宋体" w:hint="eastAsia"/>
          <w:color w:val="000000"/>
          <w:sz w:val="21"/>
          <w:szCs w:val="21"/>
        </w:rPr>
        <w:t>使用，既能够通过知识点的讲解帮助大家打好基础，又能够通过同步训练帮助大家强化提高。</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（二）书课如何结合使用</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应试指南各章的考点讲解和经典例题对应网络课程基础班的讲义，建议大家听课之前先预习一遍知识点和例题，然后再听课。听完一章的课马上做本章的阶段练习，本章知识点消化吸收以后再去听下一章的课件。</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在基础班阶段，</w:t>
      </w:r>
      <w:r>
        <w:rPr>
          <w:rStyle w:val="font14zd2"/>
          <w:rFonts w:ascii="宋体" w:hAnsi="宋体" w:hint="eastAsia"/>
        </w:rPr>
        <w:t>先听课后做题</w:t>
      </w:r>
      <w:r>
        <w:rPr>
          <w:rFonts w:ascii="宋体" w:hAnsi="宋体" w:hint="eastAsia"/>
          <w:color w:val="000000"/>
          <w:sz w:val="21"/>
          <w:szCs w:val="21"/>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在习题班阶段，</w:t>
      </w:r>
      <w:r>
        <w:rPr>
          <w:rStyle w:val="font14zd2"/>
          <w:rFonts w:ascii="宋体" w:hAnsi="宋体" w:hint="eastAsia"/>
        </w:rPr>
        <w:t>先做题后听课。</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（三）学习顺序</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先会计、后财管。</w:t>
      </w:r>
      <w:r>
        <w:rPr>
          <w:rFonts w:ascii="宋体" w:hAnsi="宋体" w:hint="eastAsia"/>
          <w:color w:val="000000"/>
          <w:sz w:val="21"/>
          <w:szCs w:val="21"/>
        </w:rPr>
        <w:t xml:space="preserve"> </w:t>
      </w:r>
      <w:r>
        <w:rPr>
          <w:rFonts w:ascii="宋体" w:hAnsi="宋体" w:hint="eastAsia"/>
          <w:color w:val="000000"/>
          <w:sz w:val="21"/>
          <w:szCs w:val="21"/>
        </w:rPr>
        <w:br/>
      </w:r>
      <w:r>
        <w:rPr>
          <w:rFonts w:ascii="楷体" w:eastAsia="楷体" w:hAnsi="楷体" w:hint="eastAsia"/>
          <w:b/>
          <w:bCs/>
          <w:color w:val="00AAB2"/>
          <w:sz w:val="23"/>
          <w:szCs w:val="23"/>
        </w:rPr>
        <w:br/>
      </w:r>
      <w:r>
        <w:rPr>
          <w:rStyle w:val="barfont1"/>
          <w:rFonts w:hint="default"/>
        </w:rPr>
        <w:t>第</w:t>
      </w:r>
      <w:r>
        <w:rPr>
          <w:rStyle w:val="barfont1"/>
          <w:rFonts w:hint="default"/>
        </w:rPr>
        <w:t>02</w:t>
      </w:r>
      <w:r>
        <w:rPr>
          <w:rStyle w:val="barfont1"/>
          <w:rFonts w:hint="default"/>
        </w:rPr>
        <w:t>讲</w:t>
      </w:r>
      <w:r>
        <w:rPr>
          <w:rStyle w:val="barfont1"/>
          <w:rFonts w:hint="default"/>
        </w:rPr>
        <w:t xml:space="preserve"> </w:t>
      </w:r>
      <w:r>
        <w:rPr>
          <w:rStyle w:val="barfont1"/>
          <w:rFonts w:hint="default"/>
        </w:rPr>
        <w:t>教材变化</w:t>
      </w:r>
    </w:p>
    <w:p w:rsidR="00000000" w:rsidRDefault="00377C85" w:rsidP="00377C85">
      <w:pPr>
        <w:spacing w:line="276" w:lineRule="auto"/>
        <w:ind w:firstLine="480"/>
        <w:textAlignment w:val="center"/>
        <w:divId w:val="632322403"/>
        <w:rPr>
          <w:rFonts w:ascii="宋体" w:hAnsi="宋体" w:cs="宋体" w:hint="eastAsia"/>
          <w:color w:val="000000"/>
          <w:sz w:val="21"/>
          <w:szCs w:val="21"/>
        </w:rPr>
      </w:pPr>
      <w:r>
        <w:rPr>
          <w:rStyle w:val="a6"/>
          <w:rFonts w:ascii="宋体" w:hAnsi="宋体" w:cs="宋体" w:hint="eastAsia"/>
          <w:color w:val="000000"/>
          <w:sz w:val="21"/>
          <w:szCs w:val="21"/>
        </w:rPr>
        <w:t>四、教材变化</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48"/>
        <w:gridCol w:w="8162"/>
      </w:tblGrid>
      <w:tr w:rsidR="00000000" w:rsidTr="00377C85">
        <w:trPr>
          <w:cantSplit/>
          <w:trHeight w:val="300"/>
          <w:tblHeader/>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77C85" w:rsidP="00377C8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第一章　财务管理概论和基础</w:t>
            </w:r>
          </w:p>
        </w:tc>
      </w:tr>
      <w:tr w:rsidR="00000000" w:rsidTr="00377C85">
        <w:trPr>
          <w:cantSplit/>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本章变动较小</w:t>
            </w:r>
          </w:p>
        </w:tc>
      </w:tr>
      <w:tr w:rsidR="00000000" w:rsidTr="00377C8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）章名由“财务管理概论”修改为“财务管理概论和基础”。</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）由五节改为四节，原第一节内容进行精简作为节前表述，不单独成节。</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）修改货币时间价值的定义。</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）精简原“风险管理理念与工具方法”的表述。</w:t>
            </w:r>
          </w:p>
        </w:tc>
      </w:tr>
    </w:tbl>
    <w:p w:rsidR="00000000" w:rsidRDefault="00377C85" w:rsidP="00377C85">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60"/>
        <w:gridCol w:w="8450"/>
      </w:tblGrid>
      <w:tr w:rsidR="00000000" w:rsidTr="00377C85">
        <w:trPr>
          <w:cantSplit/>
          <w:trHeight w:val="300"/>
          <w:tblHeader/>
          <w:jc w:val="center"/>
        </w:trPr>
        <w:tc>
          <w:tcPr>
            <w:tcW w:w="1302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77C85" w:rsidP="00377C8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第二章　财务预测和财务预算</w:t>
            </w:r>
          </w:p>
        </w:tc>
      </w:tr>
      <w:tr w:rsidR="00000000" w:rsidTr="00377C85">
        <w:trPr>
          <w:cantSplit/>
          <w:trHeight w:val="300"/>
          <w:jc w:val="center"/>
        </w:trPr>
        <w:tc>
          <w:tcPr>
            <w:tcW w:w="130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本章变动较小</w:t>
            </w:r>
          </w:p>
        </w:tc>
      </w:tr>
      <w:tr w:rsidR="00000000" w:rsidTr="00377C85">
        <w:trPr>
          <w:cantSplit/>
          <w:trHeight w:val="300"/>
          <w:jc w:val="center"/>
        </w:trPr>
        <w:tc>
          <w:tcPr>
            <w:tcW w:w="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新增</w:t>
            </w:r>
          </w:p>
        </w:tc>
        <w:tc>
          <w:tcPr>
            <w:tcW w:w="61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回归直线法下不变资金和单位产销量所需变动资金计算的例题。</w:t>
            </w:r>
          </w:p>
        </w:tc>
      </w:tr>
      <w:tr w:rsidR="00000000" w:rsidTr="00377C85">
        <w:trPr>
          <w:cantSplit/>
          <w:trHeight w:val="300"/>
          <w:jc w:val="center"/>
        </w:trPr>
        <w:tc>
          <w:tcPr>
            <w:tcW w:w="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调整</w:t>
            </w:r>
          </w:p>
        </w:tc>
        <w:tc>
          <w:tcPr>
            <w:tcW w:w="61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）精简资金需要量预测的意义内容。</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因素分析法下资金需要量的计</w:t>
            </w:r>
            <w:r>
              <w:rPr>
                <w:rStyle w:val="font14zd3"/>
                <w:rFonts w:ascii="宋体" w:hAnsi="宋体" w:cs="宋体" w:hint="eastAsia"/>
              </w:rPr>
              <w:t>算。</w:t>
            </w:r>
            <w:r>
              <w:rPr>
                <w:rFonts w:ascii="宋体" w:hAnsi="宋体" w:cs="宋体" w:hint="eastAsia"/>
                <w:color w:val="000000"/>
                <w:sz w:val="21"/>
                <w:szCs w:val="21"/>
              </w:rPr>
              <w:br/>
            </w:r>
            <w:r>
              <w:rPr>
                <w:rStyle w:val="font14zd3"/>
                <w:rFonts w:ascii="宋体" w:hAnsi="宋体" w:cs="宋体" w:hint="eastAsia"/>
              </w:rPr>
              <w:t>旧：</w:t>
            </w:r>
            <w:r>
              <w:rPr>
                <w:rFonts w:ascii="宋体" w:hAnsi="宋体" w:cs="宋体" w:hint="eastAsia"/>
                <w:color w:val="000000"/>
                <w:sz w:val="21"/>
                <w:szCs w:val="21"/>
              </w:rPr>
              <w:t>资金需要量＝（基期资金平均占用额－不合理资金占用额）×（</w:t>
            </w:r>
            <w:r>
              <w:rPr>
                <w:rFonts w:ascii="宋体" w:hAnsi="宋体" w:cs="宋体" w:hint="eastAsia"/>
                <w:color w:val="000000"/>
                <w:sz w:val="21"/>
                <w:szCs w:val="21"/>
              </w:rPr>
              <w:t>1</w:t>
            </w:r>
            <w:r>
              <w:rPr>
                <w:rFonts w:ascii="宋体" w:hAnsi="宋体" w:cs="宋体" w:hint="eastAsia"/>
                <w:color w:val="000000"/>
                <w:sz w:val="21"/>
                <w:szCs w:val="21"/>
              </w:rPr>
              <w:t>±预测期销售增减率）</w:t>
            </w:r>
            <w:r>
              <w:rPr>
                <w:rStyle w:val="font14zd3"/>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1</w:t>
            </w:r>
            <w:r>
              <w:rPr>
                <w:rFonts w:ascii="MS Mincho" w:eastAsia="MS Mincho" w:hAnsi="MS Mincho" w:cs="MS Mincho" w:hint="eastAsia"/>
                <w:color w:val="000000"/>
                <w:sz w:val="21"/>
                <w:szCs w:val="21"/>
              </w:rPr>
              <w:t>∓</w:t>
            </w:r>
            <w:r>
              <w:rPr>
                <w:rFonts w:ascii="宋体" w:hAnsi="宋体" w:cs="宋体" w:hint="eastAsia"/>
                <w:color w:val="000000"/>
                <w:sz w:val="21"/>
                <w:szCs w:val="21"/>
              </w:rPr>
              <w:t>预测期资金周转速度变动率）</w:t>
            </w:r>
            <w:r>
              <w:rPr>
                <w:rFonts w:ascii="宋体" w:hAnsi="宋体" w:cs="宋体" w:hint="eastAsia"/>
                <w:color w:val="000000"/>
                <w:sz w:val="21"/>
                <w:szCs w:val="21"/>
              </w:rPr>
              <w:br/>
            </w:r>
            <w:r>
              <w:rPr>
                <w:rStyle w:val="font14zd3"/>
                <w:rFonts w:ascii="宋体" w:hAnsi="宋体" w:cs="宋体" w:hint="eastAsia"/>
              </w:rPr>
              <w:t>新：</w:t>
            </w:r>
            <w:r>
              <w:rPr>
                <w:rFonts w:ascii="宋体" w:hAnsi="宋体" w:cs="宋体" w:hint="eastAsia"/>
                <w:color w:val="000000"/>
                <w:sz w:val="21"/>
                <w:szCs w:val="21"/>
              </w:rPr>
              <w:t>资金需要量＝（基期资金平均占用额－不合理资金占用额）×（</w:t>
            </w:r>
            <w:r>
              <w:rPr>
                <w:rFonts w:ascii="宋体" w:hAnsi="宋体" w:cs="宋体" w:hint="eastAsia"/>
                <w:color w:val="000000"/>
                <w:sz w:val="21"/>
                <w:szCs w:val="21"/>
              </w:rPr>
              <w:t>1</w:t>
            </w:r>
            <w:r>
              <w:rPr>
                <w:rFonts w:ascii="宋体" w:hAnsi="宋体" w:cs="宋体" w:hint="eastAsia"/>
                <w:color w:val="000000"/>
                <w:sz w:val="21"/>
                <w:szCs w:val="21"/>
              </w:rPr>
              <w:t>＋预测期销售增长率）</w:t>
            </w:r>
            <w:r>
              <w:rPr>
                <w:rStyle w:val="font14zd3"/>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1</w:t>
            </w:r>
            <w:r>
              <w:rPr>
                <w:rStyle w:val="font14zd3"/>
                <w:rFonts w:ascii="宋体" w:hAnsi="宋体" w:cs="宋体" w:hint="eastAsia"/>
              </w:rPr>
              <w:t>＋</w:t>
            </w:r>
            <w:r>
              <w:rPr>
                <w:rFonts w:ascii="宋体" w:hAnsi="宋体" w:cs="宋体" w:hint="eastAsia"/>
                <w:color w:val="000000"/>
                <w:sz w:val="21"/>
                <w:szCs w:val="21"/>
              </w:rPr>
              <w:t>预测期资金周转速度增长率）</w:t>
            </w:r>
          </w:p>
        </w:tc>
      </w:tr>
    </w:tbl>
    <w:p w:rsidR="00000000" w:rsidRDefault="00377C85" w:rsidP="00377C85">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48"/>
        <w:gridCol w:w="8162"/>
      </w:tblGrid>
      <w:tr w:rsidR="00000000" w:rsidTr="00377C85">
        <w:trPr>
          <w:cantSplit/>
          <w:trHeight w:val="300"/>
          <w:tblHeader/>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77C85" w:rsidP="00377C8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第三章　筹资与股利分配管理</w:t>
            </w:r>
          </w:p>
        </w:tc>
      </w:tr>
      <w:tr w:rsidR="00000000" w:rsidTr="00377C85">
        <w:trPr>
          <w:cantSplit/>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本章变动较小</w:t>
            </w:r>
          </w:p>
        </w:tc>
      </w:tr>
      <w:tr w:rsidR="00000000" w:rsidTr="00377C8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新增</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）固定股利支付率政策例题。</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）股票分割例题。</w:t>
            </w:r>
          </w:p>
        </w:tc>
      </w:tr>
      <w:tr w:rsidR="00000000" w:rsidTr="00377C8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）由四节改为三节，原第一节内容进行精简作为节前表述，不单独成节。</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）精简原“股利分配方式与支付程序”的表述。</w:t>
            </w:r>
          </w:p>
        </w:tc>
      </w:tr>
      <w:tr w:rsidR="00000000" w:rsidTr="00377C8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删除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）筹资管理原则。</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）股利支付过程中的重要日期。</w:t>
            </w:r>
          </w:p>
        </w:tc>
      </w:tr>
    </w:tbl>
    <w:p w:rsidR="00000000" w:rsidRDefault="00377C85" w:rsidP="00377C85">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69"/>
        <w:gridCol w:w="8441"/>
      </w:tblGrid>
      <w:tr w:rsidR="00000000" w:rsidTr="00377C85">
        <w:trPr>
          <w:cantSplit/>
          <w:trHeight w:val="300"/>
          <w:tblHeader/>
          <w:jc w:val="center"/>
        </w:trPr>
        <w:tc>
          <w:tcPr>
            <w:tcW w:w="1428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77C85" w:rsidP="00377C8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第四章　投资管理</w:t>
            </w:r>
          </w:p>
        </w:tc>
      </w:tr>
      <w:tr w:rsidR="00000000" w:rsidTr="00377C85">
        <w:trPr>
          <w:cantSplit/>
          <w:trHeight w:val="300"/>
          <w:jc w:val="center"/>
        </w:trPr>
        <w:tc>
          <w:tcPr>
            <w:tcW w:w="142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本章变动较小</w:t>
            </w:r>
          </w:p>
        </w:tc>
      </w:tr>
      <w:tr w:rsidR="00000000" w:rsidTr="00377C85">
        <w:trPr>
          <w:cantSplit/>
          <w:trHeight w:val="300"/>
          <w:jc w:val="center"/>
        </w:trPr>
        <w:tc>
          <w:tcPr>
            <w:tcW w:w="3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调整</w:t>
            </w:r>
          </w:p>
        </w:tc>
        <w:tc>
          <w:tcPr>
            <w:tcW w:w="66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由四节改为三节，原第一节内容进行精简作为节前表述，不单独成节。</w:t>
            </w:r>
          </w:p>
        </w:tc>
      </w:tr>
      <w:tr w:rsidR="00000000" w:rsidTr="00377C85">
        <w:trPr>
          <w:cantSplit/>
          <w:trHeight w:val="300"/>
          <w:jc w:val="center"/>
        </w:trPr>
        <w:tc>
          <w:tcPr>
            <w:tcW w:w="3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删除</w:t>
            </w:r>
          </w:p>
        </w:tc>
        <w:tc>
          <w:tcPr>
            <w:tcW w:w="66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）“投资的意义”的部分表述。</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）固定资产投资的特点与意义。</w:t>
            </w:r>
          </w:p>
        </w:tc>
      </w:tr>
    </w:tbl>
    <w:p w:rsidR="00000000" w:rsidRDefault="00377C85" w:rsidP="00377C85">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60"/>
        <w:gridCol w:w="8450"/>
      </w:tblGrid>
      <w:tr w:rsidR="00000000" w:rsidTr="00377C85">
        <w:trPr>
          <w:cantSplit/>
          <w:trHeight w:val="300"/>
          <w:tblHeader/>
          <w:jc w:val="center"/>
        </w:trPr>
        <w:tc>
          <w:tcPr>
            <w:tcW w:w="1377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77C85" w:rsidP="00377C8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第五章　营运资金管理</w:t>
            </w:r>
          </w:p>
        </w:tc>
      </w:tr>
      <w:tr w:rsidR="00000000" w:rsidTr="00377C85">
        <w:trPr>
          <w:cantSplit/>
          <w:trHeight w:val="300"/>
          <w:jc w:val="center"/>
        </w:trPr>
        <w:tc>
          <w:tcPr>
            <w:tcW w:w="137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本章无实质性变化</w:t>
            </w:r>
          </w:p>
        </w:tc>
      </w:tr>
      <w:tr w:rsidR="00000000" w:rsidTr="00377C85">
        <w:trPr>
          <w:cantSplit/>
          <w:trHeight w:val="300"/>
          <w:jc w:val="center"/>
        </w:trPr>
        <w:tc>
          <w:tcPr>
            <w:tcW w:w="2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新增</w:t>
            </w:r>
          </w:p>
        </w:tc>
        <w:tc>
          <w:tcPr>
            <w:tcW w:w="6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现金周转期和应收账款成本相关例题</w:t>
            </w:r>
          </w:p>
        </w:tc>
      </w:tr>
      <w:tr w:rsidR="00000000" w:rsidTr="00377C85">
        <w:trPr>
          <w:cantSplit/>
          <w:trHeight w:val="300"/>
          <w:jc w:val="center"/>
        </w:trPr>
        <w:tc>
          <w:tcPr>
            <w:tcW w:w="2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删除</w:t>
            </w:r>
          </w:p>
        </w:tc>
        <w:tc>
          <w:tcPr>
            <w:tcW w:w="65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）“营运资金的特点”的部分表述。</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）存货的作用。</w:t>
            </w:r>
          </w:p>
        </w:tc>
      </w:tr>
    </w:tbl>
    <w:p w:rsidR="00000000" w:rsidRDefault="00377C85" w:rsidP="00377C85">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27"/>
        <w:gridCol w:w="8383"/>
      </w:tblGrid>
      <w:tr w:rsidR="00000000" w:rsidTr="00377C85">
        <w:trPr>
          <w:cantSplit/>
          <w:trHeight w:val="300"/>
          <w:tblHeader/>
          <w:jc w:val="center"/>
        </w:trPr>
        <w:tc>
          <w:tcPr>
            <w:tcW w:w="2016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77C85" w:rsidP="00377C8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第六章　财务分析与</w:t>
            </w:r>
            <w:r>
              <w:rPr>
                <w:rFonts w:ascii="宋体" w:hAnsi="宋体" w:cs="宋体" w:hint="eastAsia"/>
                <w:color w:val="000000"/>
                <w:sz w:val="21"/>
                <w:szCs w:val="21"/>
              </w:rPr>
              <w:t>评价</w:t>
            </w:r>
          </w:p>
        </w:tc>
      </w:tr>
      <w:tr w:rsidR="00000000" w:rsidTr="00377C85">
        <w:trPr>
          <w:cantSplit/>
          <w:trHeight w:val="300"/>
          <w:jc w:val="center"/>
        </w:trPr>
        <w:tc>
          <w:tcPr>
            <w:tcW w:w="2016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本章变动较小</w:t>
            </w:r>
          </w:p>
        </w:tc>
      </w:tr>
      <w:tr w:rsidR="00000000" w:rsidTr="00377C85">
        <w:trPr>
          <w:cantSplit/>
          <w:trHeight w:val="300"/>
          <w:jc w:val="center"/>
        </w:trPr>
        <w:tc>
          <w:tcPr>
            <w:tcW w:w="5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新增</w:t>
            </w:r>
          </w:p>
        </w:tc>
        <w:tc>
          <w:tcPr>
            <w:tcW w:w="9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潜在普通股转换为普通股，如果增加每股收益或降低每股亏损的金额，计算稀释每股收益时不应考虑。</w:t>
            </w:r>
          </w:p>
        </w:tc>
      </w:tr>
      <w:tr w:rsidR="00000000" w:rsidTr="00377C85">
        <w:trPr>
          <w:cantSplit/>
          <w:trHeight w:val="300"/>
          <w:jc w:val="center"/>
        </w:trPr>
        <w:tc>
          <w:tcPr>
            <w:tcW w:w="5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调整</w:t>
            </w:r>
          </w:p>
        </w:tc>
        <w:tc>
          <w:tcPr>
            <w:tcW w:w="9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由三节改为二节，原第一节内容进行精简作为节前表述，不单独成节。</w:t>
            </w:r>
          </w:p>
        </w:tc>
      </w:tr>
      <w:tr w:rsidR="00000000" w:rsidTr="00377C85">
        <w:trPr>
          <w:cantSplit/>
          <w:trHeight w:val="300"/>
          <w:jc w:val="center"/>
        </w:trPr>
        <w:tc>
          <w:tcPr>
            <w:tcW w:w="5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删除</w:t>
            </w:r>
          </w:p>
        </w:tc>
        <w:tc>
          <w:tcPr>
            <w:tcW w:w="9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）做好财务分析工作的重要意义。</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）财务分析的目的。</w:t>
            </w:r>
          </w:p>
        </w:tc>
      </w:tr>
    </w:tbl>
    <w:p w:rsidR="00000000" w:rsidRDefault="00377C85" w:rsidP="00377C85">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59"/>
        <w:gridCol w:w="8351"/>
      </w:tblGrid>
      <w:tr w:rsidR="00000000" w:rsidTr="00377C85">
        <w:trPr>
          <w:cantSplit/>
          <w:trHeight w:val="300"/>
          <w:tblHeader/>
          <w:jc w:val="center"/>
        </w:trPr>
        <w:tc>
          <w:tcPr>
            <w:tcW w:w="2574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77C85" w:rsidP="00377C8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第七章　财务会计概论</w:t>
            </w:r>
          </w:p>
        </w:tc>
      </w:tr>
      <w:tr w:rsidR="00000000" w:rsidTr="00377C85">
        <w:trPr>
          <w:cantSplit/>
          <w:trHeight w:val="300"/>
          <w:jc w:val="center"/>
        </w:trPr>
        <w:tc>
          <w:tcPr>
            <w:tcW w:w="2574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本章无实质性变化</w:t>
            </w:r>
          </w:p>
        </w:tc>
      </w:tr>
      <w:tr w:rsidR="00000000" w:rsidTr="00377C85">
        <w:trPr>
          <w:cantSplit/>
          <w:trHeight w:val="300"/>
          <w:jc w:val="center"/>
        </w:trPr>
        <w:tc>
          <w:tcPr>
            <w:tcW w:w="6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调整</w:t>
            </w:r>
          </w:p>
        </w:tc>
        <w:tc>
          <w:tcPr>
            <w:tcW w:w="121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）实质重于形式要求，增加了举例。</w:t>
            </w:r>
            <w:r>
              <w:rPr>
                <w:rFonts w:ascii="宋体" w:hAnsi="宋体" w:cs="宋体" w:hint="eastAsia"/>
                <w:color w:val="000000"/>
                <w:sz w:val="21"/>
                <w:szCs w:val="21"/>
              </w:rPr>
              <w:br/>
            </w:r>
            <w:r>
              <w:rPr>
                <w:rFonts w:ascii="宋体" w:hAnsi="宋体" w:cs="宋体" w:hint="eastAsia"/>
                <w:color w:val="000000"/>
                <w:sz w:val="21"/>
                <w:szCs w:val="21"/>
              </w:rPr>
              <w:t>例如，企业按照销售合同已经售出商品，客户已经取得对该商品的控制权，但企业为确保到期收回货款而暂时保留</w:t>
            </w:r>
            <w:r>
              <w:rPr>
                <w:rFonts w:ascii="宋体" w:hAnsi="宋体" w:cs="宋体" w:hint="eastAsia"/>
                <w:color w:val="000000"/>
                <w:sz w:val="21"/>
                <w:szCs w:val="21"/>
              </w:rPr>
              <w:t>商品的法定所有权时</w:t>
            </w:r>
            <w:r>
              <w:rPr>
                <w:rFonts w:ascii="宋体" w:hAnsi="宋体" w:cs="宋体" w:hint="eastAsia"/>
                <w:color w:val="000000"/>
                <w:sz w:val="21"/>
                <w:szCs w:val="21"/>
              </w:rPr>
              <w:t>,</w:t>
            </w:r>
            <w:r>
              <w:rPr>
                <w:rFonts w:ascii="宋体" w:hAnsi="宋体" w:cs="宋体" w:hint="eastAsia"/>
                <w:color w:val="000000"/>
                <w:sz w:val="21"/>
                <w:szCs w:val="21"/>
              </w:rPr>
              <w:t>该权利通常不会对客户取得该商品的控制权构成障碍，在满足收入确认的其他条件时，企业应当确认相应的收入。</w:t>
            </w:r>
            <w:r>
              <w:rPr>
                <w:rFonts w:ascii="宋体" w:hAnsi="宋体" w:cs="宋体" w:hint="eastAsia"/>
                <w:color w:val="000000"/>
                <w:sz w:val="21"/>
                <w:szCs w:val="21"/>
              </w:rPr>
              <w:br/>
            </w:r>
            <w:r>
              <w:rPr>
                <w:rFonts w:ascii="宋体" w:hAnsi="宋体" w:cs="宋体" w:hint="eastAsia"/>
                <w:color w:val="000000"/>
                <w:sz w:val="21"/>
                <w:szCs w:val="21"/>
              </w:rPr>
              <w:t>又如，在企业合并中，经常会涉及“控制”的判断，有些合并，从投资比例来看，虽然投资者拥有被投资企业</w:t>
            </w:r>
            <w:r>
              <w:rPr>
                <w:rFonts w:ascii="宋体" w:hAnsi="宋体" w:cs="宋体" w:hint="eastAsia"/>
                <w:color w:val="000000"/>
                <w:sz w:val="21"/>
                <w:szCs w:val="21"/>
              </w:rPr>
              <w:t>50</w:t>
            </w:r>
            <w:r>
              <w:rPr>
                <w:rFonts w:ascii="宋体" w:hAnsi="宋体" w:cs="宋体" w:hint="eastAsia"/>
                <w:color w:val="000000"/>
                <w:sz w:val="21"/>
                <w:szCs w:val="21"/>
              </w:rPr>
              <w:t>％或</w:t>
            </w:r>
            <w:r>
              <w:rPr>
                <w:rFonts w:ascii="宋体" w:hAnsi="宋体" w:cs="宋体" w:hint="eastAsia"/>
                <w:color w:val="000000"/>
                <w:sz w:val="21"/>
                <w:szCs w:val="21"/>
              </w:rPr>
              <w:t>50</w:t>
            </w:r>
            <w:r>
              <w:rPr>
                <w:rFonts w:ascii="宋体" w:hAnsi="宋体" w:cs="宋体" w:hint="eastAsia"/>
                <w:color w:val="000000"/>
                <w:sz w:val="21"/>
                <w:szCs w:val="21"/>
              </w:rPr>
              <w:t>％以下股份，但是投资企业通过与其他表决权持有人的协议使其可以持有足以主导被投资方相关活动的表决权，从而拥有对被投资方的权力，就不应当简单地以持股比例来判断控制权，而应当根据实质重于形式的原则来判断投资企业是否控制被投资企业。（</w:t>
            </w:r>
            <w:r>
              <w:rPr>
                <w:rFonts w:ascii="宋体" w:hAnsi="宋体" w:cs="宋体" w:hint="eastAsia"/>
                <w:color w:val="000000"/>
                <w:sz w:val="21"/>
                <w:szCs w:val="21"/>
              </w:rPr>
              <w:t>2</w:t>
            </w:r>
            <w:r>
              <w:rPr>
                <w:rFonts w:ascii="宋体" w:hAnsi="宋体" w:cs="宋体" w:hint="eastAsia"/>
                <w:color w:val="000000"/>
                <w:sz w:val="21"/>
                <w:szCs w:val="21"/>
              </w:rPr>
              <w:t>）重要性要求，删除了在遵循重要性原则的同时要考虑成本与</w:t>
            </w:r>
            <w:r>
              <w:rPr>
                <w:rFonts w:ascii="宋体" w:hAnsi="宋体" w:cs="宋体" w:hint="eastAsia"/>
                <w:color w:val="000000"/>
                <w:sz w:val="21"/>
                <w:szCs w:val="21"/>
              </w:rPr>
              <w:t>效益问题的表述。</w:t>
            </w:r>
          </w:p>
        </w:tc>
      </w:tr>
    </w:tbl>
    <w:p w:rsidR="00000000" w:rsidRDefault="00377C85" w:rsidP="00377C85">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43"/>
        <w:gridCol w:w="8367"/>
      </w:tblGrid>
      <w:tr w:rsidR="00000000" w:rsidTr="00377C85">
        <w:trPr>
          <w:cantSplit/>
          <w:trHeight w:val="300"/>
          <w:tblHeader/>
          <w:jc w:val="center"/>
        </w:trPr>
        <w:tc>
          <w:tcPr>
            <w:tcW w:w="2016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77C85" w:rsidP="00377C8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第八章　流动资产</w:t>
            </w:r>
          </w:p>
        </w:tc>
      </w:tr>
      <w:tr w:rsidR="00000000" w:rsidTr="00377C85">
        <w:trPr>
          <w:cantSplit/>
          <w:trHeight w:val="300"/>
          <w:jc w:val="center"/>
        </w:trPr>
        <w:tc>
          <w:tcPr>
            <w:tcW w:w="2016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本章变动较大，主要体现在结构的整合和部分账务处理的修改。</w:t>
            </w:r>
          </w:p>
        </w:tc>
      </w:tr>
      <w:tr w:rsidR="00000000" w:rsidTr="00377C85">
        <w:trPr>
          <w:cantSplit/>
          <w:trHeight w:val="300"/>
          <w:jc w:val="center"/>
        </w:trPr>
        <w:tc>
          <w:tcPr>
            <w:tcW w:w="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新增</w:t>
            </w:r>
          </w:p>
        </w:tc>
        <w:tc>
          <w:tcPr>
            <w:tcW w:w="9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交易性金融资产（债券）期末可以计提利息，也可以不计提利息，汇总反映在公允价值变动中。</w:t>
            </w:r>
          </w:p>
        </w:tc>
      </w:tr>
      <w:tr w:rsidR="00000000" w:rsidTr="00377C85">
        <w:trPr>
          <w:cantSplit/>
          <w:trHeight w:val="300"/>
          <w:jc w:val="center"/>
        </w:trPr>
        <w:tc>
          <w:tcPr>
            <w:tcW w:w="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调整</w:t>
            </w:r>
          </w:p>
        </w:tc>
        <w:tc>
          <w:tcPr>
            <w:tcW w:w="9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）原“第八章</w:t>
            </w:r>
            <w:r>
              <w:rPr>
                <w:rFonts w:ascii="宋体" w:hAnsi="宋体" w:cs="宋体" w:hint="eastAsia"/>
                <w:color w:val="000000"/>
                <w:sz w:val="21"/>
                <w:szCs w:val="21"/>
              </w:rPr>
              <w:t xml:space="preserve"> </w:t>
            </w:r>
            <w:r>
              <w:rPr>
                <w:rFonts w:ascii="宋体" w:hAnsi="宋体" w:cs="宋体" w:hint="eastAsia"/>
                <w:color w:val="000000"/>
                <w:sz w:val="21"/>
                <w:szCs w:val="21"/>
              </w:rPr>
              <w:t>流动资产（一）”和“第九章</w:t>
            </w:r>
            <w:r>
              <w:rPr>
                <w:rFonts w:ascii="宋体" w:hAnsi="宋体" w:cs="宋体" w:hint="eastAsia"/>
                <w:color w:val="000000"/>
                <w:sz w:val="21"/>
                <w:szCs w:val="21"/>
              </w:rPr>
              <w:t xml:space="preserve"> </w:t>
            </w:r>
            <w:r>
              <w:rPr>
                <w:rFonts w:ascii="宋体" w:hAnsi="宋体" w:cs="宋体" w:hint="eastAsia"/>
                <w:color w:val="000000"/>
                <w:sz w:val="21"/>
                <w:szCs w:val="21"/>
              </w:rPr>
              <w:t>流动资产（二）”合并为一章“第八章</w:t>
            </w:r>
            <w:r>
              <w:rPr>
                <w:rFonts w:ascii="宋体" w:hAnsi="宋体" w:cs="宋体" w:hint="eastAsia"/>
                <w:color w:val="000000"/>
                <w:sz w:val="21"/>
                <w:szCs w:val="21"/>
              </w:rPr>
              <w:t xml:space="preserve"> </w:t>
            </w:r>
            <w:r>
              <w:rPr>
                <w:rFonts w:ascii="宋体" w:hAnsi="宋体" w:cs="宋体" w:hint="eastAsia"/>
                <w:color w:val="000000"/>
                <w:sz w:val="21"/>
                <w:szCs w:val="21"/>
              </w:rPr>
              <w:t>流动资产”。</w:t>
            </w:r>
            <w:r>
              <w:rPr>
                <w:rFonts w:ascii="宋体" w:hAnsi="宋体" w:cs="宋体" w:hint="eastAsia"/>
                <w:color w:val="000000"/>
                <w:sz w:val="21"/>
                <w:szCs w:val="21"/>
              </w:rPr>
              <w:br/>
            </w: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）收回已核销坏账的账务处理，改成在收回的同时转回信用减值损失。</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）交易性金融资产（债券），期末计提利息的核算。</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）以非货币性资产交换方式换入存货的处理，调整至“第十五章</w:t>
            </w:r>
            <w:r>
              <w:rPr>
                <w:rFonts w:ascii="宋体" w:hAnsi="宋体" w:cs="宋体" w:hint="eastAsia"/>
                <w:color w:val="000000"/>
                <w:sz w:val="21"/>
                <w:szCs w:val="21"/>
              </w:rPr>
              <w:t xml:space="preserve"> </w:t>
            </w:r>
            <w:r>
              <w:rPr>
                <w:rFonts w:ascii="宋体" w:hAnsi="宋体" w:cs="宋体" w:hint="eastAsia"/>
                <w:color w:val="000000"/>
                <w:sz w:val="21"/>
                <w:szCs w:val="21"/>
              </w:rPr>
              <w:t>第一节非货币性资产交换”。</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）“原材料的核算”和“其他存货的核算”两节合并为“存货的核算”一节。</w:t>
            </w:r>
          </w:p>
        </w:tc>
      </w:tr>
      <w:tr w:rsidR="00000000" w:rsidTr="00377C85">
        <w:trPr>
          <w:cantSplit/>
          <w:trHeight w:val="300"/>
          <w:jc w:val="center"/>
        </w:trPr>
        <w:tc>
          <w:tcPr>
            <w:tcW w:w="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删除</w:t>
            </w:r>
          </w:p>
        </w:tc>
        <w:tc>
          <w:tcPr>
            <w:tcW w:w="9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Style w:val="font14zd3"/>
                <w:rFonts w:ascii="宋体" w:hAnsi="宋体" w:cs="宋体" w:hint="eastAsia"/>
              </w:rPr>
              <w:t>原“第一节</w:t>
            </w:r>
            <w:r>
              <w:rPr>
                <w:rStyle w:val="font14zd3"/>
                <w:rFonts w:ascii="宋体" w:hAnsi="宋体" w:cs="宋体" w:hint="eastAsia"/>
              </w:rPr>
              <w:t xml:space="preserve"> </w:t>
            </w:r>
            <w:r>
              <w:rPr>
                <w:rStyle w:val="font14zd3"/>
                <w:rFonts w:ascii="宋体" w:hAnsi="宋体" w:cs="宋体" w:hint="eastAsia"/>
              </w:rPr>
              <w:t>货币资金的核算”。</w:t>
            </w:r>
          </w:p>
        </w:tc>
      </w:tr>
    </w:tbl>
    <w:p w:rsidR="00000000" w:rsidRDefault="00377C85" w:rsidP="00377C85">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77"/>
        <w:gridCol w:w="8333"/>
      </w:tblGrid>
      <w:tr w:rsidR="00000000" w:rsidTr="00377C85">
        <w:trPr>
          <w:cantSplit/>
          <w:trHeight w:val="300"/>
          <w:tblHeader/>
          <w:jc w:val="center"/>
        </w:trPr>
        <w:tc>
          <w:tcPr>
            <w:tcW w:w="2373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77C85" w:rsidP="00377C8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第九章　非流动资产（一）</w:t>
            </w:r>
          </w:p>
        </w:tc>
      </w:tr>
      <w:tr w:rsidR="00000000" w:rsidTr="00377C85">
        <w:trPr>
          <w:cantSplit/>
          <w:trHeight w:val="300"/>
          <w:jc w:val="center"/>
        </w:trPr>
        <w:tc>
          <w:tcPr>
            <w:tcW w:w="237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本章变动较小</w:t>
            </w:r>
          </w:p>
        </w:tc>
      </w:tr>
      <w:tr w:rsidR="00000000" w:rsidTr="00377C85">
        <w:trPr>
          <w:cantSplit/>
          <w:trHeight w:val="300"/>
          <w:jc w:val="center"/>
        </w:trPr>
        <w:tc>
          <w:tcPr>
            <w:tcW w:w="7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调整</w:t>
            </w:r>
          </w:p>
        </w:tc>
        <w:tc>
          <w:tcPr>
            <w:tcW w:w="110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）章序由原“第十章”改为“第九章”，由七节改为六节，原第二节“固定资产取得的核算”内容精简合并到第一节。</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）“非货币性资产交换方式、债务重组方式取得固定资产”调整到第十五章。</w:t>
            </w:r>
            <w:r>
              <w:rPr>
                <w:rFonts w:ascii="宋体" w:hAnsi="宋体" w:cs="宋体" w:hint="eastAsia"/>
                <w:color w:val="000000"/>
                <w:sz w:val="21"/>
                <w:szCs w:val="21"/>
              </w:rPr>
              <w:br/>
            </w:r>
            <w:r>
              <w:rPr>
                <w:rStyle w:val="font14zd3"/>
                <w:rFonts w:ascii="宋体" w:hAnsi="宋体" w:cs="宋体" w:hint="eastAsia"/>
              </w:rPr>
              <w:t>（</w:t>
            </w:r>
            <w:r>
              <w:rPr>
                <w:rStyle w:val="font14zd3"/>
                <w:rFonts w:ascii="宋体" w:hAnsi="宋体" w:cs="宋体" w:hint="eastAsia"/>
              </w:rPr>
              <w:t>3</w:t>
            </w:r>
            <w:r>
              <w:rPr>
                <w:rStyle w:val="font14zd3"/>
                <w:rFonts w:ascii="宋体" w:hAnsi="宋体" w:cs="宋体" w:hint="eastAsia"/>
              </w:rPr>
              <w:t>）影响固定资产折旧的基本因素增加“固定资产减值准备”。</w:t>
            </w:r>
          </w:p>
        </w:tc>
      </w:tr>
    </w:tbl>
    <w:p w:rsidR="00000000" w:rsidRDefault="00377C85" w:rsidP="00377C85">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26"/>
        <w:gridCol w:w="8384"/>
      </w:tblGrid>
      <w:tr w:rsidR="00000000" w:rsidTr="00377C85">
        <w:trPr>
          <w:trHeight w:val="300"/>
          <w:jc w:val="center"/>
        </w:trPr>
        <w:tc>
          <w:tcPr>
            <w:tcW w:w="1869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第十章　非流动资产（二</w:t>
            </w:r>
            <w:r>
              <w:rPr>
                <w:rFonts w:ascii="宋体" w:hAnsi="宋体" w:cs="宋体" w:hint="eastAsia"/>
                <w:color w:val="000000"/>
                <w:sz w:val="21"/>
                <w:szCs w:val="21"/>
              </w:rPr>
              <w:t>）</w:t>
            </w:r>
          </w:p>
        </w:tc>
      </w:tr>
      <w:tr w:rsidR="00000000" w:rsidTr="00377C85">
        <w:trPr>
          <w:trHeight w:val="300"/>
          <w:jc w:val="center"/>
        </w:trPr>
        <w:tc>
          <w:tcPr>
            <w:tcW w:w="1869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本章变动较大</w:t>
            </w:r>
          </w:p>
        </w:tc>
      </w:tr>
      <w:tr w:rsidR="00000000" w:rsidTr="00377C85">
        <w:trPr>
          <w:trHeight w:val="313"/>
          <w:jc w:val="center"/>
        </w:trPr>
        <w:tc>
          <w:tcPr>
            <w:tcW w:w="51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新增</w:t>
            </w:r>
          </w:p>
        </w:tc>
        <w:tc>
          <w:tcPr>
            <w:tcW w:w="874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）到期收回债权投资的处理。</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）企业通过不同部门或在不同时点取得并持有的对同一被投资单位的权益工具投资的处理。</w:t>
            </w:r>
            <w:r>
              <w:rPr>
                <w:rFonts w:ascii="宋体" w:hAnsi="宋体" w:cs="宋体" w:hint="eastAsia"/>
                <w:color w:val="000000"/>
                <w:sz w:val="21"/>
                <w:szCs w:val="21"/>
              </w:rPr>
              <w:br/>
            </w:r>
            <w:r>
              <w:rPr>
                <w:rStyle w:val="font14zd3"/>
                <w:rFonts w:ascii="宋体" w:hAnsi="宋体" w:cs="宋体" w:hint="eastAsia"/>
              </w:rPr>
              <w:t>（</w:t>
            </w:r>
            <w:r>
              <w:rPr>
                <w:rStyle w:val="font14zd3"/>
                <w:rFonts w:ascii="宋体" w:hAnsi="宋体" w:cs="宋体" w:hint="eastAsia"/>
              </w:rPr>
              <w:t>3</w:t>
            </w:r>
            <w:r>
              <w:rPr>
                <w:rStyle w:val="font14zd3"/>
                <w:rFonts w:ascii="宋体" w:hAnsi="宋体" w:cs="宋体" w:hint="eastAsia"/>
              </w:rPr>
              <w:t>）到期收回其他债权投资的处理。</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）初始投资成本中包含已宣告但尚未发放现金股利或利润的处理。</w:t>
            </w:r>
            <w:r>
              <w:rPr>
                <w:rFonts w:ascii="宋体" w:hAnsi="宋体" w:cs="宋体" w:hint="eastAsia"/>
                <w:color w:val="000000"/>
                <w:sz w:val="21"/>
                <w:szCs w:val="21"/>
              </w:rPr>
              <w:br/>
            </w:r>
            <w:r>
              <w:rPr>
                <w:rStyle w:val="font14zd3"/>
                <w:rFonts w:ascii="宋体" w:hAnsi="宋体" w:cs="宋体" w:hint="eastAsia"/>
              </w:rPr>
              <w:t>（</w:t>
            </w:r>
            <w:r>
              <w:rPr>
                <w:rStyle w:val="font14zd3"/>
                <w:rFonts w:ascii="宋体" w:hAnsi="宋体" w:cs="宋体" w:hint="eastAsia"/>
              </w:rPr>
              <w:t>5</w:t>
            </w:r>
            <w:r>
              <w:rPr>
                <w:rStyle w:val="font14zd3"/>
                <w:rFonts w:ascii="宋体" w:hAnsi="宋体" w:cs="宋体" w:hint="eastAsia"/>
              </w:rPr>
              <w:t>）同一控制</w:t>
            </w:r>
            <w:r>
              <w:rPr>
                <w:rFonts w:ascii="宋体" w:hAnsi="宋体" w:cs="宋体" w:hint="eastAsia"/>
                <w:color w:val="000000"/>
                <w:sz w:val="21"/>
                <w:szCs w:val="21"/>
              </w:rPr>
              <w:t>【预计负债、其他应收款】</w:t>
            </w:r>
            <w:r>
              <w:rPr>
                <w:rStyle w:val="font14zd3"/>
                <w:rFonts w:ascii="宋体" w:hAnsi="宋体" w:cs="宋体" w:hint="eastAsia"/>
              </w:rPr>
              <w:t>和非同一控制</w:t>
            </w:r>
            <w:r>
              <w:rPr>
                <w:rFonts w:ascii="宋体" w:hAnsi="宋体" w:cs="宋体" w:hint="eastAsia"/>
                <w:color w:val="000000"/>
                <w:sz w:val="21"/>
                <w:szCs w:val="21"/>
              </w:rPr>
              <w:t>【交易性金融资产】</w:t>
            </w:r>
            <w:r>
              <w:rPr>
                <w:rStyle w:val="font14zd3"/>
                <w:rFonts w:ascii="宋体" w:hAnsi="宋体" w:cs="宋体" w:hint="eastAsia"/>
              </w:rPr>
              <w:t>下企业合并或有对价的处理。</w:t>
            </w:r>
            <w:r>
              <w:rPr>
                <w:rFonts w:ascii="宋体" w:hAnsi="宋体" w:cs="宋体" w:hint="eastAsia"/>
                <w:color w:val="000000"/>
                <w:sz w:val="21"/>
                <w:szCs w:val="21"/>
              </w:rPr>
              <w:br/>
            </w:r>
            <w:r>
              <w:rPr>
                <w:rStyle w:val="font14zd3"/>
                <w:rFonts w:ascii="宋体" w:hAnsi="宋体" w:cs="宋体" w:hint="eastAsia"/>
              </w:rPr>
              <w:t>（</w:t>
            </w:r>
            <w:r>
              <w:rPr>
                <w:rStyle w:val="font14zd3"/>
                <w:rFonts w:ascii="宋体" w:hAnsi="宋体" w:cs="宋体" w:hint="eastAsia"/>
              </w:rPr>
              <w:t>6</w:t>
            </w:r>
            <w:r>
              <w:rPr>
                <w:rStyle w:val="font14zd3"/>
                <w:rFonts w:ascii="宋体" w:hAnsi="宋体" w:cs="宋体" w:hint="eastAsia"/>
              </w:rPr>
              <w:t>）投资方持股比例增加但仍采用权益法核算的处理。</w:t>
            </w:r>
            <w:r>
              <w:rPr>
                <w:rFonts w:ascii="宋体" w:hAnsi="宋体" w:cs="宋体" w:hint="eastAsia"/>
                <w:color w:val="000000"/>
                <w:sz w:val="21"/>
                <w:szCs w:val="21"/>
              </w:rPr>
              <w:br/>
            </w:r>
            <w:r>
              <w:rPr>
                <w:rStyle w:val="font14zd3"/>
                <w:rFonts w:ascii="宋体" w:hAnsi="宋体" w:cs="宋体" w:hint="eastAsia"/>
              </w:rPr>
              <w:t>（</w:t>
            </w:r>
            <w:r>
              <w:rPr>
                <w:rStyle w:val="font14zd3"/>
                <w:rFonts w:ascii="宋体" w:hAnsi="宋体" w:cs="宋体" w:hint="eastAsia"/>
              </w:rPr>
              <w:t>7</w:t>
            </w:r>
            <w:r>
              <w:rPr>
                <w:rStyle w:val="font14zd3"/>
                <w:rFonts w:ascii="宋体" w:hAnsi="宋体" w:cs="宋体" w:hint="eastAsia"/>
              </w:rPr>
              <w:t>）关于处置原通过同一控制下企业合并取得子公司时相关资本公积的会计处理。</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）企业自行建造或开发完</w:t>
            </w:r>
            <w:r>
              <w:rPr>
                <w:rFonts w:ascii="宋体" w:hAnsi="宋体" w:cs="宋体" w:hint="eastAsia"/>
                <w:color w:val="000000"/>
                <w:sz w:val="21"/>
                <w:szCs w:val="21"/>
              </w:rPr>
              <w:t>成但尚未使用的建筑物转换日的确定。</w:t>
            </w:r>
          </w:p>
        </w:tc>
      </w:tr>
      <w:tr w:rsidR="00000000" w:rsidTr="00377C85">
        <w:trPr>
          <w:trHeight w:val="313"/>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77C85" w:rsidP="00377C85">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377C85" w:rsidP="00377C85">
            <w:pPr>
              <w:spacing w:line="276" w:lineRule="auto"/>
              <w:textAlignment w:val="center"/>
              <w:rPr>
                <w:rFonts w:ascii="宋体" w:hAnsi="宋体" w:cs="宋体"/>
                <w:color w:val="000000"/>
                <w:sz w:val="21"/>
                <w:szCs w:val="21"/>
              </w:rPr>
            </w:pPr>
          </w:p>
        </w:tc>
      </w:tr>
      <w:tr w:rsidR="00000000" w:rsidTr="00377C85">
        <w:trPr>
          <w:trHeight w:val="300"/>
          <w:jc w:val="center"/>
        </w:trPr>
        <w:tc>
          <w:tcPr>
            <w:tcW w:w="5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调整</w:t>
            </w:r>
          </w:p>
        </w:tc>
        <w:tc>
          <w:tcPr>
            <w:tcW w:w="87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）章序由原“第十一章”改为“第十章”。</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）被投资单位其他所有者权益的变动中“被投资单位资产评估等所引起的所有者权益变动”改为“其他投资方对被投资单位增资而导致投资方的持股比例变动”。</w:t>
            </w:r>
          </w:p>
        </w:tc>
      </w:tr>
    </w:tbl>
    <w:p w:rsidR="00000000" w:rsidRDefault="00377C85" w:rsidP="00377C85">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60"/>
        <w:gridCol w:w="8450"/>
      </w:tblGrid>
      <w:tr w:rsidR="00000000" w:rsidTr="00377C85">
        <w:trPr>
          <w:cantSplit/>
          <w:trHeight w:val="300"/>
          <w:tblHeader/>
          <w:jc w:val="center"/>
        </w:trPr>
        <w:tc>
          <w:tcPr>
            <w:tcW w:w="1302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77C85" w:rsidP="00377C8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第十一章　流动负债</w:t>
            </w:r>
          </w:p>
        </w:tc>
      </w:tr>
      <w:tr w:rsidR="00000000" w:rsidTr="00377C85">
        <w:trPr>
          <w:cantSplit/>
          <w:trHeight w:val="300"/>
          <w:jc w:val="center"/>
        </w:trPr>
        <w:tc>
          <w:tcPr>
            <w:tcW w:w="130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本章变动较小</w:t>
            </w:r>
          </w:p>
        </w:tc>
      </w:tr>
      <w:tr w:rsidR="00000000" w:rsidTr="00377C85">
        <w:trPr>
          <w:cantSplit/>
          <w:trHeight w:val="300"/>
          <w:jc w:val="center"/>
        </w:trPr>
        <w:tc>
          <w:tcPr>
            <w:tcW w:w="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新增</w:t>
            </w:r>
          </w:p>
        </w:tc>
        <w:tc>
          <w:tcPr>
            <w:tcW w:w="60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非正常损失的定义以及内容。</w:t>
            </w:r>
          </w:p>
        </w:tc>
      </w:tr>
      <w:tr w:rsidR="00000000" w:rsidTr="00377C85">
        <w:trPr>
          <w:cantSplit/>
          <w:trHeight w:val="300"/>
          <w:jc w:val="center"/>
        </w:trPr>
        <w:tc>
          <w:tcPr>
            <w:tcW w:w="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调整</w:t>
            </w:r>
          </w:p>
        </w:tc>
        <w:tc>
          <w:tcPr>
            <w:tcW w:w="60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）章序由原“第十二章”改为“第十一章”。</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）增值税一般纳税人扣税和记账依据表述微调。</w:t>
            </w:r>
          </w:p>
        </w:tc>
      </w:tr>
      <w:tr w:rsidR="00000000" w:rsidTr="00377C85">
        <w:trPr>
          <w:cantSplit/>
          <w:trHeight w:val="300"/>
          <w:jc w:val="center"/>
        </w:trPr>
        <w:tc>
          <w:tcPr>
            <w:tcW w:w="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删除</w:t>
            </w:r>
          </w:p>
        </w:tc>
        <w:tc>
          <w:tcPr>
            <w:tcW w:w="60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增值税税控系统专用设备和技术维</w:t>
            </w:r>
            <w:r>
              <w:rPr>
                <w:rFonts w:ascii="宋体" w:hAnsi="宋体" w:cs="宋体" w:hint="eastAsia"/>
                <w:color w:val="000000"/>
                <w:sz w:val="21"/>
                <w:szCs w:val="21"/>
              </w:rPr>
              <w:t>护费用抵减增值税额的处理。</w:t>
            </w:r>
          </w:p>
        </w:tc>
      </w:tr>
    </w:tbl>
    <w:p w:rsidR="00000000" w:rsidRDefault="00377C85" w:rsidP="00377C85">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11"/>
        <w:gridCol w:w="8399"/>
      </w:tblGrid>
      <w:tr w:rsidR="00000000" w:rsidTr="00377C85">
        <w:trPr>
          <w:cantSplit/>
          <w:trHeight w:val="300"/>
          <w:tblHeader/>
          <w:jc w:val="center"/>
        </w:trPr>
        <w:tc>
          <w:tcPr>
            <w:tcW w:w="2142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77C85" w:rsidP="00377C8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第十二章　非流动负债</w:t>
            </w:r>
          </w:p>
        </w:tc>
      </w:tr>
      <w:tr w:rsidR="00000000" w:rsidTr="00377C85">
        <w:trPr>
          <w:cantSplit/>
          <w:trHeight w:val="300"/>
          <w:jc w:val="center"/>
        </w:trPr>
        <w:tc>
          <w:tcPr>
            <w:tcW w:w="214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本章变动较大，租赁负债和债务重组的内容移至新增的第十五章，补充和完善了或有事项。</w:t>
            </w:r>
          </w:p>
        </w:tc>
      </w:tr>
      <w:tr w:rsidR="00000000" w:rsidTr="00377C85">
        <w:trPr>
          <w:cantSplit/>
          <w:trHeight w:val="300"/>
          <w:jc w:val="center"/>
        </w:trPr>
        <w:tc>
          <w:tcPr>
            <w:tcW w:w="4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新增</w:t>
            </w:r>
          </w:p>
        </w:tc>
        <w:tc>
          <w:tcPr>
            <w:tcW w:w="10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）或有负债和或有资产的转化和披露的表述。</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）“预计负债的账务处理”中增加“弃置费用”</w:t>
            </w:r>
            <w:r>
              <w:rPr>
                <w:rStyle w:val="font14zd3"/>
                <w:rFonts w:ascii="宋体" w:hAnsi="宋体" w:cs="宋体" w:hint="eastAsia"/>
              </w:rPr>
              <w:t>“非同一控制下企业合并中补偿性资产”。</w:t>
            </w:r>
          </w:p>
        </w:tc>
      </w:tr>
      <w:tr w:rsidR="00000000" w:rsidTr="00377C85">
        <w:trPr>
          <w:cantSplit/>
          <w:trHeight w:val="300"/>
          <w:jc w:val="center"/>
        </w:trPr>
        <w:tc>
          <w:tcPr>
            <w:tcW w:w="4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调整</w:t>
            </w:r>
          </w:p>
        </w:tc>
        <w:tc>
          <w:tcPr>
            <w:tcW w:w="10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章序由原“第十三章”改为“第十二章”，由五节改为四节，原第五节“债务重组的核算”转移到第十五章。</w:t>
            </w:r>
          </w:p>
        </w:tc>
      </w:tr>
    </w:tbl>
    <w:p w:rsidR="00000000" w:rsidRDefault="00377C85" w:rsidP="00377C85">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60"/>
        <w:gridCol w:w="8450"/>
      </w:tblGrid>
      <w:tr w:rsidR="00000000" w:rsidTr="00377C85">
        <w:trPr>
          <w:cantSplit/>
          <w:trHeight w:val="300"/>
          <w:tblHeader/>
          <w:jc w:val="center"/>
        </w:trPr>
        <w:tc>
          <w:tcPr>
            <w:tcW w:w="1092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77C85" w:rsidP="00377C8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第十三章　所有者权益</w:t>
            </w:r>
          </w:p>
        </w:tc>
      </w:tr>
      <w:tr w:rsidR="00000000" w:rsidTr="00377C85">
        <w:trPr>
          <w:cantSplit/>
          <w:trHeight w:val="300"/>
          <w:jc w:val="center"/>
        </w:trPr>
        <w:tc>
          <w:tcPr>
            <w:tcW w:w="109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本章无实质性变化</w:t>
            </w:r>
          </w:p>
        </w:tc>
      </w:tr>
      <w:tr w:rsidR="00000000" w:rsidTr="00377C85">
        <w:trPr>
          <w:cantSplit/>
          <w:trHeight w:val="300"/>
          <w:jc w:val="center"/>
        </w:trPr>
        <w:tc>
          <w:tcPr>
            <w:tcW w:w="2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调整</w:t>
            </w:r>
          </w:p>
        </w:tc>
        <w:tc>
          <w:tcPr>
            <w:tcW w:w="5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章序由原“第十</w:t>
            </w:r>
            <w:r>
              <w:rPr>
                <w:rFonts w:ascii="宋体" w:hAnsi="宋体" w:cs="宋体" w:hint="eastAsia"/>
                <w:color w:val="000000"/>
                <w:sz w:val="21"/>
                <w:szCs w:val="21"/>
              </w:rPr>
              <w:t>四章”改为“第十三章”。</w:t>
            </w:r>
          </w:p>
        </w:tc>
      </w:tr>
      <w:tr w:rsidR="00000000" w:rsidTr="00377C85">
        <w:trPr>
          <w:cantSplit/>
          <w:trHeight w:val="300"/>
          <w:jc w:val="center"/>
        </w:trPr>
        <w:tc>
          <w:tcPr>
            <w:tcW w:w="2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删除</w:t>
            </w:r>
          </w:p>
        </w:tc>
        <w:tc>
          <w:tcPr>
            <w:tcW w:w="5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外商投资企业提取储备基金和企业发展基金的内容。</w:t>
            </w:r>
          </w:p>
        </w:tc>
      </w:tr>
    </w:tbl>
    <w:p w:rsidR="00000000" w:rsidRDefault="00377C85" w:rsidP="00377C85">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60"/>
        <w:gridCol w:w="8450"/>
      </w:tblGrid>
      <w:tr w:rsidR="00000000" w:rsidTr="00377C85">
        <w:trPr>
          <w:cantSplit/>
          <w:trHeight w:val="300"/>
          <w:tblHeader/>
          <w:jc w:val="center"/>
        </w:trPr>
        <w:tc>
          <w:tcPr>
            <w:tcW w:w="1035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77C85" w:rsidP="00377C8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第十四章　收入、费用、利润和产品成本</w:t>
            </w:r>
          </w:p>
        </w:tc>
      </w:tr>
      <w:tr w:rsidR="00000000" w:rsidTr="00377C85">
        <w:trPr>
          <w:cantSplit/>
          <w:trHeight w:val="300"/>
          <w:jc w:val="center"/>
        </w:trPr>
        <w:tc>
          <w:tcPr>
            <w:tcW w:w="103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本章变动较小</w:t>
            </w:r>
          </w:p>
        </w:tc>
      </w:tr>
      <w:tr w:rsidR="00000000" w:rsidTr="00377C85">
        <w:trPr>
          <w:cantSplit/>
          <w:trHeight w:val="300"/>
          <w:jc w:val="center"/>
        </w:trPr>
        <w:tc>
          <w:tcPr>
            <w:tcW w:w="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新增</w:t>
            </w:r>
          </w:p>
        </w:tc>
        <w:tc>
          <w:tcPr>
            <w:tcW w:w="4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合同取得成本相关例题，政府补助相关例题。</w:t>
            </w:r>
          </w:p>
        </w:tc>
      </w:tr>
      <w:tr w:rsidR="00000000" w:rsidTr="00377C85">
        <w:trPr>
          <w:cantSplit/>
          <w:trHeight w:val="300"/>
          <w:jc w:val="center"/>
        </w:trPr>
        <w:tc>
          <w:tcPr>
            <w:tcW w:w="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调整</w:t>
            </w:r>
          </w:p>
        </w:tc>
        <w:tc>
          <w:tcPr>
            <w:tcW w:w="4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）章序由原“第十五章”改为“第十四章”。</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）补充和调整了合同成本相关的表述。</w:t>
            </w:r>
          </w:p>
        </w:tc>
      </w:tr>
    </w:tbl>
    <w:p w:rsidR="00000000" w:rsidRDefault="00377C85" w:rsidP="00377C85">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51"/>
        <w:gridCol w:w="8359"/>
      </w:tblGrid>
      <w:tr w:rsidR="00000000" w:rsidTr="00377C85">
        <w:trPr>
          <w:cantSplit/>
          <w:trHeight w:val="300"/>
          <w:tblHeader/>
          <w:jc w:val="center"/>
        </w:trPr>
        <w:tc>
          <w:tcPr>
            <w:tcW w:w="1872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77C85" w:rsidP="00377C8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第十五章　非货币性资产交换、租赁和债务重组</w:t>
            </w:r>
          </w:p>
        </w:tc>
      </w:tr>
      <w:tr w:rsidR="00000000" w:rsidTr="00377C85">
        <w:trPr>
          <w:cantSplit/>
          <w:trHeight w:val="300"/>
          <w:jc w:val="center"/>
        </w:trPr>
        <w:tc>
          <w:tcPr>
            <w:tcW w:w="187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本章属于新增章节，将</w:t>
            </w:r>
            <w:r>
              <w:rPr>
                <w:rFonts w:ascii="宋体" w:hAnsi="宋体" w:cs="宋体" w:hint="eastAsia"/>
                <w:color w:val="000000"/>
                <w:sz w:val="21"/>
                <w:szCs w:val="21"/>
              </w:rPr>
              <w:t>2025</w:t>
            </w:r>
            <w:r>
              <w:rPr>
                <w:rFonts w:ascii="宋体" w:hAnsi="宋体" w:cs="宋体" w:hint="eastAsia"/>
                <w:color w:val="000000"/>
                <w:sz w:val="21"/>
                <w:szCs w:val="21"/>
              </w:rPr>
              <w:t>年分布在各章节的非货币性资产交换、租赁和债务重组完善后移至本章。</w:t>
            </w:r>
          </w:p>
        </w:tc>
      </w:tr>
      <w:tr w:rsidR="00000000" w:rsidTr="00377C85">
        <w:trPr>
          <w:cantSplit/>
          <w:trHeight w:val="300"/>
          <w:jc w:val="center"/>
        </w:trPr>
        <w:tc>
          <w:tcPr>
            <w:tcW w:w="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新增</w:t>
            </w:r>
          </w:p>
        </w:tc>
        <w:tc>
          <w:tcPr>
            <w:tcW w:w="8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）租</w:t>
            </w:r>
            <w:r>
              <w:rPr>
                <w:rFonts w:ascii="宋体" w:hAnsi="宋体" w:cs="宋体" w:hint="eastAsia"/>
                <w:color w:val="000000"/>
                <w:sz w:val="21"/>
                <w:szCs w:val="21"/>
              </w:rPr>
              <w:t>赁的识别、租赁的分拆和合并。</w:t>
            </w:r>
            <w:r>
              <w:rPr>
                <w:rFonts w:ascii="宋体" w:hAnsi="宋体" w:cs="宋体" w:hint="eastAsia"/>
                <w:color w:val="000000"/>
                <w:sz w:val="21"/>
                <w:szCs w:val="21"/>
              </w:rPr>
              <w:br/>
            </w: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）使用权资产开始计提折旧时点、折旧方法、减值的表述。</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）短期租赁和低价值资产租赁的会计处理。</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）出租人分类为融资租赁的情形和迹象。</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）出租人融资租赁发生变更的条件和会计处理。</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）出租人融资租赁会计处理的例题。</w:t>
            </w:r>
          </w:p>
        </w:tc>
      </w:tr>
      <w:tr w:rsidR="00000000" w:rsidTr="00377C8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）非货币性资产交换的内容重新编写（增加了非货币性资产交换的认定、涉及多项非货币性资产交换的例题）。</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）租赁付款额包括的内容进行细节说明。</w:t>
            </w:r>
          </w:p>
        </w:tc>
      </w:tr>
    </w:tbl>
    <w:p w:rsidR="00000000" w:rsidRDefault="00377C85" w:rsidP="00377C85">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60"/>
        <w:gridCol w:w="8450"/>
      </w:tblGrid>
      <w:tr w:rsidR="00000000" w:rsidTr="00377C85">
        <w:trPr>
          <w:cantSplit/>
          <w:trHeight w:val="300"/>
          <w:tblHeader/>
          <w:jc w:val="center"/>
        </w:trPr>
        <w:tc>
          <w:tcPr>
            <w:tcW w:w="975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77C85" w:rsidP="00377C8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第十六章　所得税</w:t>
            </w:r>
          </w:p>
        </w:tc>
      </w:tr>
      <w:tr w:rsidR="00000000" w:rsidTr="00377C85">
        <w:trPr>
          <w:cantSplit/>
          <w:trHeight w:val="300"/>
          <w:jc w:val="center"/>
        </w:trPr>
        <w:tc>
          <w:tcPr>
            <w:tcW w:w="97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本章变动较小</w:t>
            </w:r>
          </w:p>
        </w:tc>
      </w:tr>
      <w:tr w:rsidR="00000000" w:rsidTr="00377C85">
        <w:trPr>
          <w:cantSplit/>
          <w:trHeight w:val="300"/>
          <w:jc w:val="center"/>
        </w:trPr>
        <w:tc>
          <w:tcPr>
            <w:tcW w:w="2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新增</w:t>
            </w:r>
          </w:p>
        </w:tc>
        <w:tc>
          <w:tcPr>
            <w:tcW w:w="4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长期股权投资计税基</w:t>
            </w:r>
            <w:r>
              <w:rPr>
                <w:rFonts w:ascii="宋体" w:hAnsi="宋体" w:cs="宋体" w:hint="eastAsia"/>
                <w:color w:val="000000"/>
                <w:sz w:val="21"/>
                <w:szCs w:val="21"/>
              </w:rPr>
              <w:t>础及暂时性差异的分析。</w:t>
            </w:r>
          </w:p>
        </w:tc>
      </w:tr>
    </w:tbl>
    <w:p w:rsidR="00000000" w:rsidRDefault="00377C85" w:rsidP="00377C85">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07"/>
        <w:gridCol w:w="8403"/>
      </w:tblGrid>
      <w:tr w:rsidR="00000000" w:rsidTr="00377C85">
        <w:trPr>
          <w:cantSplit/>
          <w:trHeight w:val="300"/>
          <w:tblHeader/>
          <w:jc w:val="center"/>
        </w:trPr>
        <w:tc>
          <w:tcPr>
            <w:tcW w:w="2577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77C85" w:rsidP="00377C8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第十七章　会计调整</w:t>
            </w:r>
          </w:p>
        </w:tc>
      </w:tr>
      <w:tr w:rsidR="00000000" w:rsidTr="00377C85">
        <w:trPr>
          <w:cantSplit/>
          <w:trHeight w:val="300"/>
          <w:jc w:val="center"/>
        </w:trPr>
        <w:tc>
          <w:tcPr>
            <w:tcW w:w="257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本章变动较小。</w:t>
            </w:r>
          </w:p>
        </w:tc>
      </w:tr>
      <w:tr w:rsidR="00000000" w:rsidTr="00377C85">
        <w:trPr>
          <w:cantSplit/>
          <w:trHeight w:val="300"/>
          <w:jc w:val="center"/>
        </w:trPr>
        <w:tc>
          <w:tcPr>
            <w:tcW w:w="50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新增</w:t>
            </w:r>
          </w:p>
        </w:tc>
        <w:tc>
          <w:tcPr>
            <w:tcW w:w="1228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资产负债表所属期间或以前期间所售商品在资产负债表曰后退回的，企业应当根据相关事实和情况综合判断其是否应作为资产负债表日后调整事项处理。例如，由于资产负债表曰后</w:t>
            </w:r>
            <w:r>
              <w:rPr>
                <w:rStyle w:val="font14zd3"/>
                <w:rFonts w:ascii="宋体" w:hAnsi="宋体" w:cs="宋体" w:hint="eastAsia"/>
              </w:rPr>
              <w:t>外汇汇率</w:t>
            </w:r>
            <w:r>
              <w:rPr>
                <w:rFonts w:ascii="宋体" w:hAnsi="宋体" w:cs="宋体" w:hint="eastAsia"/>
                <w:color w:val="000000"/>
                <w:sz w:val="21"/>
                <w:szCs w:val="21"/>
              </w:rPr>
              <w:t>突然发生此前不可预期的重大变化，导致出口产品的</w:t>
            </w:r>
            <w:r>
              <w:rPr>
                <w:rStyle w:val="font14zd3"/>
                <w:rFonts w:ascii="宋体" w:hAnsi="宋体" w:cs="宋体" w:hint="eastAsia"/>
              </w:rPr>
              <w:t>退回比例大幅高于</w:t>
            </w:r>
            <w:r>
              <w:rPr>
                <w:rFonts w:ascii="宋体" w:hAnsi="宋体" w:cs="宋体" w:hint="eastAsia"/>
                <w:color w:val="000000"/>
                <w:sz w:val="21"/>
                <w:szCs w:val="21"/>
              </w:rPr>
              <w:t>在资产负债表日合理估计的退回比例，可能属于资产负债表日后</w:t>
            </w:r>
            <w:r>
              <w:rPr>
                <w:rStyle w:val="font14zd3"/>
                <w:rFonts w:ascii="宋体" w:hAnsi="宋体" w:cs="宋体" w:hint="eastAsia"/>
              </w:rPr>
              <w:t>非调整</w:t>
            </w:r>
            <w:r>
              <w:rPr>
                <w:rFonts w:ascii="宋体" w:hAnsi="宋体" w:cs="宋体" w:hint="eastAsia"/>
                <w:color w:val="000000"/>
                <w:sz w:val="21"/>
                <w:szCs w:val="21"/>
              </w:rPr>
              <w:t>事项。</w:t>
            </w:r>
          </w:p>
        </w:tc>
      </w:tr>
    </w:tbl>
    <w:p w:rsidR="00000000" w:rsidRDefault="00377C85" w:rsidP="00377C85">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29"/>
        <w:gridCol w:w="8381"/>
      </w:tblGrid>
      <w:tr w:rsidR="00000000" w:rsidTr="00377C85">
        <w:trPr>
          <w:cantSplit/>
          <w:trHeight w:val="300"/>
          <w:tblHeader/>
          <w:jc w:val="center"/>
        </w:trPr>
        <w:tc>
          <w:tcPr>
            <w:tcW w:w="2577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77C85" w:rsidP="00377C8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第十八章　财务报告</w:t>
            </w:r>
          </w:p>
        </w:tc>
      </w:tr>
      <w:tr w:rsidR="00000000" w:rsidTr="00377C85">
        <w:trPr>
          <w:cantSplit/>
          <w:trHeight w:val="300"/>
          <w:jc w:val="center"/>
        </w:trPr>
        <w:tc>
          <w:tcPr>
            <w:tcW w:w="257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本章变动较小</w:t>
            </w:r>
          </w:p>
        </w:tc>
      </w:tr>
      <w:tr w:rsidR="00000000" w:rsidTr="00377C85">
        <w:trPr>
          <w:cantSplit/>
          <w:trHeight w:val="300"/>
          <w:jc w:val="center"/>
        </w:trPr>
        <w:tc>
          <w:tcPr>
            <w:tcW w:w="58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调整</w:t>
            </w:r>
          </w:p>
        </w:tc>
        <w:tc>
          <w:tcPr>
            <w:tcW w:w="1221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）“收到的税费返还”“收到其他与经营</w:t>
            </w:r>
            <w:r>
              <w:rPr>
                <w:rFonts w:ascii="宋体" w:hAnsi="宋体" w:cs="宋体" w:hint="eastAsia"/>
                <w:color w:val="000000"/>
                <w:sz w:val="21"/>
                <w:szCs w:val="21"/>
              </w:rPr>
              <w:t>活动有关的现金”“购买商品、接受劳务支付的现金”“支付的各项税费”均有细节完善。</w:t>
            </w:r>
            <w:r>
              <w:rPr>
                <w:rFonts w:ascii="宋体" w:hAnsi="宋体" w:cs="宋体" w:hint="eastAsia"/>
                <w:color w:val="000000"/>
                <w:sz w:val="21"/>
                <w:szCs w:val="21"/>
              </w:rPr>
              <w:br/>
            </w:r>
            <w:r>
              <w:rPr>
                <w:rFonts w:ascii="宋体" w:hAnsi="宋体" w:cs="宋体" w:hint="eastAsia"/>
                <w:color w:val="000000"/>
                <w:sz w:val="21"/>
                <w:szCs w:val="21"/>
              </w:rPr>
              <w:t>①将收到的增值税期末留抵退税款项有关现金流量在本项目中反映；缴回并继续按规定抵扣进项税额的增值税期末留抵退税款项有关现金流量应当在“支付的各项税费”项目中反映。</w:t>
            </w:r>
            <w:r>
              <w:rPr>
                <w:rFonts w:ascii="宋体" w:hAnsi="宋体" w:cs="宋体" w:hint="eastAsia"/>
                <w:color w:val="000000"/>
                <w:sz w:val="21"/>
                <w:szCs w:val="21"/>
              </w:rPr>
              <w:br/>
            </w:r>
            <w:r>
              <w:rPr>
                <w:rFonts w:ascii="宋体" w:hAnsi="宋体" w:cs="宋体" w:hint="eastAsia"/>
                <w:color w:val="000000"/>
                <w:sz w:val="21"/>
                <w:szCs w:val="21"/>
              </w:rPr>
              <w:t>②例如，出租人经营租赁固定资产收到的现金、投资性房地产收到的租金收入、流动资产损失中由个人赔偿的现金收入，除税费返还外的其他政府补助、罚款收入等。</w:t>
            </w:r>
            <w:r>
              <w:rPr>
                <w:rFonts w:ascii="宋体" w:hAnsi="宋体" w:cs="宋体" w:hint="eastAsia"/>
                <w:color w:val="000000"/>
                <w:sz w:val="21"/>
                <w:szCs w:val="21"/>
              </w:rPr>
              <w:br/>
            </w:r>
            <w:r>
              <w:rPr>
                <w:rStyle w:val="font14zd3"/>
                <w:rFonts w:ascii="宋体" w:hAnsi="宋体" w:cs="宋体" w:hint="eastAsia"/>
              </w:rPr>
              <w:t>③为购置存货而发生的借款利息资本化部分，应在“分配股利、利润或偿付利息支付的现金”项目中反映。</w:t>
            </w:r>
            <w:r>
              <w:rPr>
                <w:rFonts w:ascii="宋体" w:hAnsi="宋体" w:cs="宋体" w:hint="eastAsia"/>
                <w:color w:val="000000"/>
                <w:sz w:val="21"/>
                <w:szCs w:val="21"/>
              </w:rPr>
              <w:br/>
            </w:r>
            <w:r>
              <w:rPr>
                <w:rFonts w:ascii="宋体" w:hAnsi="宋体" w:cs="宋体" w:hint="eastAsia"/>
                <w:color w:val="000000"/>
                <w:sz w:val="21"/>
                <w:szCs w:val="21"/>
              </w:rPr>
              <w:t>④不包括本期退回的增值税</w:t>
            </w:r>
            <w:r>
              <w:rPr>
                <w:rFonts w:ascii="宋体" w:hAnsi="宋体" w:cs="宋体" w:hint="eastAsia"/>
                <w:color w:val="000000"/>
                <w:sz w:val="21"/>
                <w:szCs w:val="21"/>
              </w:rPr>
              <w:t>、所得税等。本期退回的增值税、所得税等，在“收到的税费返还”项目自中反映。</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）现金流量表补充资料的编制。</w:t>
            </w:r>
          </w:p>
        </w:tc>
      </w:tr>
    </w:tbl>
    <w:p w:rsidR="00000000" w:rsidRDefault="00377C85" w:rsidP="00377C85">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377C8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377C85" w:rsidP="00377C8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第十九章　企业破产清算会计</w:t>
            </w:r>
          </w:p>
        </w:tc>
      </w:tr>
      <w:tr w:rsidR="00000000" w:rsidTr="00377C8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377C85" w:rsidP="00377C8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本章无实质性变化</w:t>
            </w:r>
          </w:p>
        </w:tc>
      </w:tr>
    </w:tbl>
    <w:p w:rsidR="00000000" w:rsidRDefault="00377C85" w:rsidP="00377C85">
      <w:pPr>
        <w:spacing w:line="276" w:lineRule="auto"/>
        <w:textAlignment w:val="center"/>
        <w:rPr>
          <w:rFonts w:ascii="宋体" w:hAnsi="宋体" w:cs="宋体" w:hint="eastAsia"/>
          <w:color w:val="000000"/>
          <w:sz w:val="21"/>
          <w:szCs w:val="21"/>
        </w:rPr>
      </w:pPr>
    </w:p>
    <w:sectPr w:rsidR="00000000">
      <w:headerReference w:type="default" r:id="rId6"/>
      <w:footerReference w:type="default" r:id="rId7"/>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377C85">
      <w:pPr>
        <w:rPr>
          <w:color w:val="000000"/>
        </w:rPr>
      </w:pPr>
      <w:r>
        <w:rPr>
          <w:color w:val="000000"/>
        </w:rPr>
        <w:separator/>
      </w:r>
    </w:p>
  </w:endnote>
  <w:endnote w:type="continuationSeparator" w:id="1">
    <w:p w:rsidR="00000000" w:rsidRDefault="00377C85">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377C85">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1"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#Time#:1781144380794#Type#:file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377C85">
      <w:pPr>
        <w:rPr>
          <w:color w:val="000000"/>
        </w:rPr>
      </w:pPr>
      <w:r>
        <w:rPr>
          <w:color w:val="000000"/>
        </w:rPr>
        <w:separator/>
      </w:r>
    </w:p>
  </w:footnote>
  <w:footnote w:type="continuationSeparator" w:id="1">
    <w:p w:rsidR="00000000" w:rsidRDefault="00377C85">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377C85" w:rsidP="00377C85">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税务师《财务与会计》　　　　　　　　　　　　　　　　　　　　　　　　　　　　　　　　　前</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言</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377C85"/>
    <w:rsid w:val="00377C8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divs>
    <w:div w:id="63232240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oter1.xml" Type="http://schemas.openxmlformats.org/officeDocument/2006/relationships/footer"/><Relationship Id="rId8" Target="fontTable.xml" Type="http://schemas.openxmlformats.org/officeDocument/2006/relationships/fontTable"/><Relationship Id="rId9" Target="theme/theme1.xml" Type="http://schemas.openxmlformats.org/officeDocument/2006/relationships/theme"/></Relationships>
</file>

<file path=word/_rels/footer1.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939</Words>
  <Characters>5353</Characters>
  <Application>Microsoft Office Word</Application>
  <DocSecurity>4</DocSecurity>
  <Lines>44</Lines>
  <Paragraphs>12</Paragraphs>
  <ScaleCrop>false</ScaleCrop>
  <Company/>
  <LinksUpToDate>false</LinksUpToDate>
  <CharactersWithSpaces>6280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2026-06-02T07:35:00Z</dcterms:created>
  <dc:creator>CDEL</dc:creator>
  <cp:lastModifiedBy>Windows 用户</cp:lastModifiedBy>
  <dcterms:modified xsi:type="dcterms:W3CDTF">2026-06-02T07:35:00Z</dcterms:modified>
  <cp:revision>2</cp:revision>
</cp:coreProperties>
</file>