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F0CD7" w:rsidP="009F0CD7">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第七章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财务会计概论</w:t>
      </w:r>
    </w:p>
    <w:p w:rsidR="00000000" w:rsidRDefault="009F0CD7" w:rsidP="009F0CD7">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财务报告目标、会计基本假设和会计基础</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考情速递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本章作为会计基本理论范畴，介绍了《企业会计准则——基本准则》的相关内容，是后续章节学习的重要基础，通常与后续具体业务章节内容结合出题，需</w:t>
      </w:r>
      <w:r>
        <w:rPr>
          <w:rStyle w:val="font14zd2"/>
          <w:rFonts w:ascii="宋体" w:hAnsi="宋体" w:hint="eastAsia"/>
        </w:rPr>
        <w:t>重点关注</w:t>
      </w:r>
      <w:r>
        <w:rPr>
          <w:rFonts w:ascii="宋体" w:hAnsi="宋体" w:hint="eastAsia"/>
          <w:color w:val="000000"/>
          <w:sz w:val="21"/>
          <w:szCs w:val="21"/>
        </w:rPr>
        <w:t>财务会计信息质量要求，考试题型为单选题和多选题。初学者第一轮学习时难度较大，需要与后续章节内容结合进行理解，历年分值</w:t>
      </w:r>
      <w:r>
        <w:rPr>
          <w:rFonts w:ascii="宋体" w:hAnsi="宋体" w:hint="eastAsia"/>
          <w:color w:val="000000"/>
          <w:sz w:val="21"/>
          <w:szCs w:val="21"/>
        </w:rPr>
        <w:t>2-3</w:t>
      </w:r>
      <w:r>
        <w:rPr>
          <w:rFonts w:ascii="宋体" w:hAnsi="宋体" w:hint="eastAsia"/>
          <w:color w:val="000000"/>
          <w:sz w:val="21"/>
          <w:szCs w:val="21"/>
        </w:rPr>
        <w:t>分，本章属于</w:t>
      </w:r>
      <w:r>
        <w:rPr>
          <w:rStyle w:val="font14zd2"/>
          <w:rFonts w:ascii="宋体" w:hAnsi="宋体" w:hint="eastAsia"/>
        </w:rPr>
        <w:t>非重点</w:t>
      </w:r>
      <w:r>
        <w:rPr>
          <w:rFonts w:ascii="宋体" w:hAnsi="宋体" w:hint="eastAsia"/>
          <w:color w:val="000000"/>
          <w:sz w:val="21"/>
          <w:szCs w:val="21"/>
        </w:rPr>
        <w:t>章节。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考试变化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本章无实质性变化。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内容框架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114800" cy="1333500"/>
            <wp:effectExtent l="0" t="0" r="0" b="0"/>
            <wp:docPr id="1" name="图片_x002089268d7c-1a58-4565-8b99-0d0e6b70a79b" descr="84d18cb6-6b80-47a6-b05e-7382f82fb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9268d7c-1a58-4565-8b99-0d0e6b70a79b" descr="84d18cb6-6b80-47a6-b05e-7382f82fbacf"/>
                    <pic:cNvPicPr>
                      <a:picLocks noChangeAspect="1" noChangeArrowheads="1"/>
                    </pic:cNvPicPr>
                  </pic:nvPicPr>
                  <pic:blipFill>
                    <a:blip r:embed="rId6"/>
                    <a:srcRect/>
                    <a:stretch>
                      <a:fillRect/>
                    </a:stretch>
                  </pic:blipFill>
                  <pic:spPr bwMode="auto">
                    <a:xfrm>
                      <a:off x="0" y="0"/>
                      <a:ext cx="4114800" cy="1333500"/>
                    </a:xfrm>
                    <a:prstGeom prst="rect">
                      <a:avLst/>
                    </a:prstGeom>
                    <a:noFill/>
                    <a:ln w="9525">
                      <a:noFill/>
                      <a:miter lim="800000"/>
                      <a:headEnd/>
                      <a:tailEnd/>
                    </a:ln>
                  </pic:spPr>
                </pic:pic>
              </a:graphicData>
            </a:graphic>
          </wp:inline>
        </w:drawing>
      </w:r>
      <w:r>
        <w:rPr>
          <w:rFonts w:ascii="宋体" w:hAnsi="宋体" w:hint="eastAsia"/>
          <w:color w:val="000000"/>
          <w:sz w:val="21"/>
          <w:szCs w:val="21"/>
        </w:rPr>
        <w:br/>
      </w:r>
    </w:p>
    <w:p w:rsidR="00000000" w:rsidRDefault="009F0CD7" w:rsidP="009F0CD7">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第一节　财务报告目标、会计基本假设和会计基础</w:t>
      </w:r>
      <w:r>
        <w:rPr>
          <w:rFonts w:ascii="宋体" w:hAnsi="宋体" w:cs="宋体" w:hint="eastAsia"/>
          <w:color w:val="000000"/>
          <w:sz w:val="21"/>
          <w:szCs w:val="21"/>
        </w:rPr>
        <w:t xml:space="preserve"> </w:t>
      </w:r>
    </w:p>
    <w:p w:rsidR="00000000" w:rsidRDefault="009F0CD7" w:rsidP="009F0CD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考点一：财务报告的目标、会计基本假设和会计基础★</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（一）财务报告的目标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43225" cy="2571750"/>
            <wp:effectExtent l="0" t="0" r="9525" b="0"/>
            <wp:docPr id="2" name="图片_x0020be5b47cd-18c8-4346-949e-5f2ed30e9588" descr="298cd738-2c86-4acc-9086-a19f0819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e5b47cd-18c8-4346-949e-5f2ed30e9588" descr="298cd738-2c86-4acc-9086-a19f08194087"/>
                    <pic:cNvPicPr>
                      <a:picLocks noChangeAspect="1" noChangeArrowheads="1"/>
                    </pic:cNvPicPr>
                  </pic:nvPicPr>
                  <pic:blipFill>
                    <a:blip r:embed="rId7"/>
                    <a:srcRect/>
                    <a:stretch>
                      <a:fillRect/>
                    </a:stretch>
                  </pic:blipFill>
                  <pic:spPr bwMode="auto">
                    <a:xfrm>
                      <a:off x="0" y="0"/>
                      <a:ext cx="2943225" cy="2571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受托责任观：</w:t>
      </w:r>
      <w:r>
        <w:rPr>
          <w:rFonts w:ascii="宋体" w:hAnsi="宋体" w:cs="宋体" w:hint="eastAsia"/>
          <w:color w:val="000000"/>
          <w:sz w:val="21"/>
          <w:szCs w:val="21"/>
        </w:rPr>
        <w:t>解脱管理层受托责任的履行情况。</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9F0CD7" w:rsidP="009F0CD7">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t>多层次资本市场体系</w:t>
      </w:r>
      <w:r>
        <w:rPr>
          <w:rFonts w:ascii="宋体" w:hAnsi="宋体" w:cs="宋体" w:hint="eastAsia"/>
          <w:color w:val="000000"/>
          <w:sz w:val="21"/>
          <w:szCs w:val="21"/>
        </w:rPr>
        <w:t xml:space="preserve"> </w:t>
      </w:r>
    </w:p>
    <w:p w:rsidR="00000000" w:rsidRDefault="009F0CD7" w:rsidP="009F0CD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038725" cy="2828925"/>
            <wp:effectExtent l="0" t="0" r="0" b="0"/>
            <wp:docPr id="3" name="图片_x00208b86913b-30d3-41f3-8114-8878da4905f9" descr="d8869434-8884-4fe4-98d6-b2c95271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b86913b-30d3-41f3-8114-8878da4905f9" descr="d8869434-8884-4fe4-98d6-b2c952717140"/>
                    <pic:cNvPicPr>
                      <a:picLocks noChangeAspect="1" noChangeArrowheads="1"/>
                    </pic:cNvPicPr>
                  </pic:nvPicPr>
                  <pic:blipFill>
                    <a:blip r:embed="rId8"/>
                    <a:srcRect/>
                    <a:stretch>
                      <a:fillRect/>
                    </a:stretch>
                  </pic:blipFill>
                  <pic:spPr bwMode="auto">
                    <a:xfrm>
                      <a:off x="0" y="0"/>
                      <a:ext cx="5038725" cy="2828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决策有用观：向财务报告使用者提供决策有用的会计信息。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财务报告的目标是向财务报告使用者提供与企业财务状况、经营成果和现金流量等有关的会计信息，反映企业管理层</w:t>
      </w:r>
      <w:r>
        <w:rPr>
          <w:rStyle w:val="font14zd2"/>
          <w:rFonts w:ascii="宋体" w:hAnsi="宋体" w:cs="宋体" w:hint="eastAsia"/>
        </w:rPr>
        <w:t>受托责任</w:t>
      </w:r>
      <w:r>
        <w:rPr>
          <w:rFonts w:ascii="宋体" w:hAnsi="宋体" w:cs="宋体" w:hint="eastAsia"/>
          <w:color w:val="000000"/>
          <w:sz w:val="21"/>
          <w:szCs w:val="21"/>
        </w:rPr>
        <w:t>履行情况，有助于财务会计报告使用者作出</w:t>
      </w:r>
      <w:r>
        <w:rPr>
          <w:rStyle w:val="font14zd2"/>
          <w:rFonts w:ascii="宋体" w:hAnsi="宋体" w:cs="宋体" w:hint="eastAsia"/>
        </w:rPr>
        <w:t>经济决策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（二）会计基本假设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会计主体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会计主体是指会计为之服务的特定单位，会计</w:t>
      </w:r>
      <w:r>
        <w:rPr>
          <w:rFonts w:ascii="宋体" w:hAnsi="宋体" w:cs="宋体" w:hint="eastAsia"/>
          <w:color w:val="000000"/>
          <w:sz w:val="21"/>
          <w:szCs w:val="21"/>
        </w:rPr>
        <w:t>主体规定了会计核算的</w:t>
      </w:r>
      <w:r>
        <w:rPr>
          <w:rStyle w:val="font14zd2"/>
          <w:rFonts w:ascii="宋体" w:hAnsi="宋体" w:cs="宋体" w:hint="eastAsia"/>
        </w:rPr>
        <w:t>空间范围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一般来说，法律主体就是会计主体，但</w:t>
      </w:r>
      <w:r>
        <w:rPr>
          <w:rStyle w:val="font14zd2"/>
          <w:rFonts w:ascii="宋体" w:hAnsi="宋体" w:cs="宋体" w:hint="eastAsia"/>
        </w:rPr>
        <w:t>会计主体不一定是法律主体</w:t>
      </w:r>
      <w:r>
        <w:rPr>
          <w:rFonts w:ascii="宋体" w:hAnsi="宋体" w:cs="宋体" w:hint="eastAsia"/>
          <w:color w:val="000000"/>
          <w:sz w:val="21"/>
          <w:szCs w:val="21"/>
        </w:rPr>
        <w:t>，例如企业内部相对独立的核算单位，由多个企业法人组成的企业集团，由企业管理的证券投资基金、企业年金基金等。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为谁核算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持续经营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76625" cy="361950"/>
            <wp:effectExtent l="0" t="0" r="0" b="0"/>
            <wp:docPr id="4" name="图片_x00204e40de42-292c-439c-8ac9-3098756a7654" descr="6d070ff9-2a23-47e3-9843-8ee626d6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e40de42-292c-439c-8ac9-3098756a7654" descr="6d070ff9-2a23-47e3-9843-8ee626d65230"/>
                    <pic:cNvPicPr>
                      <a:picLocks noChangeAspect="1" noChangeArrowheads="1"/>
                    </pic:cNvPicPr>
                  </pic:nvPicPr>
                  <pic:blipFill>
                    <a:blip r:embed="rId9"/>
                    <a:srcRect/>
                    <a:stretch>
                      <a:fillRect/>
                    </a:stretch>
                  </pic:blipFill>
                  <pic:spPr bwMode="auto">
                    <a:xfrm>
                      <a:off x="0" y="0"/>
                      <a:ext cx="3476625" cy="361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持续经营是指企业会计确认、计量和报告应当以企业持续、正常的生产经营活动为前提，假设在可以预见的未来，企业的经营活动将以</w:t>
      </w:r>
      <w:r>
        <w:rPr>
          <w:rStyle w:val="font14zd2"/>
          <w:rFonts w:ascii="宋体" w:hAnsi="宋体" w:cs="宋体" w:hint="eastAsia"/>
        </w:rPr>
        <w:t>既定的</w:t>
      </w:r>
      <w:r>
        <w:rPr>
          <w:rFonts w:ascii="宋体" w:hAnsi="宋体" w:cs="宋体" w:hint="eastAsia"/>
          <w:color w:val="000000"/>
          <w:sz w:val="21"/>
          <w:szCs w:val="21"/>
        </w:rPr>
        <w:t>经营方针和目标继续经营下去，而</w:t>
      </w:r>
      <w:r>
        <w:rPr>
          <w:rStyle w:val="font14zd2"/>
          <w:rFonts w:ascii="宋体" w:hAnsi="宋体" w:cs="宋体" w:hint="eastAsia"/>
        </w:rPr>
        <w:t>不会面临破产清算。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会计分期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52800" cy="638175"/>
            <wp:effectExtent l="0" t="0" r="0" b="0"/>
            <wp:docPr id="5" name="图片_x00204c5eedbb-a975-4640-97ea-0c011dac3c62" descr="5dfaa397-a882-4230-b63f-3e3eab31d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c5eedbb-a975-4640-97ea-0c011dac3c62" descr="5dfaa397-a882-4230-b63f-3e3eab31d50f"/>
                    <pic:cNvPicPr>
                      <a:picLocks noChangeAspect="1" noChangeArrowheads="1"/>
                    </pic:cNvPicPr>
                  </pic:nvPicPr>
                  <pic:blipFill>
                    <a:blip r:embed="rId10"/>
                    <a:srcRect/>
                    <a:stretch>
                      <a:fillRect/>
                    </a:stretch>
                  </pic:blipFill>
                  <pic:spPr bwMode="auto">
                    <a:xfrm>
                      <a:off x="0" y="0"/>
                      <a:ext cx="3352800" cy="638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会计分期是指在企业持续不断的经营过程中，人为地</w:t>
      </w:r>
      <w:r>
        <w:rPr>
          <w:rFonts w:ascii="宋体" w:hAnsi="宋体" w:cs="宋体" w:hint="eastAsia"/>
          <w:color w:val="000000"/>
          <w:sz w:val="21"/>
          <w:szCs w:val="21"/>
        </w:rPr>
        <w:t>将其划分为一个个</w:t>
      </w:r>
      <w:r>
        <w:rPr>
          <w:rStyle w:val="font14zd2"/>
          <w:rFonts w:ascii="宋体" w:hAnsi="宋体" w:cs="宋体" w:hint="eastAsia"/>
        </w:rPr>
        <w:t>间距相等、首尾相接</w:t>
      </w:r>
      <w:r>
        <w:rPr>
          <w:rFonts w:ascii="宋体" w:hAnsi="宋体" w:cs="宋体" w:hint="eastAsia"/>
          <w:color w:val="000000"/>
          <w:sz w:val="21"/>
          <w:szCs w:val="21"/>
        </w:rPr>
        <w:t>的会计期间，以便确定每一个会计期间的收入、费用和盈亏，期初、期末的资产、负债和所有者权益金额，并据以</w:t>
      </w:r>
      <w:r>
        <w:rPr>
          <w:rStyle w:val="font14zd2"/>
          <w:rFonts w:ascii="宋体" w:hAnsi="宋体" w:cs="宋体" w:hint="eastAsia"/>
        </w:rPr>
        <w:t>结算账目和编制财务报表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会计主体规定了会计核算的</w:t>
      </w:r>
      <w:r>
        <w:rPr>
          <w:rStyle w:val="font14zd2"/>
          <w:rFonts w:ascii="宋体" w:hAnsi="宋体" w:cs="宋体" w:hint="eastAsia"/>
        </w:rPr>
        <w:t>空间范围，</w:t>
      </w:r>
      <w:r>
        <w:rPr>
          <w:rFonts w:ascii="宋体" w:hAnsi="宋体" w:cs="宋体" w:hint="eastAsia"/>
          <w:color w:val="000000"/>
          <w:sz w:val="21"/>
          <w:szCs w:val="21"/>
        </w:rPr>
        <w:t>会计分期规定了会计核算的</w:t>
      </w:r>
      <w:r>
        <w:rPr>
          <w:rStyle w:val="font14zd2"/>
          <w:rFonts w:ascii="宋体" w:hAnsi="宋体" w:cs="宋体" w:hint="eastAsia"/>
        </w:rPr>
        <w:t>时间范围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货币计量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企业会计应当以货币进行计量。以货币形式来反映企业经营活动的全过程，并假设币值基本保持不变。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）记账本位币的选择。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记账本位币是指企业经营所处的</w:t>
      </w:r>
      <w:r>
        <w:rPr>
          <w:rStyle w:val="font14zd2"/>
          <w:rFonts w:ascii="宋体" w:hAnsi="宋体" w:cs="宋体" w:hint="eastAsia"/>
        </w:rPr>
        <w:t>主要经济环境</w:t>
      </w:r>
      <w:r>
        <w:rPr>
          <w:rFonts w:ascii="宋体" w:hAnsi="宋体" w:cs="宋体" w:hint="eastAsia"/>
          <w:color w:val="000000"/>
          <w:sz w:val="21"/>
          <w:szCs w:val="21"/>
        </w:rPr>
        <w:t>中的货币。我国企业通常应选择人民币作为记账本</w:t>
      </w:r>
      <w:r>
        <w:rPr>
          <w:rFonts w:ascii="宋体" w:hAnsi="宋体" w:cs="宋体" w:hint="eastAsia"/>
          <w:color w:val="000000"/>
          <w:sz w:val="21"/>
          <w:szCs w:val="21"/>
        </w:rPr>
        <w:t>位币，业务收支以人民币以外的货币为主的企业，可以选定其中一种货币作为记账本位币，但是，编报的财务报</w:t>
      </w:r>
      <w:r>
        <w:rPr>
          <w:rFonts w:ascii="宋体" w:hAnsi="宋体" w:cs="宋体" w:hint="eastAsia"/>
          <w:color w:val="000000"/>
          <w:sz w:val="21"/>
          <w:szCs w:val="21"/>
        </w:rPr>
        <w:lastRenderedPageBreak/>
        <w:t>表应当折算为人民币。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企业选定记账本位币时应当</w:t>
      </w:r>
      <w:r>
        <w:rPr>
          <w:rStyle w:val="font14zd2"/>
          <w:rFonts w:ascii="宋体" w:hAnsi="宋体" w:cs="宋体" w:hint="eastAsia"/>
        </w:rPr>
        <w:t>考虑下列因素：</w:t>
      </w:r>
      <w:r>
        <w:rPr>
          <w:rStyle w:val="font14zd2"/>
          <w:rFonts w:ascii="宋体" w:hAnsi="宋体" w:cs="宋体" w:hint="eastAsia"/>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69"/>
        <w:gridCol w:w="7041"/>
      </w:tblGrid>
      <w:tr w:rsidR="00000000" w:rsidTr="009F0CD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考虑因素</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记账本位币</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收入角度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主要影响商品和劳务销售价格的货币</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支出角度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主要影响商品和劳务所需人工、材料和其他费用的货币</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融资及保存资金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融资活动获得的货币以及保存从经营活动中收取款项时所使用的货币</w:t>
            </w:r>
          </w:p>
        </w:tc>
      </w:tr>
    </w:tbl>
    <w:p w:rsidR="00000000" w:rsidRDefault="009F0CD7" w:rsidP="009F0CD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如果企业存在</w:t>
      </w:r>
      <w:r>
        <w:rPr>
          <w:rStyle w:val="font14zd2"/>
          <w:rFonts w:ascii="宋体" w:hAnsi="宋体" w:cs="宋体" w:hint="eastAsia"/>
        </w:rPr>
        <w:t>境外经营，</w:t>
      </w:r>
      <w:r>
        <w:rPr>
          <w:rFonts w:ascii="宋体" w:hAnsi="宋体" w:cs="宋体" w:hint="eastAsia"/>
          <w:color w:val="000000"/>
          <w:sz w:val="21"/>
          <w:szCs w:val="21"/>
        </w:rPr>
        <w:t>即通过在境外设立子公司、合营企业、联营企业、分支机构开展经营活动，企业在</w:t>
      </w:r>
      <w:r>
        <w:rPr>
          <w:rFonts w:ascii="宋体" w:hAnsi="宋体" w:cs="宋体" w:hint="eastAsia"/>
          <w:color w:val="000000"/>
          <w:sz w:val="21"/>
          <w:szCs w:val="21"/>
        </w:rPr>
        <w:t>选定境外经营的记账本位币时，还应当考虑下列因素：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95750" cy="2009775"/>
            <wp:effectExtent l="0" t="0" r="0" b="0"/>
            <wp:docPr id="6" name="图片_x0020bd562fea-0120-42c2-9f5e-7fda8ce1c474" descr="610cec0f-0d90-4375-b243-2e162f8f51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d562fea-0120-42c2-9f5e-7fda8ce1c474" descr="610cec0f-0d90-4375-b243-2e162f8f51b5"/>
                    <pic:cNvPicPr>
                      <a:picLocks noChangeAspect="1" noChangeArrowheads="1"/>
                    </pic:cNvPicPr>
                  </pic:nvPicPr>
                  <pic:blipFill>
                    <a:blip r:embed="rId11"/>
                    <a:srcRect/>
                    <a:stretch>
                      <a:fillRect/>
                    </a:stretch>
                  </pic:blipFill>
                  <pic:spPr bwMode="auto">
                    <a:xfrm>
                      <a:off x="0" y="0"/>
                      <a:ext cx="4095750" cy="2009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企业记账本位币一经确定，不得随意变更，除非企业经营所处的主要经济环境发生重大变化。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企业因经营所处的主要经济环境发生重大变化，确需变更记账本位币时，应当采用</w:t>
      </w:r>
      <w:r>
        <w:rPr>
          <w:rStyle w:val="font14zd2"/>
          <w:rFonts w:ascii="宋体" w:hAnsi="宋体" w:cs="宋体" w:hint="eastAsia"/>
        </w:rPr>
        <w:t>变更当日的即期汇率</w:t>
      </w:r>
      <w:r>
        <w:rPr>
          <w:rFonts w:ascii="宋体" w:hAnsi="宋体" w:cs="宋体" w:hint="eastAsia"/>
          <w:color w:val="000000"/>
          <w:sz w:val="21"/>
          <w:szCs w:val="21"/>
        </w:rPr>
        <w:t>将</w:t>
      </w:r>
      <w:r>
        <w:rPr>
          <w:rStyle w:val="font14zd2"/>
          <w:rFonts w:ascii="宋体" w:hAnsi="宋体" w:cs="宋体" w:hint="eastAsia"/>
        </w:rPr>
        <w:t>所有项目</w:t>
      </w:r>
      <w:r>
        <w:rPr>
          <w:rFonts w:ascii="宋体" w:hAnsi="宋体" w:cs="宋体" w:hint="eastAsia"/>
          <w:color w:val="000000"/>
          <w:sz w:val="21"/>
          <w:szCs w:val="21"/>
        </w:rPr>
        <w:t>折算为变更后的记账本位币。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下列关于会计基本假设的表述中，正确的是（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持续经营明确的是会计核算的空间范围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会计主体是指会计为之服务的特定单位，必须是企业法人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货币是会计核算的唯一计量单位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会计分期是费用跨期摊销、固定资产计提折旧的前提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，会计主体规定了会计核算的空间范围。选项</w:t>
      </w:r>
      <w:r>
        <w:rPr>
          <w:rStyle w:val="fontkaiti1"/>
          <w:rFonts w:cs="宋体" w:hint="default"/>
          <w:color w:val="000000"/>
        </w:rPr>
        <w:t>B</w:t>
      </w:r>
      <w:r>
        <w:rPr>
          <w:rStyle w:val="fontkaiti1"/>
          <w:rFonts w:cs="宋体" w:hint="default"/>
          <w:color w:val="000000"/>
        </w:rPr>
        <w:t>，会计主体可以是一个独立的法律主体，如企业法人；也可以不是一个独立的法律主体，如企业内部相对独立的核算单位，由多个企业法人组成的企业集团，由企业管理的证券投资基金、企业年金基金等。选项</w:t>
      </w:r>
      <w:r>
        <w:rPr>
          <w:rStyle w:val="fontkaiti1"/>
          <w:rFonts w:cs="宋体" w:hint="default"/>
          <w:color w:val="000000"/>
        </w:rPr>
        <w:t>C</w:t>
      </w:r>
      <w:r>
        <w:rPr>
          <w:rStyle w:val="fontkaiti1"/>
          <w:rFonts w:cs="宋体" w:hint="default"/>
          <w:color w:val="000000"/>
        </w:rPr>
        <w:t>，会计核算除了使用货币计量，还可以使用非货币计量单位，如实物数量等。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年）企业因经营所处的主要经济环境发生重大变化，确需变更记账本位币，将所有项目折算为变更后</w:t>
      </w:r>
      <w:r>
        <w:rPr>
          <w:rStyle w:val="fontkaiti1"/>
          <w:rFonts w:cs="宋体" w:hint="default"/>
          <w:color w:val="000000"/>
        </w:rPr>
        <w:t>的记账本位币时应当采用的汇率为（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变更当日的即期汇率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期末汇率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合同约定汇率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即期汇率的近似汇率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『答案解析』企业因经营所处的主要经济环境发生重大变化，确需变更记账本位币时，应当采用变更当日的即期汇率将所有项目折算为变更后的记账本位币。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（三）会计基础</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85"/>
        <w:gridCol w:w="5381"/>
        <w:gridCol w:w="2344"/>
      </w:tblGrid>
      <w:tr w:rsidR="00000000" w:rsidTr="009F0CD7">
        <w:trPr>
          <w:cantSplit/>
          <w:trHeight w:val="540"/>
          <w:tblHeader/>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会计基础</w:t>
            </w:r>
          </w:p>
        </w:tc>
        <w:tc>
          <w:tcPr>
            <w:tcW w:w="79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32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适用范围</w:t>
            </w:r>
          </w:p>
        </w:tc>
      </w:tr>
      <w:tr w:rsidR="00000000" w:rsidTr="009F0CD7">
        <w:trPr>
          <w:cantSplit/>
          <w:trHeight w:val="15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jc w:val="center"/>
              <w:textAlignment w:val="center"/>
              <w:rPr>
                <w:rFonts w:ascii="宋体" w:hAnsi="宋体" w:cs="宋体"/>
                <w:color w:val="000000"/>
                <w:sz w:val="21"/>
                <w:szCs w:val="21"/>
              </w:rPr>
            </w:pPr>
            <w:r>
              <w:rPr>
                <w:rStyle w:val="font14zd3"/>
                <w:rFonts w:ascii="宋体" w:hAnsi="宋体" w:cs="宋体" w:hint="eastAsia"/>
              </w:rPr>
              <w:t>权责发生制</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凡是当期已经实现的收入和已经发生或应当负担的费用，无论款项是否收付，都应当作为当期的收入和费用确认；凡是不属于</w:t>
            </w:r>
            <w:r>
              <w:rPr>
                <w:rFonts w:ascii="宋体" w:hAnsi="宋体" w:cs="宋体" w:hint="eastAsia"/>
                <w:color w:val="000000"/>
                <w:sz w:val="21"/>
                <w:szCs w:val="21"/>
              </w:rPr>
              <w:t>当期的收入和费用，即使款项已在当期收付，也不应当作为当期的收入和费用</w:t>
            </w:r>
          </w:p>
        </w:tc>
        <w:tc>
          <w:tcPr>
            <w:tcW w:w="32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企业会计、政府财务会计以及民间非营利组织会计核算</w:t>
            </w:r>
          </w:p>
        </w:tc>
      </w:tr>
      <w:tr w:rsidR="00000000" w:rsidTr="009F0CD7">
        <w:trPr>
          <w:cantSplit/>
          <w:trHeight w:val="15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jc w:val="center"/>
              <w:textAlignment w:val="center"/>
              <w:rPr>
                <w:rFonts w:ascii="宋体" w:hAnsi="宋体" w:cs="宋体"/>
                <w:color w:val="000000"/>
                <w:sz w:val="21"/>
                <w:szCs w:val="21"/>
              </w:rPr>
            </w:pPr>
            <w:r>
              <w:rPr>
                <w:rStyle w:val="font14zd3"/>
                <w:rFonts w:ascii="宋体" w:hAnsi="宋体" w:cs="宋体" w:hint="eastAsia"/>
              </w:rPr>
              <w:t>收付实现制</w:t>
            </w:r>
          </w:p>
        </w:tc>
        <w:tc>
          <w:tcPr>
            <w:tcW w:w="7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以收到或支付的现金作为确认收入和费用的依据</w:t>
            </w:r>
          </w:p>
        </w:tc>
        <w:tc>
          <w:tcPr>
            <w:tcW w:w="32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行政事业单位预算会计核算</w:t>
            </w:r>
          </w:p>
        </w:tc>
      </w:tr>
    </w:tbl>
    <w:p w:rsidR="00000000" w:rsidRDefault="009F0CD7" w:rsidP="009F0CD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本节课小结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财务报告目标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会计基本假设（重点关注会计主体和货币计量）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会计基础</w:t>
      </w:r>
      <w:r>
        <w:rPr>
          <w:rFonts w:ascii="宋体" w:hAnsi="宋体" w:cs="宋体" w:hint="eastAsia"/>
          <w:color w:val="000000"/>
          <w:sz w:val="21"/>
          <w:szCs w:val="21"/>
        </w:rPr>
        <w:t xml:space="preserve"> </w:t>
      </w:r>
    </w:p>
    <w:p w:rsidR="00000000" w:rsidRDefault="009F0CD7" w:rsidP="009F0CD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资产要素及其确认、负债要素及其确认</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9F0CD7" w:rsidP="009F0CD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财务会计要素及其确认、计量和报告</w:t>
      </w:r>
      <w:r>
        <w:rPr>
          <w:rFonts w:ascii="宋体" w:hAnsi="宋体" w:cs="宋体" w:hint="eastAsia"/>
          <w:color w:val="000000"/>
          <w:sz w:val="21"/>
          <w:szCs w:val="21"/>
        </w:rPr>
        <w:t xml:space="preserve"> </w:t>
      </w:r>
    </w:p>
    <w:p w:rsidR="00000000" w:rsidRDefault="009F0CD7" w:rsidP="009F0CD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考点二：财务会计要素及其确认★★</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定义与特征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资产是指企业</w:t>
      </w:r>
      <w:r>
        <w:rPr>
          <w:rStyle w:val="font14zd2"/>
          <w:rFonts w:ascii="宋体" w:hAnsi="宋体" w:cs="宋体" w:hint="eastAsia"/>
        </w:rPr>
        <w:t>过去</w:t>
      </w:r>
      <w:r>
        <w:rPr>
          <w:rFonts w:ascii="宋体" w:hAnsi="宋体" w:cs="宋体" w:hint="eastAsia"/>
          <w:color w:val="000000"/>
          <w:sz w:val="21"/>
          <w:szCs w:val="21"/>
        </w:rPr>
        <w:t>的交易或者事项形成的、由企业</w:t>
      </w:r>
      <w:r>
        <w:rPr>
          <w:rStyle w:val="font14zd2"/>
          <w:rFonts w:ascii="宋体" w:hAnsi="宋体" w:cs="宋体" w:hint="eastAsia"/>
        </w:rPr>
        <w:t>拥有或者控制</w:t>
      </w:r>
      <w:r>
        <w:rPr>
          <w:rFonts w:ascii="宋体" w:hAnsi="宋体" w:cs="宋体" w:hint="eastAsia"/>
          <w:color w:val="000000"/>
          <w:sz w:val="21"/>
          <w:szCs w:val="21"/>
        </w:rPr>
        <w:t>的、预期会给企业带来</w:t>
      </w:r>
      <w:r>
        <w:rPr>
          <w:rStyle w:val="font14zd2"/>
          <w:rFonts w:ascii="宋体" w:hAnsi="宋体" w:cs="宋体" w:hint="eastAsia"/>
        </w:rPr>
        <w:t>经济利益</w:t>
      </w:r>
      <w:r>
        <w:rPr>
          <w:rFonts w:ascii="宋体" w:hAnsi="宋体" w:cs="宋体" w:hint="eastAsia"/>
          <w:color w:val="000000"/>
          <w:sz w:val="21"/>
          <w:szCs w:val="21"/>
        </w:rPr>
        <w:t>的资源。资产有如下基本特征：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）资产是由企业过去的交易或事项形成的；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）资产由企业拥有或控制；（</w:t>
      </w:r>
      <w:r>
        <w:rPr>
          <w:rStyle w:val="font14zd2"/>
          <w:rFonts w:ascii="宋体" w:hAnsi="宋体" w:cs="宋体" w:hint="eastAsia"/>
        </w:rPr>
        <w:t>使用权资产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）资产预期会给企业带来经济利益。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43575" cy="533400"/>
            <wp:effectExtent l="0" t="0" r="0" b="0"/>
            <wp:docPr id="7" name="图片_x00207a9717f5-bf0b-4895-889d-8fdcb3388aed" descr="4f10e8a7-64f9-408c-b98d-bcba32b64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a9717f5-bf0b-4895-889d-8fdcb3388aed" descr="4f10e8a7-64f9-408c-b98d-bcba32b641c3"/>
                    <pic:cNvPicPr>
                      <a:picLocks noChangeAspect="1" noChangeArrowheads="1"/>
                    </pic:cNvPicPr>
                  </pic:nvPicPr>
                  <pic:blipFill>
                    <a:blip r:embed="rId12"/>
                    <a:srcRect/>
                    <a:stretch>
                      <a:fillRect/>
                    </a:stretch>
                  </pic:blipFill>
                  <pic:spPr bwMode="auto">
                    <a:xfrm>
                      <a:off x="0" y="0"/>
                      <a:ext cx="5743575" cy="533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资产的确认条件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符合上述资产定义的资源，在同时满足以下条件时，应确认为资产：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）与该资源有关的经济利益</w:t>
      </w:r>
      <w:r>
        <w:rPr>
          <w:rStyle w:val="font14zd2"/>
          <w:rFonts w:ascii="宋体" w:hAnsi="宋体" w:cs="宋体" w:hint="eastAsia"/>
        </w:rPr>
        <w:t>很可能流入</w:t>
      </w:r>
      <w:r>
        <w:rPr>
          <w:rFonts w:ascii="宋体" w:hAnsi="宋体" w:cs="宋体" w:hint="eastAsia"/>
          <w:color w:val="000000"/>
          <w:sz w:val="21"/>
          <w:szCs w:val="21"/>
        </w:rPr>
        <w:t>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）该资源的成本或者价值能够</w:t>
      </w:r>
      <w:r>
        <w:rPr>
          <w:rStyle w:val="font14zd2"/>
          <w:rFonts w:ascii="宋体" w:hAnsi="宋体" w:cs="宋体" w:hint="eastAsia"/>
        </w:rPr>
        <w:t>可靠地计量。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资产的流动性划分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资产满足下列条件</w:t>
      </w:r>
      <w:r>
        <w:rPr>
          <w:rStyle w:val="font14zd2"/>
          <w:rFonts w:ascii="宋体" w:hAnsi="宋体" w:cs="宋体" w:hint="eastAsia"/>
        </w:rPr>
        <w:t>之一</w:t>
      </w:r>
      <w:r>
        <w:rPr>
          <w:rFonts w:ascii="宋体" w:hAnsi="宋体" w:cs="宋体" w:hint="eastAsia"/>
          <w:color w:val="000000"/>
          <w:sz w:val="21"/>
          <w:szCs w:val="21"/>
        </w:rPr>
        <w:t>的，应当归类为流动资产：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）预计在一个正常</w:t>
      </w:r>
      <w:r>
        <w:rPr>
          <w:rStyle w:val="font14zd2"/>
          <w:rFonts w:ascii="宋体" w:hAnsi="宋体" w:cs="宋体" w:hint="eastAsia"/>
        </w:rPr>
        <w:t>营业周期</w:t>
      </w:r>
      <w:r>
        <w:rPr>
          <w:rFonts w:ascii="宋体" w:hAnsi="宋体" w:cs="宋体" w:hint="eastAsia"/>
          <w:color w:val="000000"/>
          <w:sz w:val="21"/>
          <w:szCs w:val="21"/>
        </w:rPr>
        <w:t>中变现、出售或耗用；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）主要为交易目的而持有；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）预计在资产负债表日起一年内（含一年）变现；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）自资产负债表日起一年内（含一年），交换其他资产或清偿负债的能力不受限制的现金或现金等价物。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57725" cy="2381250"/>
            <wp:effectExtent l="0" t="0" r="9525" b="0"/>
            <wp:docPr id="8" name="图片_x002092a553f5-2492-4567-88c1-cb304292537c" descr="2357dc93-c1b1-49a3-937a-9c0c0c102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2a553f5-2492-4567-88c1-cb304292537c" descr="2357dc93-c1b1-49a3-937a-9c0c0c1025e2"/>
                    <pic:cNvPicPr>
                      <a:picLocks noChangeAspect="1" noChangeArrowheads="1"/>
                    </pic:cNvPicPr>
                  </pic:nvPicPr>
                  <pic:blipFill>
                    <a:blip r:embed="rId13"/>
                    <a:srcRect/>
                    <a:stretch>
                      <a:fillRect/>
                    </a:stretch>
                  </pic:blipFill>
                  <pic:spPr bwMode="auto">
                    <a:xfrm>
                      <a:off x="0" y="0"/>
                      <a:ext cx="4657725" cy="2381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cs="宋体" w:hint="default"/>
          <w:color w:val="000000"/>
        </w:rPr>
        <w:t>多选题】企业应作为资产在年末资产负债表中反映的项目有（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尚未批准处理的盘亏固定资产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委托代销的商品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债务重组过程中的应收债权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协议转让中的无形资产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法院正在审理中的因被侵权而很可能获得的赔偿款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，尚未批准处理的盘亏固定资产，在期末应暂估处理，计入营业外支出，不在资产负债表中列示；选项</w:t>
      </w:r>
      <w:r>
        <w:rPr>
          <w:rStyle w:val="fontkaiti1"/>
          <w:rFonts w:cs="宋体" w:hint="default"/>
          <w:color w:val="000000"/>
        </w:rPr>
        <w:t>E</w:t>
      </w:r>
      <w:r>
        <w:rPr>
          <w:rStyle w:val="fontkaiti1"/>
          <w:rFonts w:cs="宋体" w:hint="default"/>
          <w:color w:val="000000"/>
        </w:rPr>
        <w:t>，很可能获得的赔偿款不满足或有事项确认资产的条件，属于或有资产，不在资产负债表中列示，在报表附注中披露。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定义与特征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负债是指企业过去的交易或者事项形成的、预期会导致经济利益流出企业的</w:t>
      </w:r>
      <w:r>
        <w:rPr>
          <w:rStyle w:val="font14zd2"/>
          <w:rFonts w:ascii="宋体" w:hAnsi="宋体" w:cs="宋体" w:hint="eastAsia"/>
        </w:rPr>
        <w:t>现时义务</w:t>
      </w:r>
      <w:r>
        <w:rPr>
          <w:rFonts w:ascii="宋体" w:hAnsi="宋体" w:cs="宋体" w:hint="eastAsia"/>
          <w:color w:val="000000"/>
          <w:sz w:val="21"/>
          <w:szCs w:val="21"/>
        </w:rPr>
        <w:t>。负债有如下基本特征：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）负债是企业过去的交易或</w:t>
      </w:r>
      <w:r>
        <w:rPr>
          <w:rFonts w:ascii="宋体" w:hAnsi="宋体" w:cs="宋体" w:hint="eastAsia"/>
          <w:color w:val="000000"/>
          <w:sz w:val="21"/>
          <w:szCs w:val="21"/>
        </w:rPr>
        <w:t>事项形成的现时义务。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）负债的偿还预期会导致经济利益流出企业。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负债的确认条件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符合上述负债定义的义务，在同时满足以下条件时确认为负债：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）与该义务有关的经济利益</w:t>
      </w:r>
      <w:r>
        <w:rPr>
          <w:rStyle w:val="font14zd2"/>
          <w:rFonts w:ascii="宋体" w:hAnsi="宋体" w:cs="宋体" w:hint="eastAsia"/>
        </w:rPr>
        <w:t>很可能流出</w:t>
      </w:r>
      <w:r>
        <w:rPr>
          <w:rFonts w:ascii="宋体" w:hAnsi="宋体" w:cs="宋体" w:hint="eastAsia"/>
          <w:color w:val="000000"/>
          <w:sz w:val="21"/>
          <w:szCs w:val="21"/>
        </w:rPr>
        <w:t>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）未来流出的经济利益的金额能够</w:t>
      </w:r>
      <w:r>
        <w:rPr>
          <w:rStyle w:val="font14zd2"/>
          <w:rFonts w:ascii="宋体" w:hAnsi="宋体" w:cs="宋体" w:hint="eastAsia"/>
        </w:rPr>
        <w:t>可靠地计量。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负债的流动性划分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负债满足下列条件之一的，应当归类为流动负债：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）预计在一个正常营业周期中清偿；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）主要为交易目的而持有；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）自资产负债表日起一年内到期应予以清偿；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）企业在资产负债表日</w:t>
      </w:r>
      <w:r>
        <w:rPr>
          <w:rStyle w:val="font14zd2"/>
          <w:rFonts w:ascii="宋体" w:hAnsi="宋体" w:cs="宋体" w:hint="eastAsia"/>
        </w:rPr>
        <w:t>没有</w:t>
      </w:r>
      <w:r>
        <w:rPr>
          <w:rFonts w:ascii="宋体" w:hAnsi="宋体" w:cs="宋体" w:hint="eastAsia"/>
          <w:color w:val="000000"/>
          <w:sz w:val="21"/>
          <w:szCs w:val="21"/>
        </w:rPr>
        <w:t>将负债清偿</w:t>
      </w:r>
      <w:r>
        <w:rPr>
          <w:rStyle w:val="font14zd2"/>
          <w:rFonts w:ascii="宋体" w:hAnsi="宋体" w:cs="宋体" w:hint="eastAsia"/>
        </w:rPr>
        <w:t>推迟</w:t>
      </w:r>
      <w:r>
        <w:rPr>
          <w:rFonts w:ascii="宋体" w:hAnsi="宋体" w:cs="宋体" w:hint="eastAsia"/>
          <w:color w:val="000000"/>
          <w:sz w:val="21"/>
          <w:szCs w:val="21"/>
        </w:rPr>
        <w:t>至资产负债表日后</w:t>
      </w:r>
      <w:r>
        <w:rPr>
          <w:rStyle w:val="font14zd2"/>
          <w:rFonts w:ascii="宋体" w:hAnsi="宋体" w:cs="宋体" w:hint="eastAsia"/>
        </w:rPr>
        <w:t>一年以上</w:t>
      </w:r>
      <w:r>
        <w:rPr>
          <w:rFonts w:ascii="宋体" w:hAnsi="宋体" w:cs="宋体" w:hint="eastAsia"/>
          <w:color w:val="000000"/>
          <w:sz w:val="21"/>
          <w:szCs w:val="21"/>
        </w:rPr>
        <w:t>的</w:t>
      </w:r>
      <w:r>
        <w:rPr>
          <w:rStyle w:val="font14zd2"/>
          <w:rFonts w:ascii="宋体" w:hAnsi="宋体" w:cs="宋体" w:hint="eastAsia"/>
        </w:rPr>
        <w:t>实质性权利。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57725" cy="2381250"/>
            <wp:effectExtent l="0" t="0" r="9525" b="0"/>
            <wp:docPr id="9" name="图片_x0020b54d6380-137c-4fad-a946-2c07c85a9d5f" descr="63191a12-a200-4334-aefb-b930db74d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54d6380-137c-4fad-a946-2c07c85a9d5f" descr="63191a12-a200-4334-aefb-b930db74d156"/>
                    <pic:cNvPicPr>
                      <a:picLocks noChangeAspect="1" noChangeArrowheads="1"/>
                    </pic:cNvPicPr>
                  </pic:nvPicPr>
                  <pic:blipFill>
                    <a:blip r:embed="rId13"/>
                    <a:srcRect/>
                    <a:stretch>
                      <a:fillRect/>
                    </a:stretch>
                  </pic:blipFill>
                  <pic:spPr bwMode="auto">
                    <a:xfrm>
                      <a:off x="0" y="0"/>
                      <a:ext cx="4657725" cy="2381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【补充知识】</w:t>
      </w:r>
      <w:r>
        <w:rPr>
          <w:rFonts w:ascii="宋体" w:hAnsi="宋体" w:cs="宋体" w:hint="eastAsia"/>
          <w:color w:val="000000"/>
          <w:sz w:val="21"/>
          <w:szCs w:val="21"/>
        </w:rPr>
        <w:t>资产负债表日后期间企业与银行完成再融资或展期，不影响资产负债表日负债流动性的划分。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24275" cy="676275"/>
            <wp:effectExtent l="0" t="0" r="0" b="0"/>
            <wp:docPr id="10" name="图片_x0020b1205a10-737f-4cbf-83b0-4fcf7ff5a6ba" descr="28462933-9b71-4aed-a9c3-8e5dcb90f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1205a10-737f-4cbf-83b0-4fcf7ff5a6ba" descr="28462933-9b71-4aed-a9c3-8e5dcb90f3e3"/>
                    <pic:cNvPicPr>
                      <a:picLocks noChangeAspect="1" noChangeArrowheads="1"/>
                    </pic:cNvPicPr>
                  </pic:nvPicPr>
                  <pic:blipFill>
                    <a:blip r:embed="rId14"/>
                    <a:srcRect/>
                    <a:stretch>
                      <a:fillRect/>
                    </a:stretch>
                  </pic:blipFill>
                  <pic:spPr bwMode="auto">
                    <a:xfrm>
                      <a:off x="0" y="0"/>
                      <a:ext cx="3724275" cy="676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cs="宋体" w:hint="default"/>
          <w:color w:val="000000"/>
        </w:rPr>
        <w:t>单选题】甲公司持有一笔于</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日从银行借入的五年期长期借款，下列关于该长期借款在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日资产负债表列示的表述中，错误的是（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假定甲公司在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日与银行完成长期再融资或展期，则该借款应当划分为非流动负债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假定甲公司在</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日（财务报告批准报出日为</w:t>
      </w:r>
      <w:r>
        <w:rPr>
          <w:rStyle w:val="fontkaiti1"/>
          <w:rFonts w:cs="宋体" w:hint="default"/>
          <w:color w:val="000000"/>
        </w:rPr>
        <w:t>2</w:t>
      </w:r>
      <w:r>
        <w:rPr>
          <w:rStyle w:val="fontkaiti1"/>
          <w:rFonts w:cs="宋体" w:hint="default"/>
          <w:color w:val="000000"/>
        </w:rPr>
        <w:t>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日）完成长期再融资或展期，则该借款应当划分为流动负债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假定甲公司与银行的借款协议上规定，甲公司在长期借款到期前可以自行决定是否展期，无须征得债权人同意，并且甲公司计划展期，则该借款应当划分为非流动负债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假定甲公司与银行的借款协议上规定，甲公司在长期借款到期后如能偿还，可以再获得一笔金额相同的长期借款，则该借款应当划分为非流动负债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，重新获得的借款应当作为新的负债列报，原一年内到期的借款应该作为流动负债列报。</w:t>
      </w:r>
      <w:r>
        <w:rPr>
          <w:rStyle w:val="fontkaiti1"/>
          <w:rFonts w:ascii="宋体" w:eastAsia="宋体" w:hAnsi="宋体" w:cs="宋体"/>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所有者权益、收入、费用、利润</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（三）所有者权益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定义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所有者权益是指企业资产扣除负债后由所有者享有的</w:t>
      </w:r>
      <w:r>
        <w:rPr>
          <w:rStyle w:val="font14zd2"/>
          <w:rFonts w:ascii="宋体" w:hAnsi="宋体" w:cs="宋体" w:hint="eastAsia"/>
        </w:rPr>
        <w:t>剩余权益。</w:t>
      </w:r>
      <w:r>
        <w:rPr>
          <w:rFonts w:ascii="宋体" w:hAnsi="宋体" w:cs="宋体" w:hint="eastAsia"/>
          <w:color w:val="000000"/>
          <w:sz w:val="21"/>
          <w:szCs w:val="21"/>
        </w:rPr>
        <w:t>公司的所有者权益又称为股东权益。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来源与构成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19525" cy="2647950"/>
            <wp:effectExtent l="0" t="0" r="9525" b="0"/>
            <wp:docPr id="11" name="图片_x00203105c161-bfe8-453f-b443-fce30ba6cb1c" descr="5e0a7bef-a4f9-43c6-8a18-417557d2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105c161-bfe8-453f-b443-fce30ba6cb1c" descr="5e0a7bef-a4f9-43c6-8a18-417557d29716"/>
                    <pic:cNvPicPr>
                      <a:picLocks noChangeAspect="1" noChangeArrowheads="1"/>
                    </pic:cNvPicPr>
                  </pic:nvPicPr>
                  <pic:blipFill>
                    <a:blip r:embed="rId15"/>
                    <a:srcRect/>
                    <a:stretch>
                      <a:fillRect/>
                    </a:stretch>
                  </pic:blipFill>
                  <pic:spPr bwMode="auto">
                    <a:xfrm>
                      <a:off x="0" y="0"/>
                      <a:ext cx="3819525" cy="2647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）投入资本。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①实收资本（股本）。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实收资本是投资者投入资本形成</w:t>
      </w:r>
      <w:r>
        <w:rPr>
          <w:rStyle w:val="font14zd2"/>
          <w:rFonts w:ascii="宋体" w:hAnsi="宋体" w:cs="宋体" w:hint="eastAsia"/>
        </w:rPr>
        <w:t>法定资本</w:t>
      </w:r>
      <w:r>
        <w:rPr>
          <w:rFonts w:ascii="宋体" w:hAnsi="宋体" w:cs="宋体" w:hint="eastAsia"/>
          <w:color w:val="000000"/>
          <w:sz w:val="21"/>
          <w:szCs w:val="21"/>
        </w:rPr>
        <w:t>的价值。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实收资本的</w:t>
      </w:r>
      <w:r>
        <w:rPr>
          <w:rStyle w:val="font14zd2"/>
          <w:rFonts w:ascii="宋体" w:hAnsi="宋体" w:cs="宋体" w:hint="eastAsia"/>
        </w:rPr>
        <w:t>构成比例</w:t>
      </w:r>
      <w:r>
        <w:rPr>
          <w:rFonts w:ascii="宋体" w:hAnsi="宋体" w:cs="宋体" w:hint="eastAsia"/>
          <w:color w:val="000000"/>
          <w:sz w:val="21"/>
          <w:szCs w:val="21"/>
        </w:rPr>
        <w:t>，即投资者的出资比例或股东的股份比例，通常是确定所有者在企业所有者权益中所占份额和参与企业财务</w:t>
      </w:r>
      <w:r>
        <w:rPr>
          <w:rStyle w:val="font14zd2"/>
          <w:rFonts w:ascii="宋体" w:hAnsi="宋体" w:cs="宋体" w:hint="eastAsia"/>
        </w:rPr>
        <w:t>经营决策的基础</w:t>
      </w:r>
      <w:r>
        <w:rPr>
          <w:rFonts w:ascii="宋体" w:hAnsi="宋体" w:cs="宋体" w:hint="eastAsia"/>
          <w:color w:val="000000"/>
          <w:sz w:val="21"/>
          <w:szCs w:val="21"/>
        </w:rPr>
        <w:t>，也是企业进行利润分配或</w:t>
      </w:r>
      <w:r>
        <w:rPr>
          <w:rStyle w:val="font14zd2"/>
          <w:rFonts w:ascii="宋体" w:hAnsi="宋体" w:cs="宋体" w:hint="eastAsia"/>
        </w:rPr>
        <w:t>股利分配的依据，</w:t>
      </w:r>
      <w:r>
        <w:rPr>
          <w:rFonts w:ascii="宋体" w:hAnsi="宋体" w:cs="宋体" w:hint="eastAsia"/>
          <w:color w:val="000000"/>
          <w:sz w:val="21"/>
          <w:szCs w:val="21"/>
        </w:rPr>
        <w:t>同时还是企业</w:t>
      </w:r>
      <w:r>
        <w:rPr>
          <w:rStyle w:val="font14zd2"/>
          <w:rFonts w:ascii="宋体" w:hAnsi="宋体" w:cs="宋体" w:hint="eastAsia"/>
        </w:rPr>
        <w:t>清算时</w:t>
      </w:r>
      <w:r>
        <w:rPr>
          <w:rFonts w:ascii="宋体" w:hAnsi="宋体" w:cs="宋体" w:hint="eastAsia"/>
          <w:color w:val="000000"/>
          <w:sz w:val="21"/>
          <w:szCs w:val="21"/>
        </w:rPr>
        <w:t>确定所有者对净资产的</w:t>
      </w:r>
      <w:r>
        <w:rPr>
          <w:rStyle w:val="font14zd2"/>
          <w:rFonts w:ascii="宋体" w:hAnsi="宋体" w:cs="宋体" w:hint="eastAsia"/>
        </w:rPr>
        <w:t>要求权的依据。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19350" cy="942975"/>
            <wp:effectExtent l="0" t="0" r="0" b="0"/>
            <wp:docPr id="12" name="图片_x00209a225d45-6372-4947-8ae2-105ffc6c5320" descr="53994876-f515-460e-9d1c-ac5f14f9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a225d45-6372-4947-8ae2-105ffc6c5320" descr="53994876-f515-460e-9d1c-ac5f14f94838"/>
                    <pic:cNvPicPr>
                      <a:picLocks noChangeAspect="1" noChangeArrowheads="1"/>
                    </pic:cNvPicPr>
                  </pic:nvPicPr>
                  <pic:blipFill>
                    <a:blip r:embed="rId16"/>
                    <a:srcRect/>
                    <a:stretch>
                      <a:fillRect/>
                    </a:stretch>
                  </pic:blipFill>
                  <pic:spPr bwMode="auto">
                    <a:xfrm>
                      <a:off x="0" y="0"/>
                      <a:ext cx="2419350" cy="942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贷：实收资本——张三</w:t>
      </w:r>
      <w:r>
        <w:rPr>
          <w:rFonts w:ascii="宋体" w:hAnsi="宋体" w:cs="宋体" w:hint="eastAsia"/>
          <w:color w:val="000000"/>
          <w:sz w:val="21"/>
          <w:szCs w:val="21"/>
        </w:rPr>
        <w:t xml:space="preserve"> 600 </w:t>
      </w:r>
      <w:r>
        <w:rPr>
          <w:rFonts w:ascii="宋体" w:hAnsi="宋体" w:cs="宋体" w:hint="eastAsia"/>
          <w:color w:val="000000"/>
          <w:sz w:val="21"/>
          <w:szCs w:val="21"/>
        </w:rPr>
        <w:br/>
        <w:t>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——李四</w:t>
      </w:r>
      <w:r>
        <w:rPr>
          <w:rFonts w:ascii="宋体" w:hAnsi="宋体" w:cs="宋体" w:hint="eastAsia"/>
          <w:color w:val="000000"/>
          <w:sz w:val="21"/>
          <w:szCs w:val="21"/>
        </w:rPr>
        <w:t xml:space="preserve"> 400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资本公积（资本溢价或股本溢价）是企业收到投资者出资超出其在注册资本（或股本）中所占份额的金额。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867150"/>
            <wp:effectExtent l="0" t="0" r="0" b="0"/>
            <wp:docPr id="13" name="图片_x00208011cece-e4e6-4c88-9128-377e15b54d4c" descr="2ac70963-268e-40d9-97d0-f66770e3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011cece-e4e6-4c88-9128-377e15b54d4c" descr="2ac70963-268e-40d9-97d0-f66770e30168"/>
                    <pic:cNvPicPr>
                      <a:picLocks noChangeAspect="1" noChangeArrowheads="1"/>
                    </pic:cNvPicPr>
                  </pic:nvPicPr>
                  <pic:blipFill>
                    <a:blip r:embed="rId17"/>
                    <a:srcRect/>
                    <a:stretch>
                      <a:fillRect/>
                    </a:stretch>
                  </pic:blipFill>
                  <pic:spPr bwMode="auto">
                    <a:xfrm>
                      <a:off x="0" y="0"/>
                      <a:ext cx="6286500" cy="3867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）其他权益工具（先了解）。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企业发行的优先股、永续债等金融工具按照准则规定分类为权益工具，通过“其他权益工具”科目核算。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）直接计入所有者权益的利得和损失（先了解）。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①利得和损失。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87"/>
        <w:gridCol w:w="3304"/>
        <w:gridCol w:w="5019"/>
      </w:tblGrid>
      <w:tr w:rsidR="00000000" w:rsidTr="009F0CD7">
        <w:trPr>
          <w:cantSplit/>
          <w:trHeight w:val="270"/>
          <w:tblHeader/>
          <w:jc w:val="center"/>
        </w:trPr>
        <w:tc>
          <w:tcPr>
            <w:tcW w:w="5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47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w:t>
            </w:r>
            <w:r>
              <w:rPr>
                <w:rFonts w:ascii="宋体" w:hAnsi="宋体" w:cs="宋体" w:hint="eastAsia"/>
                <w:color w:val="000000"/>
                <w:sz w:val="21"/>
                <w:szCs w:val="21"/>
              </w:rPr>
              <w:t>义</w:t>
            </w:r>
          </w:p>
        </w:tc>
        <w:tc>
          <w:tcPr>
            <w:tcW w:w="7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业务举例</w:t>
            </w:r>
          </w:p>
        </w:tc>
      </w:tr>
      <w:tr w:rsidR="00000000" w:rsidTr="009F0CD7">
        <w:trPr>
          <w:cantSplit/>
          <w:trHeight w:val="360"/>
          <w:jc w:val="center"/>
        </w:trPr>
        <w:tc>
          <w:tcPr>
            <w:tcW w:w="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利得</w:t>
            </w:r>
          </w:p>
        </w:tc>
        <w:tc>
          <w:tcPr>
            <w:tcW w:w="4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由企业</w:t>
            </w:r>
            <w:r>
              <w:rPr>
                <w:rStyle w:val="font14zd3"/>
                <w:rFonts w:ascii="宋体" w:hAnsi="宋体" w:cs="宋体" w:hint="eastAsia"/>
              </w:rPr>
              <w:t>非日常活动</w:t>
            </w:r>
            <w:r>
              <w:rPr>
                <w:rFonts w:ascii="宋体" w:hAnsi="宋体" w:cs="宋体" w:hint="eastAsia"/>
                <w:color w:val="000000"/>
                <w:sz w:val="21"/>
                <w:szCs w:val="21"/>
              </w:rPr>
              <w:t>所形成的、会导致所有者权益增加的、与所有者投入资本无关的经济利益的</w:t>
            </w:r>
            <w:r>
              <w:rPr>
                <w:rStyle w:val="font14zd3"/>
                <w:rFonts w:ascii="宋体" w:hAnsi="宋体" w:cs="宋体" w:hint="eastAsia"/>
              </w:rPr>
              <w:t>流入</w:t>
            </w:r>
          </w:p>
        </w:tc>
        <w:tc>
          <w:tcPr>
            <w:tcW w:w="7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贷：营业外收入（接受非股东捐赠）</w:t>
            </w:r>
            <w:r>
              <w:rPr>
                <w:rFonts w:ascii="宋体" w:hAnsi="宋体" w:cs="宋体" w:hint="eastAsia"/>
                <w:color w:val="000000"/>
                <w:sz w:val="21"/>
                <w:szCs w:val="21"/>
              </w:rPr>
              <w:br/>
            </w:r>
            <w:r>
              <w:rPr>
                <w:rFonts w:ascii="宋体" w:hAnsi="宋体" w:cs="宋体" w:hint="eastAsia"/>
                <w:color w:val="000000"/>
                <w:sz w:val="21"/>
                <w:szCs w:val="21"/>
              </w:rPr>
              <w:t>借：其他权益工具投资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贷：其他综合收益（公允价值上涨）</w:t>
            </w:r>
          </w:p>
        </w:tc>
      </w:tr>
      <w:tr w:rsidR="00000000" w:rsidTr="009F0CD7">
        <w:trPr>
          <w:cantSplit/>
          <w:trHeight w:val="390"/>
          <w:jc w:val="center"/>
        </w:trPr>
        <w:tc>
          <w:tcPr>
            <w:tcW w:w="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损失</w:t>
            </w:r>
          </w:p>
        </w:tc>
        <w:tc>
          <w:tcPr>
            <w:tcW w:w="4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由企业</w:t>
            </w:r>
            <w:r>
              <w:rPr>
                <w:rStyle w:val="font14zd3"/>
                <w:rFonts w:ascii="宋体" w:hAnsi="宋体" w:cs="宋体" w:hint="eastAsia"/>
              </w:rPr>
              <w:t>非日常活动</w:t>
            </w:r>
            <w:r>
              <w:rPr>
                <w:rFonts w:ascii="宋体" w:hAnsi="宋体" w:cs="宋体" w:hint="eastAsia"/>
                <w:color w:val="000000"/>
                <w:sz w:val="21"/>
                <w:szCs w:val="21"/>
              </w:rPr>
              <w:t>所发生的、会导致所有者权益减少的、与向所有者分配利润无关的经济利益的</w:t>
            </w:r>
            <w:r>
              <w:rPr>
                <w:rStyle w:val="font14zd3"/>
                <w:rFonts w:ascii="宋体" w:hAnsi="宋体" w:cs="宋体" w:hint="eastAsia"/>
              </w:rPr>
              <w:t>流出</w:t>
            </w:r>
          </w:p>
        </w:tc>
        <w:tc>
          <w:tcPr>
            <w:tcW w:w="7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借：营业外支出（对外捐赠）</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br/>
            </w:r>
            <w:r>
              <w:rPr>
                <w:rFonts w:ascii="宋体" w:hAnsi="宋体" w:cs="宋体" w:hint="eastAsia"/>
                <w:color w:val="000000"/>
                <w:sz w:val="21"/>
                <w:szCs w:val="21"/>
              </w:rPr>
              <w:t>借：其他综合收益（公允价值下跌）</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贷：其他权益工具投资</w:t>
            </w:r>
          </w:p>
        </w:tc>
      </w:tr>
    </w:tbl>
    <w:p w:rsidR="00000000" w:rsidRDefault="009F0CD7" w:rsidP="009F0CD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②直接计入所有者权益的利得和损失。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不应计入当期</w:t>
      </w:r>
      <w:r>
        <w:rPr>
          <w:rFonts w:ascii="宋体" w:hAnsi="宋体" w:cs="宋体" w:hint="eastAsia"/>
          <w:color w:val="000000"/>
          <w:sz w:val="21"/>
          <w:szCs w:val="21"/>
        </w:rPr>
        <w:t>损益（如防止利润波动）、会导致所有者权益发生增减变动的、与所有者投入资本或者向所有者分配利润无关的利得或者损失。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）留存收益。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留存收益是企业从历年实现的利润中提取或形成的留存于企业的内部积累，包括盈余公积和未分配利润。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所有者权益的确认和计量取决于资产和负债的确认和计量（所有者权益＝资产－负债）。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定义与特征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收入是指企业在</w:t>
      </w:r>
      <w:r>
        <w:rPr>
          <w:rStyle w:val="font14zd2"/>
          <w:rFonts w:ascii="宋体" w:hAnsi="宋体" w:cs="宋体" w:hint="eastAsia"/>
        </w:rPr>
        <w:t>日常活动</w:t>
      </w:r>
      <w:r>
        <w:rPr>
          <w:rFonts w:ascii="宋体" w:hAnsi="宋体" w:cs="宋体" w:hint="eastAsia"/>
          <w:color w:val="000000"/>
          <w:sz w:val="21"/>
          <w:szCs w:val="21"/>
        </w:rPr>
        <w:t>中形成的、会导致所有者权益增加的、与所有者投入资本无关的经济利益的</w:t>
      </w:r>
      <w:r>
        <w:rPr>
          <w:rStyle w:val="font14zd2"/>
          <w:rFonts w:ascii="宋体" w:hAnsi="宋体" w:cs="宋体" w:hint="eastAsia"/>
        </w:rPr>
        <w:t>总流入。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收入具有以下</w:t>
      </w:r>
      <w:r>
        <w:rPr>
          <w:rStyle w:val="font14zd2"/>
          <w:rFonts w:ascii="宋体" w:hAnsi="宋体" w:cs="宋体" w:hint="eastAsia"/>
        </w:rPr>
        <w:t>基本特</w:t>
      </w:r>
      <w:r>
        <w:rPr>
          <w:rStyle w:val="font14zd2"/>
          <w:rFonts w:ascii="宋体" w:hAnsi="宋体" w:cs="宋体" w:hint="eastAsia"/>
        </w:rPr>
        <w:t>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）收入来自日常活动，而不是偶发的交易或事项；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）收入的取得可能表现为资产的增加或负债的减少，或两者兼而有之；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）收入是与所有者投入资本无关的经济利益的总流入。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借：应收账款</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 xml:space="preserve">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贷：库存商品　</w:t>
      </w:r>
      <w:r>
        <w:rPr>
          <w:rFonts w:ascii="宋体" w:hAnsi="宋体" w:cs="宋体" w:hint="eastAsia"/>
          <w:color w:val="000000"/>
          <w:sz w:val="21"/>
          <w:szCs w:val="21"/>
        </w:rPr>
        <w:t xml:space="preserve">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借：合同负债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贷：合同负债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收入的确认条件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企业应当在履行了合同中的履约业务，即在客户取得相关商品或服务控制权时确认收</w:t>
      </w:r>
      <w:r>
        <w:rPr>
          <w:rFonts w:ascii="宋体" w:hAnsi="宋体" w:cs="宋体" w:hint="eastAsia"/>
          <w:color w:val="000000"/>
          <w:sz w:val="21"/>
          <w:szCs w:val="21"/>
        </w:rPr>
        <w:t>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收入章节详细讲解。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概念与特征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费用是指企业在</w:t>
      </w:r>
      <w:r>
        <w:rPr>
          <w:rStyle w:val="font14zd2"/>
          <w:rFonts w:ascii="宋体" w:hAnsi="宋体" w:cs="宋体" w:hint="eastAsia"/>
        </w:rPr>
        <w:t>日常活动</w:t>
      </w:r>
      <w:r>
        <w:rPr>
          <w:rFonts w:ascii="宋体" w:hAnsi="宋体" w:cs="宋体" w:hint="eastAsia"/>
          <w:color w:val="000000"/>
          <w:sz w:val="21"/>
          <w:szCs w:val="21"/>
        </w:rPr>
        <w:t>中发生的、会导致所有者权益</w:t>
      </w:r>
      <w:r>
        <w:rPr>
          <w:rStyle w:val="font14zd2"/>
          <w:rFonts w:ascii="宋体" w:hAnsi="宋体" w:cs="宋体" w:hint="eastAsia"/>
        </w:rPr>
        <w:t>减少</w:t>
      </w:r>
      <w:r>
        <w:rPr>
          <w:rFonts w:ascii="宋体" w:hAnsi="宋体" w:cs="宋体" w:hint="eastAsia"/>
          <w:color w:val="000000"/>
          <w:sz w:val="21"/>
          <w:szCs w:val="21"/>
        </w:rPr>
        <w:t>的、与向所有者分配利润无关的经济利益的</w:t>
      </w:r>
      <w:r>
        <w:rPr>
          <w:rStyle w:val="font14zd2"/>
          <w:rFonts w:ascii="宋体" w:hAnsi="宋体" w:cs="宋体" w:hint="eastAsia"/>
        </w:rPr>
        <w:t>总流出。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费用具有以下</w:t>
      </w:r>
      <w:r>
        <w:rPr>
          <w:rStyle w:val="font14zd2"/>
          <w:rFonts w:ascii="宋体" w:hAnsi="宋体" w:cs="宋体" w:hint="eastAsia"/>
        </w:rPr>
        <w:t>基本特征：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）费用是在销售商品、提供劳务等日常活动中发生的经济利益总流出；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）费用会减少所有者权益；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）费用是与向所有者分配利润无关的经济利益的总流出。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借：应收账款</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 xml:space="preserve">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贷：库存商品　</w:t>
      </w:r>
      <w:r>
        <w:rPr>
          <w:rFonts w:ascii="宋体" w:hAnsi="宋体" w:cs="宋体" w:hint="eastAsia"/>
          <w:color w:val="000000"/>
          <w:sz w:val="21"/>
          <w:szCs w:val="21"/>
        </w:rPr>
        <w:t xml:space="preserve">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费用</w:t>
      </w:r>
      <w:r>
        <w:rPr>
          <w:rFonts w:ascii="宋体" w:hAnsi="宋体" w:cs="宋体" w:hint="eastAsia"/>
          <w:color w:val="000000"/>
          <w:sz w:val="21"/>
          <w:szCs w:val="21"/>
        </w:rPr>
        <w:t>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）经济利益很可能流出从而导致企业资产减少或者负债增加；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）经济利益的流出金额能够可靠地计量。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成本费用的结转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企业为生产产品、提供劳务等发生的可归属于产品成本、劳务成本等的费用，应当在确认产品销售收入、劳务收入等时，将已销售产品、已提供劳务的成本等计入当期损益。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合同履约成本等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【温馨提示】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企业发生的支出不产生经济利益</w:t>
      </w:r>
      <w:r>
        <w:rPr>
          <w:rFonts w:ascii="宋体" w:hAnsi="宋体" w:cs="宋体" w:hint="eastAsia"/>
          <w:color w:val="000000"/>
          <w:sz w:val="21"/>
          <w:szCs w:val="21"/>
        </w:rPr>
        <w:t>的，或者即使能够产生经济利益但不符合或者不再符合资产确认条件的，应当在发生时确认为费用，计入当期损益。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企业发生的交易或事项导致其承担了一项负债而又不确认为一项资产的，应当在发生时确认为费用，计入当期损益。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定义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利润是指企业在一定会计期间的经营成果，利润</w:t>
      </w:r>
      <w:r>
        <w:rPr>
          <w:rStyle w:val="font14zd2"/>
          <w:rFonts w:ascii="宋体" w:hAnsi="宋体" w:cs="宋体" w:hint="eastAsia"/>
        </w:rPr>
        <w:t>包括</w:t>
      </w:r>
      <w:r>
        <w:rPr>
          <w:rFonts w:ascii="宋体" w:hAnsi="宋体" w:cs="宋体" w:hint="eastAsia"/>
          <w:color w:val="000000"/>
          <w:sz w:val="21"/>
          <w:szCs w:val="21"/>
        </w:rPr>
        <w:t>收入减去费用后的净额、直接计入当期利润的利得和损失等。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收入与利得、费用与损失的区别与联系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91"/>
        <w:gridCol w:w="3989"/>
        <w:gridCol w:w="3830"/>
      </w:tblGrid>
      <w:tr w:rsidR="00000000" w:rsidTr="009F0CD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联系</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收入与利得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）收入与</w:t>
            </w:r>
            <w:r>
              <w:rPr>
                <w:rStyle w:val="font14zd3"/>
                <w:rFonts w:ascii="宋体" w:hAnsi="宋体" w:cs="宋体" w:hint="eastAsia"/>
              </w:rPr>
              <w:t>日常活动</w:t>
            </w:r>
            <w:r>
              <w:rPr>
                <w:rFonts w:ascii="宋体" w:hAnsi="宋体" w:cs="宋体" w:hint="eastAsia"/>
                <w:color w:val="000000"/>
                <w:sz w:val="21"/>
                <w:szCs w:val="21"/>
              </w:rPr>
              <w:t>有关，利得与</w:t>
            </w:r>
            <w:r>
              <w:rPr>
                <w:rStyle w:val="font14zd3"/>
                <w:rFonts w:ascii="宋体" w:hAnsi="宋体" w:cs="宋体" w:hint="eastAsia"/>
              </w:rPr>
              <w:t>非日常活动</w:t>
            </w:r>
            <w:r>
              <w:rPr>
                <w:rFonts w:ascii="宋体" w:hAnsi="宋体" w:cs="宋体" w:hint="eastAsia"/>
                <w:color w:val="000000"/>
                <w:sz w:val="21"/>
                <w:szCs w:val="21"/>
              </w:rPr>
              <w:t>有关</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）收入是经济利益</w:t>
            </w:r>
            <w:r>
              <w:rPr>
                <w:rStyle w:val="font14zd3"/>
                <w:rFonts w:ascii="宋体" w:hAnsi="宋体" w:cs="宋体" w:hint="eastAsia"/>
              </w:rPr>
              <w:t>总</w:t>
            </w:r>
            <w:r>
              <w:rPr>
                <w:rFonts w:ascii="宋体" w:hAnsi="宋体" w:cs="宋体" w:hint="eastAsia"/>
                <w:color w:val="000000"/>
                <w:sz w:val="21"/>
                <w:szCs w:val="21"/>
              </w:rPr>
              <w:t>流入，利得是经济利益</w:t>
            </w:r>
            <w:r>
              <w:rPr>
                <w:rStyle w:val="font14zd3"/>
                <w:rFonts w:ascii="宋体" w:hAnsi="宋体" w:cs="宋体" w:hint="eastAsia"/>
              </w:rPr>
              <w:t>净</w:t>
            </w:r>
            <w:r>
              <w:rPr>
                <w:rFonts w:ascii="宋体" w:hAnsi="宋体" w:cs="宋体" w:hint="eastAsia"/>
                <w:color w:val="000000"/>
                <w:sz w:val="21"/>
                <w:szCs w:val="21"/>
              </w:rPr>
              <w:t>流入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都会导致所有者权益增加且与所有者投入资本无关</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费用与损失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）费用与</w:t>
            </w:r>
            <w:r>
              <w:rPr>
                <w:rStyle w:val="font14zd3"/>
                <w:rFonts w:ascii="宋体" w:hAnsi="宋体" w:cs="宋体" w:hint="eastAsia"/>
              </w:rPr>
              <w:t>日常活动</w:t>
            </w:r>
            <w:r>
              <w:rPr>
                <w:rFonts w:ascii="宋体" w:hAnsi="宋体" w:cs="宋体" w:hint="eastAsia"/>
                <w:color w:val="000000"/>
                <w:sz w:val="21"/>
                <w:szCs w:val="21"/>
              </w:rPr>
              <w:t>有关，损失与</w:t>
            </w:r>
            <w:r>
              <w:rPr>
                <w:rStyle w:val="font14zd3"/>
                <w:rFonts w:ascii="宋体" w:hAnsi="宋体" w:cs="宋体" w:hint="eastAsia"/>
              </w:rPr>
              <w:t>非日常活动</w:t>
            </w:r>
            <w:r>
              <w:rPr>
                <w:rFonts w:ascii="宋体" w:hAnsi="宋体" w:cs="宋体" w:hint="eastAsia"/>
                <w:color w:val="000000"/>
                <w:sz w:val="21"/>
                <w:szCs w:val="21"/>
              </w:rPr>
              <w:t>有关</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）费用是经济利益</w:t>
            </w:r>
            <w:r>
              <w:rPr>
                <w:rStyle w:val="font14zd3"/>
                <w:rFonts w:ascii="宋体" w:hAnsi="宋体" w:cs="宋体" w:hint="eastAsia"/>
              </w:rPr>
              <w:t>总</w:t>
            </w:r>
            <w:r>
              <w:rPr>
                <w:rFonts w:ascii="宋体" w:hAnsi="宋体" w:cs="宋体" w:hint="eastAsia"/>
                <w:color w:val="000000"/>
                <w:sz w:val="21"/>
                <w:szCs w:val="21"/>
              </w:rPr>
              <w:t>流出，损失是经济利益</w:t>
            </w:r>
            <w:r>
              <w:rPr>
                <w:rStyle w:val="font14zd3"/>
                <w:rFonts w:ascii="宋体" w:hAnsi="宋体" w:cs="宋体" w:hint="eastAsia"/>
              </w:rPr>
              <w:t>净</w:t>
            </w:r>
            <w:r>
              <w:rPr>
                <w:rFonts w:ascii="宋体" w:hAnsi="宋体" w:cs="宋体" w:hint="eastAsia"/>
                <w:color w:val="000000"/>
                <w:sz w:val="21"/>
                <w:szCs w:val="21"/>
              </w:rPr>
              <w:t>流出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都会导致所有者权益减少且与向所有者分配利润无关</w:t>
            </w:r>
          </w:p>
        </w:tc>
      </w:tr>
    </w:tbl>
    <w:p w:rsidR="00000000" w:rsidRDefault="009F0CD7" w:rsidP="009F0CD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利得和损失的会计处理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81475" cy="1571625"/>
            <wp:effectExtent l="0" t="0" r="0" b="0"/>
            <wp:docPr id="14" name="图片_x002054b069cd-6897-4d3e-b6b1-f52b6073fdcc" descr="c95df0d3-4358-48ea-9506-813252c573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4b069cd-6897-4d3e-b6b1-f52b6073fdcc" descr="c95df0d3-4358-48ea-9506-813252c573b6"/>
                    <pic:cNvPicPr>
                      <a:picLocks noChangeAspect="1" noChangeArrowheads="1"/>
                    </pic:cNvPicPr>
                  </pic:nvPicPr>
                  <pic:blipFill>
                    <a:blip r:embed="rId18"/>
                    <a:srcRect/>
                    <a:stretch>
                      <a:fillRect/>
                    </a:stretch>
                  </pic:blipFill>
                  <pic:spPr bwMode="auto">
                    <a:xfrm>
                      <a:off x="0" y="0"/>
                      <a:ext cx="4181475" cy="1571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cs="宋体" w:hint="default"/>
          <w:color w:val="000000"/>
        </w:rPr>
        <w:t>多选题】根据《企业会计准则》的规定，下列关于费用的表述中，正确的有（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企业为生产产品、提供劳务等发生的可归属于产品成本、劳务</w:t>
      </w:r>
      <w:r>
        <w:rPr>
          <w:rStyle w:val="fontkaiti1"/>
          <w:rFonts w:cs="宋体" w:hint="default"/>
          <w:color w:val="000000"/>
        </w:rPr>
        <w:t>成本等的费用，应当在确认产品销售收入、劳务收入等时，将已销售产品、已提供劳务的成本等计入当期损益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企业发生的支出不产生经济利益的，或者即使能够产生经济利益但不符合或者不再符合资产确认条件的，应当在发生时确认为费用，计入当期损益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费用只有在经济利益很可能流出从而导致企业资产减少或者负债增加、且经济利益的流出额能够可靠计量时才能予以确认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如果一项支出在会计上不能确认为费用，一定应将其确认为损失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企业经营活动中发生的、会导致所有者权益减少的经济利益的总流出均属于费用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，还可能确认为资产；选项</w:t>
      </w:r>
      <w:r>
        <w:rPr>
          <w:rStyle w:val="fontkaiti1"/>
          <w:rFonts w:cs="宋体" w:hint="default"/>
          <w:color w:val="000000"/>
        </w:rPr>
        <w:t>E</w:t>
      </w:r>
      <w:r>
        <w:rPr>
          <w:rStyle w:val="fontkaiti1"/>
          <w:rFonts w:cs="宋体" w:hint="default"/>
          <w:color w:val="000000"/>
        </w:rPr>
        <w:t>，费用是指企业在日常活动中发生的、会导致所有者权益减少的、与向所有者分配利润无关的经济利益的总流出。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cs="宋体" w:hint="default"/>
          <w:color w:val="000000"/>
        </w:rPr>
        <w:t>多选题】下列关于收入与利得的表述中，正确的有（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收入是企业日常活动中形成的会导致所有者权益增加的经济利益总流入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收入与利得都是经济利益的流入并最终导致所有者权益的增加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企业所发生的利得在会计上均计入营业外收入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收入是从企业的日常活动中产生的，不是偶发的交易或事项中产生的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收入与利得的区别主要在于是否计入企业的当期损益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，收入是企业日常活动中形成的、会导致所有者权益增加的、与所有者投入资本无关的经济利益的总流入；选项</w:t>
      </w:r>
      <w:r>
        <w:rPr>
          <w:rStyle w:val="fontkaiti1"/>
          <w:rFonts w:cs="宋体" w:hint="default"/>
          <w:color w:val="000000"/>
        </w:rPr>
        <w:t>C</w:t>
      </w:r>
      <w:r>
        <w:rPr>
          <w:rStyle w:val="fontkaiti1"/>
          <w:rFonts w:cs="宋体" w:hint="default"/>
          <w:color w:val="000000"/>
        </w:rPr>
        <w:t>，利得并不是均计入营业外收入，还可能计入其他综合收益等；选项</w:t>
      </w:r>
      <w:r>
        <w:rPr>
          <w:rStyle w:val="fontkaiti1"/>
          <w:rFonts w:cs="宋体" w:hint="default"/>
          <w:color w:val="000000"/>
        </w:rPr>
        <w:t>E</w:t>
      </w:r>
      <w:r>
        <w:rPr>
          <w:rStyle w:val="fontkaiti1"/>
          <w:rFonts w:cs="宋体" w:hint="default"/>
          <w:color w:val="000000"/>
        </w:rPr>
        <w:t>，收入与利得的主要区别在于收入是日常活动产生的，而利得是非日常活动产生的。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财务会计计量</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考点三：财务会计计量★</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95575" cy="2333625"/>
            <wp:effectExtent l="19050" t="0" r="9525" b="0"/>
            <wp:docPr id="15" name="图片_x0020f2ff2a46-bd82-4e5e-80ae-7efd9c29b498" descr="c3636fbf-1ec4-43c8-8dae-a14e34b2f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2ff2a46-bd82-4e5e-80ae-7efd9c29b498" descr="c3636fbf-1ec4-43c8-8dae-a14e34b2f4f7"/>
                    <pic:cNvPicPr>
                      <a:picLocks noChangeAspect="1" noChangeArrowheads="1"/>
                    </pic:cNvPicPr>
                  </pic:nvPicPr>
                  <pic:blipFill>
                    <a:blip r:embed="rId19"/>
                    <a:srcRect/>
                    <a:stretch>
                      <a:fillRect/>
                    </a:stretch>
                  </pic:blipFill>
                  <pic:spPr bwMode="auto">
                    <a:xfrm>
                      <a:off x="0" y="0"/>
                      <a:ext cx="2695575" cy="2333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9"/>
        <w:gridCol w:w="6810"/>
        <w:gridCol w:w="1481"/>
      </w:tblGrid>
      <w:tr w:rsidR="00000000" w:rsidTr="009F0CD7">
        <w:trPr>
          <w:cantSplit/>
          <w:trHeight w:val="300"/>
          <w:tblHeader/>
          <w:jc w:val="center"/>
        </w:trPr>
        <w:tc>
          <w:tcPr>
            <w:tcW w:w="124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579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564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适用范围</w:t>
            </w:r>
          </w:p>
        </w:tc>
      </w:tr>
      <w:tr w:rsidR="00000000" w:rsidTr="009F0CD7">
        <w:trPr>
          <w:cantSplit/>
          <w:trHeight w:val="300"/>
          <w:jc w:val="center"/>
        </w:trPr>
        <w:tc>
          <w:tcPr>
            <w:tcW w:w="12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jc w:val="center"/>
              <w:textAlignment w:val="center"/>
              <w:rPr>
                <w:rFonts w:ascii="宋体" w:hAnsi="宋体" w:cs="宋体"/>
                <w:color w:val="000000"/>
                <w:sz w:val="21"/>
                <w:szCs w:val="21"/>
              </w:rPr>
            </w:pPr>
            <w:r>
              <w:rPr>
                <w:rStyle w:val="font14zd3"/>
                <w:rFonts w:ascii="宋体" w:hAnsi="宋体" w:cs="宋体" w:hint="eastAsia"/>
              </w:rPr>
              <w:t>历史成本</w:t>
            </w:r>
          </w:p>
        </w:tc>
        <w:tc>
          <w:tcPr>
            <w:tcW w:w="57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资产按照</w:t>
            </w:r>
            <w:r>
              <w:rPr>
                <w:rStyle w:val="font14zd3"/>
                <w:rFonts w:ascii="宋体" w:hAnsi="宋体" w:cs="宋体" w:hint="eastAsia"/>
              </w:rPr>
              <w:t>购置时</w:t>
            </w:r>
            <w:r>
              <w:rPr>
                <w:rFonts w:ascii="宋体" w:hAnsi="宋体" w:cs="宋体" w:hint="eastAsia"/>
                <w:color w:val="000000"/>
                <w:sz w:val="21"/>
                <w:szCs w:val="21"/>
              </w:rPr>
              <w:t>支付的现</w:t>
            </w:r>
            <w:r>
              <w:rPr>
                <w:rFonts w:ascii="宋体" w:hAnsi="宋体" w:cs="宋体" w:hint="eastAsia"/>
                <w:color w:val="000000"/>
                <w:sz w:val="21"/>
                <w:szCs w:val="21"/>
              </w:rPr>
              <w:t>金或者现金等价物的金额，或者按照购置资产时所付出的对价的公允价值计量；</w:t>
            </w:r>
            <w:r>
              <w:rPr>
                <w:rFonts w:ascii="宋体" w:hAnsi="宋体" w:cs="宋体" w:hint="eastAsia"/>
                <w:color w:val="000000"/>
                <w:sz w:val="21"/>
                <w:szCs w:val="21"/>
              </w:rPr>
              <w:br/>
            </w:r>
            <w:r>
              <w:rPr>
                <w:rFonts w:ascii="宋体" w:hAnsi="宋体" w:cs="宋体" w:hint="eastAsia"/>
                <w:color w:val="000000"/>
                <w:sz w:val="21"/>
                <w:szCs w:val="21"/>
              </w:rPr>
              <w:t>负债按照因承担现时义务而</w:t>
            </w:r>
            <w:r>
              <w:rPr>
                <w:rStyle w:val="font14zd3"/>
                <w:rFonts w:ascii="宋体" w:hAnsi="宋体" w:cs="宋体" w:hint="eastAsia"/>
              </w:rPr>
              <w:t>实际收到</w:t>
            </w:r>
            <w:r>
              <w:rPr>
                <w:rFonts w:ascii="宋体" w:hAnsi="宋体" w:cs="宋体" w:hint="eastAsia"/>
                <w:color w:val="000000"/>
                <w:sz w:val="21"/>
                <w:szCs w:val="21"/>
              </w:rPr>
              <w:t>的款项或者资产的金额，或者承担现时义务的</w:t>
            </w:r>
            <w:r>
              <w:rPr>
                <w:rStyle w:val="font14zd3"/>
                <w:rFonts w:ascii="宋体" w:hAnsi="宋体" w:cs="宋体" w:hint="eastAsia"/>
              </w:rPr>
              <w:t>合同</w:t>
            </w:r>
            <w:r>
              <w:rPr>
                <w:rFonts w:ascii="宋体" w:hAnsi="宋体" w:cs="宋体" w:hint="eastAsia"/>
                <w:color w:val="000000"/>
                <w:sz w:val="21"/>
                <w:szCs w:val="21"/>
              </w:rPr>
              <w:t>金额，或者按照日常活动中为偿还负债预期需要支付的现金或者现金等价物的金额计量</w:t>
            </w:r>
          </w:p>
        </w:tc>
        <w:tc>
          <w:tcPr>
            <w:tcW w:w="56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一般业务对于资产、负债等的计量</w:t>
            </w:r>
          </w:p>
        </w:tc>
      </w:tr>
      <w:tr w:rsidR="00000000" w:rsidTr="009F0CD7">
        <w:trPr>
          <w:cantSplit/>
          <w:trHeight w:val="300"/>
          <w:jc w:val="center"/>
        </w:trPr>
        <w:tc>
          <w:tcPr>
            <w:tcW w:w="12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jc w:val="center"/>
              <w:textAlignment w:val="center"/>
              <w:rPr>
                <w:rFonts w:ascii="宋体" w:hAnsi="宋体" w:cs="宋体"/>
                <w:color w:val="000000"/>
                <w:sz w:val="21"/>
                <w:szCs w:val="21"/>
              </w:rPr>
            </w:pPr>
            <w:r>
              <w:rPr>
                <w:rStyle w:val="font14zd3"/>
                <w:rFonts w:ascii="宋体" w:hAnsi="宋体" w:cs="宋体" w:hint="eastAsia"/>
              </w:rPr>
              <w:t>重置成本</w:t>
            </w:r>
          </w:p>
        </w:tc>
        <w:tc>
          <w:tcPr>
            <w:tcW w:w="57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资产按照</w:t>
            </w:r>
            <w:r>
              <w:rPr>
                <w:rStyle w:val="font14zd3"/>
                <w:rFonts w:ascii="宋体" w:hAnsi="宋体" w:cs="宋体" w:hint="eastAsia"/>
              </w:rPr>
              <w:t>现在购买</w:t>
            </w:r>
            <w:r>
              <w:rPr>
                <w:rFonts w:ascii="宋体" w:hAnsi="宋体" w:cs="宋体" w:hint="eastAsia"/>
                <w:color w:val="000000"/>
                <w:sz w:val="21"/>
                <w:szCs w:val="21"/>
              </w:rPr>
              <w:t>相同或者相似资产所需支付的现金或者现金等价物的金额计量；</w:t>
            </w:r>
            <w:r>
              <w:rPr>
                <w:rFonts w:ascii="宋体" w:hAnsi="宋体" w:cs="宋体" w:hint="eastAsia"/>
                <w:color w:val="000000"/>
                <w:sz w:val="21"/>
                <w:szCs w:val="21"/>
              </w:rPr>
              <w:br/>
            </w:r>
            <w:r>
              <w:rPr>
                <w:rFonts w:ascii="宋体" w:hAnsi="宋体" w:cs="宋体" w:hint="eastAsia"/>
                <w:color w:val="000000"/>
                <w:sz w:val="21"/>
                <w:szCs w:val="21"/>
              </w:rPr>
              <w:t>负债按照</w:t>
            </w:r>
            <w:r>
              <w:rPr>
                <w:rStyle w:val="font14zd3"/>
                <w:rFonts w:ascii="宋体" w:hAnsi="宋体" w:cs="宋体" w:hint="eastAsia"/>
              </w:rPr>
              <w:t>现在偿付</w:t>
            </w:r>
            <w:r>
              <w:rPr>
                <w:rFonts w:ascii="宋体" w:hAnsi="宋体" w:cs="宋体" w:hint="eastAsia"/>
                <w:color w:val="000000"/>
                <w:sz w:val="21"/>
                <w:szCs w:val="21"/>
              </w:rPr>
              <w:t>该项债务所需支付的现金或者现金等价物的金额计量</w:t>
            </w:r>
          </w:p>
        </w:tc>
        <w:tc>
          <w:tcPr>
            <w:tcW w:w="56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盘盈存货</w:t>
            </w:r>
            <w:r>
              <w:rPr>
                <w:rFonts w:ascii="宋体" w:hAnsi="宋体" w:cs="宋体" w:hint="eastAsia"/>
                <w:color w:val="000000"/>
                <w:sz w:val="21"/>
                <w:szCs w:val="21"/>
              </w:rPr>
              <w:br/>
            </w:r>
            <w:r>
              <w:rPr>
                <w:rFonts w:ascii="宋体" w:hAnsi="宋体" w:cs="宋体" w:hint="eastAsia"/>
                <w:color w:val="000000"/>
                <w:sz w:val="21"/>
                <w:szCs w:val="21"/>
              </w:rPr>
              <w:t>借：库存商品</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贷：待处理财产损益</w:t>
            </w:r>
            <w:r>
              <w:rPr>
                <w:rFonts w:ascii="宋体" w:hAnsi="宋体" w:cs="宋体" w:hint="eastAsia"/>
                <w:color w:val="000000"/>
                <w:sz w:val="21"/>
                <w:szCs w:val="21"/>
              </w:rPr>
              <w:br/>
            </w:r>
            <w:r>
              <w:rPr>
                <w:rFonts w:ascii="宋体" w:hAnsi="宋体" w:cs="宋体" w:hint="eastAsia"/>
                <w:color w:val="000000"/>
                <w:sz w:val="21"/>
                <w:szCs w:val="21"/>
              </w:rPr>
              <w:t>盘盈固定资产</w:t>
            </w:r>
            <w:r>
              <w:rPr>
                <w:rFonts w:ascii="宋体" w:hAnsi="宋体" w:cs="宋体" w:hint="eastAsia"/>
                <w:color w:val="000000"/>
                <w:sz w:val="21"/>
                <w:szCs w:val="21"/>
              </w:rPr>
              <w:br/>
            </w:r>
            <w:r>
              <w:rPr>
                <w:rFonts w:ascii="宋体" w:hAnsi="宋体" w:cs="宋体" w:hint="eastAsia"/>
                <w:color w:val="000000"/>
                <w:sz w:val="21"/>
                <w:szCs w:val="21"/>
              </w:rPr>
              <w:t>借：固定资产</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贷：以前年</w:t>
            </w:r>
            <w:r>
              <w:rPr>
                <w:rFonts w:ascii="宋体" w:hAnsi="宋体" w:cs="宋体" w:hint="eastAsia"/>
                <w:color w:val="000000"/>
                <w:sz w:val="21"/>
                <w:szCs w:val="21"/>
              </w:rPr>
              <w:t>度损益调整</w:t>
            </w:r>
          </w:p>
        </w:tc>
      </w:tr>
      <w:tr w:rsidR="00000000" w:rsidTr="009F0CD7">
        <w:trPr>
          <w:cantSplit/>
          <w:trHeight w:val="300"/>
          <w:jc w:val="center"/>
        </w:trPr>
        <w:tc>
          <w:tcPr>
            <w:tcW w:w="12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jc w:val="center"/>
              <w:textAlignment w:val="center"/>
              <w:rPr>
                <w:rFonts w:ascii="宋体" w:hAnsi="宋体" w:cs="宋体"/>
                <w:color w:val="000000"/>
                <w:sz w:val="21"/>
                <w:szCs w:val="21"/>
              </w:rPr>
            </w:pPr>
            <w:r>
              <w:rPr>
                <w:rStyle w:val="font14zd3"/>
                <w:rFonts w:ascii="宋体" w:hAnsi="宋体" w:cs="宋体" w:hint="eastAsia"/>
              </w:rPr>
              <w:t>可变现净值</w:t>
            </w:r>
          </w:p>
        </w:tc>
        <w:tc>
          <w:tcPr>
            <w:tcW w:w="57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资产按照其正常对外销售所能收到现金或者现金等价物的金额扣减该资产至完工时估计将要发生的成本、估计的销售费用以及相关税费后的金额计量</w:t>
            </w:r>
          </w:p>
        </w:tc>
        <w:tc>
          <w:tcPr>
            <w:tcW w:w="56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期末存货的计量</w:t>
            </w:r>
            <w:r>
              <w:rPr>
                <w:rFonts w:ascii="宋体" w:hAnsi="宋体" w:cs="宋体" w:hint="eastAsia"/>
                <w:color w:val="000000"/>
                <w:sz w:val="21"/>
                <w:szCs w:val="21"/>
              </w:rPr>
              <w:br/>
            </w:r>
            <w:r>
              <w:rPr>
                <w:rFonts w:ascii="宋体" w:hAnsi="宋体" w:cs="宋体" w:hint="eastAsia"/>
                <w:color w:val="000000"/>
                <w:sz w:val="21"/>
                <w:szCs w:val="21"/>
              </w:rPr>
              <w:t>例如存货成本为</w:t>
            </w:r>
            <w:r>
              <w:rPr>
                <w:rFonts w:ascii="宋体" w:hAnsi="宋体" w:cs="宋体" w:hint="eastAsia"/>
                <w:color w:val="000000"/>
                <w:sz w:val="21"/>
                <w:szCs w:val="21"/>
              </w:rPr>
              <w:t>100</w:t>
            </w:r>
            <w:r>
              <w:rPr>
                <w:rFonts w:ascii="宋体" w:hAnsi="宋体" w:cs="宋体" w:hint="eastAsia"/>
                <w:color w:val="000000"/>
                <w:sz w:val="21"/>
                <w:szCs w:val="21"/>
              </w:rPr>
              <w:t>万元，可变现净值为</w:t>
            </w:r>
            <w:r>
              <w:rPr>
                <w:rFonts w:ascii="宋体" w:hAnsi="宋体" w:cs="宋体" w:hint="eastAsia"/>
                <w:color w:val="000000"/>
                <w:sz w:val="21"/>
                <w:szCs w:val="21"/>
              </w:rPr>
              <w:t>80</w:t>
            </w:r>
            <w:r>
              <w:rPr>
                <w:rFonts w:ascii="宋体" w:hAnsi="宋体" w:cs="宋体" w:hint="eastAsia"/>
                <w:color w:val="000000"/>
                <w:sz w:val="21"/>
                <w:szCs w:val="21"/>
              </w:rPr>
              <w:t>万元。会计处理如下：</w:t>
            </w:r>
            <w:r>
              <w:rPr>
                <w:rFonts w:ascii="宋体" w:hAnsi="宋体" w:cs="宋体" w:hint="eastAsia"/>
                <w:color w:val="000000"/>
                <w:sz w:val="21"/>
                <w:szCs w:val="21"/>
              </w:rPr>
              <w:br/>
            </w:r>
            <w:r>
              <w:rPr>
                <w:rFonts w:ascii="宋体" w:hAnsi="宋体" w:cs="宋体" w:hint="eastAsia"/>
                <w:color w:val="000000"/>
                <w:sz w:val="21"/>
                <w:szCs w:val="21"/>
              </w:rPr>
              <w:t>借：资产减值损</w:t>
            </w:r>
            <w:r>
              <w:rPr>
                <w:rFonts w:ascii="宋体" w:hAnsi="宋体" w:cs="宋体" w:hint="eastAsia"/>
                <w:color w:val="000000"/>
                <w:sz w:val="21"/>
                <w:szCs w:val="21"/>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20</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贷：存货跌价准</w:t>
            </w:r>
            <w:r>
              <w:rPr>
                <w:rFonts w:ascii="宋体" w:hAnsi="宋体" w:cs="宋体" w:hint="eastAsia"/>
                <w:color w:val="000000"/>
                <w:sz w:val="21"/>
                <w:szCs w:val="21"/>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20</w:t>
            </w:r>
          </w:p>
        </w:tc>
      </w:tr>
      <w:tr w:rsidR="00000000" w:rsidTr="009F0CD7">
        <w:trPr>
          <w:cantSplit/>
          <w:trHeight w:val="300"/>
          <w:jc w:val="center"/>
        </w:trPr>
        <w:tc>
          <w:tcPr>
            <w:tcW w:w="12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jc w:val="center"/>
              <w:textAlignment w:val="center"/>
              <w:rPr>
                <w:rFonts w:ascii="宋体" w:hAnsi="宋体" w:cs="宋体"/>
                <w:color w:val="000000"/>
                <w:sz w:val="21"/>
                <w:szCs w:val="21"/>
              </w:rPr>
            </w:pPr>
            <w:r>
              <w:rPr>
                <w:rStyle w:val="font14zd3"/>
                <w:rFonts w:ascii="宋体" w:hAnsi="宋体" w:cs="宋体" w:hint="eastAsia"/>
              </w:rPr>
              <w:t>现值</w:t>
            </w:r>
          </w:p>
        </w:tc>
        <w:tc>
          <w:tcPr>
            <w:tcW w:w="57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资产按照预计从其持续使用和最终处置中所产生的未来净现金流入量的</w:t>
            </w:r>
            <w:r>
              <w:rPr>
                <w:rStyle w:val="font14zd3"/>
                <w:rFonts w:ascii="宋体" w:hAnsi="宋体" w:cs="宋体" w:hint="eastAsia"/>
              </w:rPr>
              <w:t>折现金额</w:t>
            </w:r>
            <w:r>
              <w:rPr>
                <w:rFonts w:ascii="宋体" w:hAnsi="宋体" w:cs="宋体" w:hint="eastAsia"/>
                <w:color w:val="000000"/>
                <w:sz w:val="21"/>
                <w:szCs w:val="21"/>
              </w:rPr>
              <w:t>计量；</w:t>
            </w:r>
            <w:r>
              <w:rPr>
                <w:rFonts w:ascii="宋体" w:hAnsi="宋体" w:cs="宋体" w:hint="eastAsia"/>
                <w:color w:val="000000"/>
                <w:sz w:val="21"/>
                <w:szCs w:val="21"/>
              </w:rPr>
              <w:br/>
            </w:r>
            <w:r>
              <w:rPr>
                <w:rFonts w:ascii="宋体" w:hAnsi="宋体" w:cs="宋体" w:hint="eastAsia"/>
                <w:color w:val="000000"/>
                <w:sz w:val="21"/>
                <w:szCs w:val="21"/>
              </w:rPr>
              <w:t>负债按照预计期限内需要偿还的未来净现金流出量的</w:t>
            </w:r>
            <w:r>
              <w:rPr>
                <w:rStyle w:val="font14zd3"/>
                <w:rFonts w:ascii="宋体" w:hAnsi="宋体" w:cs="宋体" w:hint="eastAsia"/>
              </w:rPr>
              <w:t>折现金额</w:t>
            </w:r>
            <w:r>
              <w:rPr>
                <w:rFonts w:ascii="宋体" w:hAnsi="宋体" w:cs="宋体" w:hint="eastAsia"/>
                <w:color w:val="000000"/>
                <w:sz w:val="21"/>
                <w:szCs w:val="21"/>
              </w:rPr>
              <w:t>计量</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10050" cy="933450"/>
                  <wp:effectExtent l="19050" t="0" r="0" b="0"/>
                  <wp:docPr id="16" name="图片_x0020a1c33aef-9ef2-4b34-ae7c-7a0fcf0b3ea1" descr="931811de-5f3c-4d62-95ee-5f0349f54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1c33aef-9ef2-4b34-ae7c-7a0fcf0b3ea1" descr="931811de-5f3c-4d62-95ee-5f0349f544de"/>
                          <pic:cNvPicPr>
                            <a:picLocks noChangeAspect="1" noChangeArrowheads="1"/>
                          </pic:cNvPicPr>
                        </pic:nvPicPr>
                        <pic:blipFill>
                          <a:blip r:embed="rId20"/>
                          <a:srcRect/>
                          <a:stretch>
                            <a:fillRect/>
                          </a:stretch>
                        </pic:blipFill>
                        <pic:spPr bwMode="auto">
                          <a:xfrm>
                            <a:off x="0" y="0"/>
                            <a:ext cx="4210050" cy="933450"/>
                          </a:xfrm>
                          <a:prstGeom prst="rect">
                            <a:avLst/>
                          </a:prstGeom>
                          <a:noFill/>
                          <a:ln w="9525">
                            <a:noFill/>
                            <a:miter lim="800000"/>
                            <a:headEnd/>
                            <a:tailEnd/>
                          </a:ln>
                        </pic:spPr>
                      </pic:pic>
                    </a:graphicData>
                  </a:graphic>
                </wp:inline>
              </w:drawing>
            </w:r>
          </w:p>
        </w:tc>
        <w:tc>
          <w:tcPr>
            <w:tcW w:w="56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资产减值、具有融资性质的分期付款购入固定</w:t>
            </w:r>
            <w:r>
              <w:rPr>
                <w:rFonts w:ascii="宋体" w:hAnsi="宋体" w:cs="宋体" w:hint="eastAsia"/>
                <w:color w:val="000000"/>
                <w:sz w:val="21"/>
                <w:szCs w:val="21"/>
              </w:rPr>
              <w:t>资产、租入资产、可转换公司债券分拆的负债成分价值等（先了解）</w:t>
            </w:r>
          </w:p>
        </w:tc>
      </w:tr>
      <w:tr w:rsidR="00000000" w:rsidTr="009F0CD7">
        <w:trPr>
          <w:cantSplit/>
          <w:trHeight w:val="300"/>
          <w:jc w:val="center"/>
        </w:trPr>
        <w:tc>
          <w:tcPr>
            <w:tcW w:w="12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jc w:val="center"/>
              <w:textAlignment w:val="center"/>
              <w:rPr>
                <w:rFonts w:ascii="宋体" w:hAnsi="宋体" w:cs="宋体"/>
                <w:color w:val="000000"/>
                <w:sz w:val="21"/>
                <w:szCs w:val="21"/>
              </w:rPr>
            </w:pPr>
            <w:r>
              <w:rPr>
                <w:rStyle w:val="font14zd3"/>
                <w:rFonts w:ascii="宋体" w:hAnsi="宋体" w:cs="宋体" w:hint="eastAsia"/>
              </w:rPr>
              <w:t>公允价值</w:t>
            </w:r>
          </w:p>
        </w:tc>
        <w:tc>
          <w:tcPr>
            <w:tcW w:w="57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Style w:val="font14zd3"/>
                <w:rFonts w:ascii="宋体" w:hAnsi="宋体" w:cs="宋体" w:hint="eastAsia"/>
              </w:rPr>
              <w:t>市场参与者</w:t>
            </w:r>
            <w:r>
              <w:rPr>
                <w:rFonts w:ascii="宋体" w:hAnsi="宋体" w:cs="宋体" w:hint="eastAsia"/>
                <w:color w:val="000000"/>
                <w:sz w:val="21"/>
                <w:szCs w:val="21"/>
              </w:rPr>
              <w:t>在</w:t>
            </w:r>
            <w:r>
              <w:rPr>
                <w:rStyle w:val="font14zd3"/>
                <w:rFonts w:ascii="宋体" w:hAnsi="宋体" w:cs="宋体" w:hint="eastAsia"/>
              </w:rPr>
              <w:t>计量日</w:t>
            </w:r>
            <w:r>
              <w:rPr>
                <w:rFonts w:ascii="宋体" w:hAnsi="宋体" w:cs="宋体" w:hint="eastAsia"/>
                <w:color w:val="000000"/>
                <w:sz w:val="21"/>
                <w:szCs w:val="21"/>
              </w:rPr>
              <w:t>发生的</w:t>
            </w:r>
            <w:r>
              <w:rPr>
                <w:rStyle w:val="font14zd3"/>
                <w:rFonts w:ascii="宋体" w:hAnsi="宋体" w:cs="宋体" w:hint="eastAsia"/>
              </w:rPr>
              <w:t>有序交易</w:t>
            </w:r>
            <w:r>
              <w:rPr>
                <w:rFonts w:ascii="宋体" w:hAnsi="宋体" w:cs="宋体" w:hint="eastAsia"/>
                <w:color w:val="000000"/>
                <w:sz w:val="21"/>
                <w:szCs w:val="21"/>
              </w:rPr>
              <w:t>中，出售一项资产所能收到或者转移一项负债所支付的价格。</w:t>
            </w:r>
            <w:r>
              <w:rPr>
                <w:rFonts w:ascii="宋体" w:hAnsi="宋体" w:cs="宋体" w:hint="eastAsia"/>
                <w:color w:val="000000"/>
                <w:sz w:val="21"/>
                <w:szCs w:val="21"/>
              </w:rPr>
              <w:br/>
            </w:r>
            <w:r>
              <w:rPr>
                <w:rStyle w:val="font14zd3"/>
                <w:rFonts w:ascii="宋体" w:hAnsi="宋体" w:cs="宋体" w:hint="eastAsia"/>
              </w:rPr>
              <w:t>有序交易</w:t>
            </w:r>
            <w:r>
              <w:rPr>
                <w:rFonts w:ascii="宋体" w:hAnsi="宋体" w:cs="宋体" w:hint="eastAsia"/>
                <w:color w:val="000000"/>
                <w:sz w:val="21"/>
                <w:szCs w:val="21"/>
              </w:rPr>
              <w:t>是指在计量日前一段时期内相关资产或负债具有</w:t>
            </w:r>
            <w:r>
              <w:rPr>
                <w:rStyle w:val="font14zd3"/>
                <w:rFonts w:ascii="宋体" w:hAnsi="宋体" w:cs="宋体" w:hint="eastAsia"/>
              </w:rPr>
              <w:t>惯常市场活动</w:t>
            </w:r>
            <w:r>
              <w:rPr>
                <w:rFonts w:ascii="宋体" w:hAnsi="宋体" w:cs="宋体" w:hint="eastAsia"/>
                <w:color w:val="000000"/>
                <w:sz w:val="21"/>
                <w:szCs w:val="21"/>
              </w:rPr>
              <w:t>的交易，清算等被迫交易不属于有序交易</w:t>
            </w:r>
          </w:p>
        </w:tc>
        <w:tc>
          <w:tcPr>
            <w:tcW w:w="56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其他债权投资、交易性金融资产、其他权益工具投资、公允价值模式后续计量的投资性房地产、现金结算的股份支付形成的应付职工薪酬等（先了解）</w:t>
            </w:r>
          </w:p>
        </w:tc>
      </w:tr>
    </w:tbl>
    <w:p w:rsidR="00000000" w:rsidRDefault="009F0CD7" w:rsidP="009F0CD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企业资产按购买时付出对价的公允价值计量，负债按照承担现时义务的合同金额计量，则所采用的计量</w:t>
      </w:r>
      <w:r>
        <w:rPr>
          <w:rStyle w:val="fontkaiti1"/>
          <w:rFonts w:cs="宋体" w:hint="default"/>
          <w:color w:val="000000"/>
        </w:rPr>
        <w:t>属性为（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可变现净值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历史成本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重置成本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在历史成本计量下，资产按照购买时支付的现金或者现金等价物的金额，或者按照购买资产时所付出的对价的公允价值计量；负债按照因承担现时义务而实际收到的款项或者资产的金额，或者承担现时义务的合同金额，或者按照日常活动中为偿还负债预期需要支付的现金或现金等价物的金额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本节课小结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会计要素及其确认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会计要素计量属性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企业财务会计信息质</w:t>
      </w:r>
      <w:r>
        <w:rPr>
          <w:rStyle w:val="barfont1"/>
          <w:rFonts w:cs="宋体" w:hint="default"/>
        </w:rPr>
        <w:t>量要求及其核算规范</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9F0CD7" w:rsidP="009F0CD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企业财务会计信息质量要求及其核算规范</w:t>
      </w:r>
      <w:r>
        <w:rPr>
          <w:rFonts w:ascii="宋体" w:hAnsi="宋体" w:cs="宋体" w:hint="eastAsia"/>
          <w:color w:val="000000"/>
          <w:sz w:val="21"/>
          <w:szCs w:val="21"/>
        </w:rPr>
        <w:t xml:space="preserve"> </w:t>
      </w:r>
    </w:p>
    <w:p w:rsidR="00000000" w:rsidRDefault="009F0CD7" w:rsidP="009F0CD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考点四：财务会计信息质量要求★★★</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可靠性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相关性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可理解性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可比性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实质重于形式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重要性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谨慎性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及时性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（一）可靠性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企业应当以</w:t>
      </w:r>
      <w:r>
        <w:rPr>
          <w:rStyle w:val="font14zd2"/>
          <w:rFonts w:ascii="宋体" w:hAnsi="宋体" w:cs="宋体" w:hint="eastAsia"/>
        </w:rPr>
        <w:t>实际发生</w:t>
      </w:r>
      <w:r>
        <w:rPr>
          <w:rFonts w:ascii="宋体" w:hAnsi="宋体" w:cs="宋体" w:hint="eastAsia"/>
          <w:color w:val="000000"/>
          <w:sz w:val="21"/>
          <w:szCs w:val="21"/>
        </w:rPr>
        <w:t>的交易或者事项为依据进行会计核算，</w:t>
      </w:r>
      <w:r>
        <w:rPr>
          <w:rStyle w:val="font14zd2"/>
          <w:rFonts w:ascii="宋体" w:hAnsi="宋体" w:cs="宋体" w:hint="eastAsia"/>
        </w:rPr>
        <w:t>如实</w:t>
      </w:r>
      <w:r>
        <w:rPr>
          <w:rFonts w:ascii="宋体" w:hAnsi="宋体" w:cs="宋体" w:hint="eastAsia"/>
          <w:color w:val="000000"/>
          <w:sz w:val="21"/>
          <w:szCs w:val="21"/>
        </w:rPr>
        <w:t>反映符合确认和计量要求的各项会计要素及其他相关信息，保证会计信息</w:t>
      </w:r>
      <w:r>
        <w:rPr>
          <w:rStyle w:val="font14zd2"/>
          <w:rFonts w:ascii="宋体" w:hAnsi="宋体" w:cs="宋体" w:hint="eastAsia"/>
        </w:rPr>
        <w:t>真实可靠、内容完整。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（二）相关性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w:t>
      </w:r>
      <w:r>
        <w:rPr>
          <w:rFonts w:ascii="宋体" w:hAnsi="宋体" w:cs="宋体" w:hint="eastAsia"/>
          <w:color w:val="000000"/>
          <w:sz w:val="21"/>
          <w:szCs w:val="21"/>
        </w:rPr>
        <w:t>提供的会计信息应当与财务报告使用者的</w:t>
      </w:r>
      <w:r>
        <w:rPr>
          <w:rStyle w:val="font14zd2"/>
          <w:rFonts w:ascii="宋体" w:hAnsi="宋体" w:cs="宋体" w:hint="eastAsia"/>
        </w:rPr>
        <w:t>经济决策需要相关</w:t>
      </w:r>
      <w:r>
        <w:rPr>
          <w:rFonts w:ascii="宋体" w:hAnsi="宋体" w:cs="宋体" w:hint="eastAsia"/>
          <w:color w:val="000000"/>
          <w:sz w:val="21"/>
          <w:szCs w:val="21"/>
        </w:rPr>
        <w:t>，有助于财务报告使用者对企业过去、现在或者未来的情况作出</w:t>
      </w:r>
      <w:r>
        <w:rPr>
          <w:rStyle w:val="font14zd2"/>
          <w:rFonts w:ascii="宋体" w:hAnsi="宋体" w:cs="宋体" w:hint="eastAsia"/>
        </w:rPr>
        <w:t>评价</w:t>
      </w:r>
      <w:r>
        <w:rPr>
          <w:rFonts w:ascii="宋体" w:hAnsi="宋体" w:cs="宋体" w:hint="eastAsia"/>
          <w:color w:val="000000"/>
          <w:sz w:val="21"/>
          <w:szCs w:val="21"/>
        </w:rPr>
        <w:t>或者</w:t>
      </w:r>
      <w:r>
        <w:rPr>
          <w:rStyle w:val="font14zd2"/>
          <w:rFonts w:ascii="宋体" w:hAnsi="宋体" w:cs="宋体" w:hint="eastAsia"/>
        </w:rPr>
        <w:t>预测。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【应用】</w:t>
      </w:r>
      <w:r>
        <w:rPr>
          <w:rFonts w:ascii="宋体" w:hAnsi="宋体" w:cs="宋体" w:hint="eastAsia"/>
          <w:color w:val="000000"/>
          <w:sz w:val="21"/>
          <w:szCs w:val="21"/>
        </w:rPr>
        <w:t>从“管理费用”中分离出来“研发费用”单独列报，资产和负债按照流动性列报等。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资产负债表样张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36"/>
        <w:gridCol w:w="879"/>
        <w:gridCol w:w="1225"/>
        <w:gridCol w:w="3166"/>
        <w:gridCol w:w="879"/>
        <w:gridCol w:w="1225"/>
      </w:tblGrid>
      <w:tr w:rsidR="00000000" w:rsidTr="009F0CD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资产</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期末余额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上年年末余额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负债和所有者权益（或股东权益）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期末余额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F0CD7" w:rsidP="009F0CD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上年年末余额</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流动资产：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流动负债：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交易性金融资产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流动负债合计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非流动负债：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流动资产合计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非流动资产：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递延所得税负债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非流动资产合计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非流动负债合计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负债合计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所有者权益（或股东权益）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盈余公积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未分配利润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所有者权益（或股东权益）合计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F0CD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资产总计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负债和所有者权益（或股东权益）总计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F0CD7" w:rsidP="009F0CD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9F0CD7" w:rsidP="009F0CD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（三）可理解性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企业提供的会计信息应当</w:t>
      </w:r>
      <w:r>
        <w:rPr>
          <w:rStyle w:val="font14zd2"/>
          <w:rFonts w:ascii="宋体" w:hAnsi="宋体" w:cs="宋体" w:hint="eastAsia"/>
        </w:rPr>
        <w:t>清晰明了</w:t>
      </w:r>
      <w:r>
        <w:rPr>
          <w:rFonts w:ascii="宋体" w:hAnsi="宋体" w:cs="宋体" w:hint="eastAsia"/>
          <w:color w:val="000000"/>
          <w:sz w:val="21"/>
          <w:szCs w:val="21"/>
        </w:rPr>
        <w:t>，便于财务报告使用者理解和使用。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【应用】</w:t>
      </w:r>
      <w:r>
        <w:rPr>
          <w:rFonts w:ascii="宋体" w:hAnsi="宋体" w:cs="宋体" w:hint="eastAsia"/>
          <w:color w:val="000000"/>
          <w:sz w:val="21"/>
          <w:szCs w:val="21"/>
        </w:rPr>
        <w:t>报表附注的披露等。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（四）可比性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纵向可比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同一企业不同时期</w:t>
      </w:r>
      <w:r>
        <w:rPr>
          <w:rFonts w:ascii="宋体" w:hAnsi="宋体" w:cs="宋体" w:hint="eastAsia"/>
          <w:color w:val="000000"/>
          <w:sz w:val="21"/>
          <w:szCs w:val="21"/>
        </w:rPr>
        <w:t>发生的相同或者相似的交易</w:t>
      </w:r>
      <w:r>
        <w:rPr>
          <w:rFonts w:ascii="宋体" w:hAnsi="宋体" w:cs="宋体" w:hint="eastAsia"/>
          <w:color w:val="000000"/>
          <w:sz w:val="21"/>
          <w:szCs w:val="21"/>
        </w:rPr>
        <w:t>或者事项，应当采用一致的会计政策，不得随意变更。确需变更的，应当在附注中说明。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横向可比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不同企业同一会计期间</w:t>
      </w:r>
      <w:r>
        <w:rPr>
          <w:rFonts w:ascii="宋体" w:hAnsi="宋体" w:cs="宋体" w:hint="eastAsia"/>
          <w:color w:val="000000"/>
          <w:sz w:val="21"/>
          <w:szCs w:val="21"/>
        </w:rPr>
        <w:t>发生的相同或者相似的交易或者事项，应当采用相同或相似的会计政策，确保会计信息口径一致、相互可比。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【应用】</w:t>
      </w:r>
      <w:r>
        <w:rPr>
          <w:rFonts w:ascii="宋体" w:hAnsi="宋体" w:cs="宋体" w:hint="eastAsia"/>
          <w:color w:val="000000"/>
          <w:sz w:val="21"/>
          <w:szCs w:val="21"/>
        </w:rPr>
        <w:t>会计政策、会计估计不得随意变更，会计政策变更的追溯调整法等。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（五）实质重于形式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企业应当按照交易或者事项的</w:t>
      </w:r>
      <w:r>
        <w:rPr>
          <w:rStyle w:val="font14zd2"/>
          <w:rFonts w:ascii="宋体" w:hAnsi="宋体" w:cs="宋体" w:hint="eastAsia"/>
        </w:rPr>
        <w:t>经济实质</w:t>
      </w:r>
      <w:r>
        <w:rPr>
          <w:rFonts w:ascii="宋体" w:hAnsi="宋体" w:cs="宋体" w:hint="eastAsia"/>
          <w:color w:val="000000"/>
          <w:sz w:val="21"/>
          <w:szCs w:val="21"/>
        </w:rPr>
        <w:t>进行会计确认、计量和报告，不应仅以交易或者事项的</w:t>
      </w:r>
      <w:r>
        <w:rPr>
          <w:rStyle w:val="font14zd2"/>
          <w:rFonts w:ascii="宋体" w:hAnsi="宋体" w:cs="宋体" w:hint="eastAsia"/>
        </w:rPr>
        <w:t>法律形式</w:t>
      </w:r>
      <w:r>
        <w:rPr>
          <w:rFonts w:ascii="宋体" w:hAnsi="宋体" w:cs="宋体" w:hint="eastAsia"/>
          <w:color w:val="000000"/>
          <w:sz w:val="21"/>
          <w:szCs w:val="21"/>
        </w:rPr>
        <w:t>为依据。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【应用】</w:t>
      </w:r>
      <w:r>
        <w:rPr>
          <w:rFonts w:ascii="宋体" w:hAnsi="宋体" w:cs="宋体" w:hint="eastAsia"/>
          <w:color w:val="000000"/>
          <w:sz w:val="21"/>
          <w:szCs w:val="21"/>
        </w:rPr>
        <w:t>融资性售后回购不确认收入、商业承兑汇票的贴现按照质押融资处理等。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（六）重要性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企业提供的会计信息应当反映与企业财务状况、经营成果和现金流量等有关的</w:t>
      </w:r>
      <w:r>
        <w:rPr>
          <w:rStyle w:val="font14zd2"/>
          <w:rFonts w:ascii="宋体" w:hAnsi="宋体" w:cs="宋体" w:hint="eastAsia"/>
        </w:rPr>
        <w:t>所有重要</w:t>
      </w:r>
      <w:r>
        <w:rPr>
          <w:rFonts w:ascii="宋体" w:hAnsi="宋体" w:cs="宋体" w:hint="eastAsia"/>
          <w:color w:val="000000"/>
          <w:sz w:val="21"/>
          <w:szCs w:val="21"/>
        </w:rPr>
        <w:t>交易或者事项。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【应用】</w:t>
      </w:r>
      <w:r>
        <w:rPr>
          <w:rFonts w:ascii="宋体" w:hAnsi="宋体" w:cs="宋体" w:hint="eastAsia"/>
          <w:color w:val="000000"/>
          <w:sz w:val="21"/>
          <w:szCs w:val="21"/>
        </w:rPr>
        <w:t>购入办公用品直接计入管理费用等。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（七）谨慎性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谨慎性是指企业对交易或者事项进行会计确认、计量和报告应当保持应有的谨慎，</w:t>
      </w:r>
      <w:r>
        <w:rPr>
          <w:rStyle w:val="font14zd2"/>
          <w:rFonts w:ascii="宋体" w:hAnsi="宋体" w:cs="宋体" w:hint="eastAsia"/>
        </w:rPr>
        <w:t>不应高估资产或者收益、不应低估负债或者费用。</w:t>
      </w:r>
      <w:r>
        <w:rPr>
          <w:rStyle w:val="font14zd2"/>
          <w:rFonts w:ascii="宋体" w:hAnsi="宋体" w:cs="宋体" w:hint="eastAsia"/>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【应用】</w:t>
      </w:r>
      <w:r>
        <w:rPr>
          <w:rFonts w:ascii="宋体" w:hAnsi="宋体" w:cs="宋体" w:hint="eastAsia"/>
          <w:color w:val="000000"/>
          <w:sz w:val="21"/>
          <w:szCs w:val="21"/>
        </w:rPr>
        <w:t>对资产计提减值准备、计提预计负债、加速折旧法等。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温馨提示：</w:t>
      </w:r>
      <w:r>
        <w:rPr>
          <w:rFonts w:ascii="宋体" w:hAnsi="宋体" w:cs="宋体" w:hint="eastAsia"/>
          <w:color w:val="000000"/>
          <w:sz w:val="21"/>
          <w:szCs w:val="21"/>
        </w:rPr>
        <w:t>不得设置秘密准备，否则就属于滥用谨慎性，需要按照重大差错更正的要求进行会计处理。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（八）及时性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企业对于已经发</w:t>
      </w:r>
      <w:r>
        <w:rPr>
          <w:rFonts w:ascii="宋体" w:hAnsi="宋体" w:cs="宋体" w:hint="eastAsia"/>
          <w:color w:val="000000"/>
          <w:sz w:val="21"/>
          <w:szCs w:val="21"/>
        </w:rPr>
        <w:t>生的交易或者事项，应当及时进行会计确认、计量和报告，</w:t>
      </w:r>
      <w:r>
        <w:rPr>
          <w:rStyle w:val="font14zd2"/>
          <w:rFonts w:ascii="宋体" w:hAnsi="宋体" w:cs="宋体" w:hint="eastAsia"/>
        </w:rPr>
        <w:t>不得提前或者延后。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【应用】</w:t>
      </w:r>
      <w:r>
        <w:rPr>
          <w:rFonts w:ascii="宋体" w:hAnsi="宋体" w:cs="宋体" w:hint="eastAsia"/>
          <w:color w:val="000000"/>
          <w:sz w:val="21"/>
          <w:szCs w:val="21"/>
        </w:rPr>
        <w:t>上市公司定期报告的披露时限。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年）下列各项中，体现谨慎性会计信息质量要求的有（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资产负债表中的负债按流动负债和非流动负债分别列报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企业对售出商品很可能发生的保修义务确认预计负债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企业进行所得税会计处理时，只有存在确凿证据表明未来期间很可能获得足够的应纳税所得额用于抵扣可抵扣暂时性差异，才确认相关的递延所得税资产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融资性售后回购销售商品取得的价款不确认收</w:t>
      </w:r>
      <w:r>
        <w:rPr>
          <w:rStyle w:val="fontkaiti1"/>
          <w:rFonts w:cs="宋体" w:hint="default"/>
          <w:color w:val="000000"/>
        </w:rPr>
        <w:t>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企业将资本公积转增股本，对各列报期间的每股收益重新计算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，体现了相关性会计信息质量要求；选项</w:t>
      </w:r>
      <w:r>
        <w:rPr>
          <w:rStyle w:val="fontkaiti1"/>
          <w:rFonts w:cs="宋体" w:hint="default"/>
          <w:color w:val="000000"/>
        </w:rPr>
        <w:t>D</w:t>
      </w:r>
      <w:r>
        <w:rPr>
          <w:rStyle w:val="fontkaiti1"/>
          <w:rFonts w:cs="宋体" w:hint="default"/>
          <w:color w:val="000000"/>
        </w:rPr>
        <w:t>，体现实质重于形式会计信息质量要求；选项</w:t>
      </w:r>
      <w:r>
        <w:rPr>
          <w:rStyle w:val="fontkaiti1"/>
          <w:rFonts w:cs="宋体" w:hint="default"/>
          <w:color w:val="000000"/>
        </w:rPr>
        <w:t>E</w:t>
      </w:r>
      <w:r>
        <w:rPr>
          <w:rStyle w:val="fontkaiti1"/>
          <w:rFonts w:cs="宋体" w:hint="default"/>
          <w:color w:val="000000"/>
        </w:rPr>
        <w:t>，体现了可比性会计信息质量要求。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下列各项交易或事项中，不属于体现会计信息质量谨慎性要求的有（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资产负债表日对发生减值的固定资产计提减值准备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融资性售后回购方式销售商品取得的价款不确认为收入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期末存货按照成本与可变现净值孰低法计量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附追索权的商业承兑汇</w:t>
      </w:r>
      <w:r>
        <w:rPr>
          <w:rStyle w:val="fontkaiti1"/>
          <w:rFonts w:cs="宋体" w:hint="default"/>
          <w:color w:val="000000"/>
        </w:rPr>
        <w:t>票贴现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投资性房地产成本模式转为公允价值模式进行计量，采用追溯调整法进行调整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BD</w:t>
      </w:r>
      <w:r>
        <w:rPr>
          <w:rStyle w:val="fontkaiti1"/>
          <w:rFonts w:cs="宋体" w:hint="default"/>
          <w:color w:val="000000"/>
        </w:rPr>
        <w:t>，属于体现实质重于形式的要求。选项</w:t>
      </w:r>
      <w:r>
        <w:rPr>
          <w:rStyle w:val="fontkaiti1"/>
          <w:rFonts w:cs="宋体" w:hint="default"/>
          <w:color w:val="000000"/>
        </w:rPr>
        <w:t>E</w:t>
      </w:r>
      <w:r>
        <w:rPr>
          <w:rStyle w:val="fontkaiti1"/>
          <w:rFonts w:cs="宋体" w:hint="default"/>
          <w:color w:val="000000"/>
        </w:rPr>
        <w:t>，属于体现会计信息可比性的要求。投资性房地产由成本计量模式转为公允价值计量模式，确认和计量的方法变了，作为会计政策变更处理，要进行追溯调整，保证同一企业不同时期具有可比性。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考点五：企业财务会计核算规范★</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我国的企业会计核算规范主要由《会计法》、《企业会计准则》等组成，并已形成了以《会计法</w:t>
      </w:r>
      <w:r>
        <w:rPr>
          <w:rFonts w:ascii="宋体" w:hAnsi="宋体" w:cs="宋体" w:hint="eastAsia"/>
          <w:color w:val="000000"/>
          <w:sz w:val="21"/>
          <w:szCs w:val="21"/>
        </w:rPr>
        <w:t>》为核心的比较完整的体系。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（一）会计法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《中华人民共和国会计法》（以下简称《会计法》）是我国会计工作的根本大法，它在我国的会计规范体系中处于</w:t>
      </w:r>
      <w:r>
        <w:rPr>
          <w:rStyle w:val="font14zd2"/>
          <w:rFonts w:ascii="宋体" w:hAnsi="宋体" w:cs="宋体" w:hint="eastAsia"/>
        </w:rPr>
        <w:t>最高层次</w:t>
      </w:r>
      <w:r>
        <w:rPr>
          <w:rFonts w:ascii="宋体" w:hAnsi="宋体" w:cs="宋体" w:hint="eastAsia"/>
          <w:color w:val="000000"/>
          <w:sz w:val="21"/>
          <w:szCs w:val="21"/>
        </w:rPr>
        <w:t>，是其他会计规范制定的基本依据。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《会计法》于</w:t>
      </w:r>
      <w:r>
        <w:rPr>
          <w:rFonts w:ascii="宋体" w:hAnsi="宋体" w:cs="宋体" w:hint="eastAsia"/>
          <w:color w:val="000000"/>
          <w:sz w:val="21"/>
          <w:szCs w:val="21"/>
        </w:rPr>
        <w:t>1985</w:t>
      </w:r>
      <w:r>
        <w:rPr>
          <w:rFonts w:ascii="宋体" w:hAnsi="宋体" w:cs="宋体" w:hint="eastAsia"/>
          <w:color w:val="000000"/>
          <w:sz w:val="21"/>
          <w:szCs w:val="21"/>
        </w:rPr>
        <w:t>年由全国人民代表大会常务委员会通过，并于同年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28</w:t>
      </w:r>
      <w:r>
        <w:rPr>
          <w:rFonts w:ascii="宋体" w:hAnsi="宋体" w:cs="宋体" w:hint="eastAsia"/>
          <w:color w:val="000000"/>
          <w:sz w:val="21"/>
          <w:szCs w:val="21"/>
        </w:rPr>
        <w:t>日《会计法》的修改，在保持现有基本制度不变的基础上，</w:t>
      </w:r>
      <w:r>
        <w:rPr>
          <w:rStyle w:val="font14zd2"/>
          <w:rFonts w:ascii="宋体" w:hAnsi="宋体" w:cs="宋体" w:hint="eastAsia"/>
        </w:rPr>
        <w:t>重点解决</w:t>
      </w:r>
      <w:r>
        <w:rPr>
          <w:rFonts w:ascii="宋体" w:hAnsi="宋体" w:cs="宋体" w:hint="eastAsia"/>
          <w:color w:val="000000"/>
          <w:sz w:val="21"/>
          <w:szCs w:val="21"/>
        </w:rPr>
        <w:t>会计工作中的突出问题，涵盖会计责任、会计机构设置、内部控制制度、信息技术应用、惩罚措施等多个方面，为进一步加强财会监督，加大对会计违法行为的处罚</w:t>
      </w:r>
      <w:r>
        <w:rPr>
          <w:rFonts w:ascii="宋体" w:hAnsi="宋体" w:cs="宋体" w:hint="eastAsia"/>
          <w:color w:val="000000"/>
          <w:sz w:val="21"/>
          <w:szCs w:val="21"/>
        </w:rPr>
        <w:t>力度，切实提高会计信息质量提供更加有力的法治保障。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比如第四十一条规定，伪造、变造会计凭证、会计账簿，编制虚假财务会计报告，隐匿或者故意销毁依法应当保存的会计凭证、会计账簿、财务会计报告的，由县级以上人民政府财政部门责令限期改正，给予警告、通报批评，没收违法所得，违法所得</w:t>
      </w:r>
      <w:r>
        <w:rPr>
          <w:rFonts w:ascii="宋体" w:hAnsi="宋体" w:cs="宋体" w:hint="eastAsia"/>
          <w:color w:val="000000"/>
          <w:sz w:val="21"/>
          <w:szCs w:val="21"/>
        </w:rPr>
        <w:t>20</w:t>
      </w:r>
      <w:r>
        <w:rPr>
          <w:rFonts w:ascii="宋体" w:hAnsi="宋体" w:cs="宋体" w:hint="eastAsia"/>
          <w:color w:val="000000"/>
          <w:sz w:val="21"/>
          <w:szCs w:val="21"/>
        </w:rPr>
        <w:t>万元以上的，对单位可以并处违法所得</w:t>
      </w:r>
      <w:r>
        <w:rPr>
          <w:rFonts w:ascii="宋体" w:hAnsi="宋体" w:cs="宋体" w:hint="eastAsia"/>
          <w:color w:val="000000"/>
          <w:sz w:val="21"/>
          <w:szCs w:val="21"/>
        </w:rPr>
        <w:t>1</w:t>
      </w:r>
      <w:r>
        <w:rPr>
          <w:rFonts w:ascii="宋体" w:hAnsi="宋体" w:cs="宋体" w:hint="eastAsia"/>
          <w:color w:val="000000"/>
          <w:sz w:val="21"/>
          <w:szCs w:val="21"/>
        </w:rPr>
        <w:t>倍以上</w:t>
      </w:r>
      <w:r>
        <w:rPr>
          <w:rFonts w:ascii="宋体" w:hAnsi="宋体" w:cs="宋体" w:hint="eastAsia"/>
          <w:color w:val="000000"/>
          <w:sz w:val="21"/>
          <w:szCs w:val="21"/>
        </w:rPr>
        <w:t>10</w:t>
      </w:r>
      <w:r>
        <w:rPr>
          <w:rFonts w:ascii="宋体" w:hAnsi="宋体" w:cs="宋体" w:hint="eastAsia"/>
          <w:color w:val="000000"/>
          <w:sz w:val="21"/>
          <w:szCs w:val="21"/>
        </w:rPr>
        <w:t>倍以下的罚款，没有违法所得或者违法所得不足</w:t>
      </w:r>
      <w:r>
        <w:rPr>
          <w:rFonts w:ascii="宋体" w:hAnsi="宋体" w:cs="宋体" w:hint="eastAsia"/>
          <w:color w:val="000000"/>
          <w:sz w:val="21"/>
          <w:szCs w:val="21"/>
        </w:rPr>
        <w:t>20</w:t>
      </w:r>
      <w:r>
        <w:rPr>
          <w:rFonts w:ascii="宋体" w:hAnsi="宋体" w:cs="宋体" w:hint="eastAsia"/>
          <w:color w:val="000000"/>
          <w:sz w:val="21"/>
          <w:szCs w:val="21"/>
        </w:rPr>
        <w:t>万元的，可以并处</w:t>
      </w:r>
      <w:r>
        <w:rPr>
          <w:rFonts w:ascii="宋体" w:hAnsi="宋体" w:cs="宋体" w:hint="eastAsia"/>
          <w:color w:val="000000"/>
          <w:sz w:val="21"/>
          <w:szCs w:val="21"/>
        </w:rPr>
        <w:t>20</w:t>
      </w:r>
      <w:r>
        <w:rPr>
          <w:rFonts w:ascii="宋体" w:hAnsi="宋体" w:cs="宋体" w:hint="eastAsia"/>
          <w:color w:val="000000"/>
          <w:sz w:val="21"/>
          <w:szCs w:val="21"/>
        </w:rPr>
        <w:t>万元以上</w:t>
      </w:r>
      <w:r>
        <w:rPr>
          <w:rFonts w:ascii="宋体" w:hAnsi="宋体" w:cs="宋体" w:hint="eastAsia"/>
          <w:color w:val="000000"/>
          <w:sz w:val="21"/>
          <w:szCs w:val="21"/>
        </w:rPr>
        <w:t>200</w:t>
      </w:r>
      <w:r>
        <w:rPr>
          <w:rFonts w:ascii="宋体" w:hAnsi="宋体" w:cs="宋体" w:hint="eastAsia"/>
          <w:color w:val="000000"/>
          <w:sz w:val="21"/>
          <w:szCs w:val="21"/>
        </w:rPr>
        <w:t>万元以下的罚款；对其直接负责的主管人员和其他直接责任人员可以处</w:t>
      </w:r>
      <w:r>
        <w:rPr>
          <w:rFonts w:ascii="宋体" w:hAnsi="宋体" w:cs="宋体" w:hint="eastAsia"/>
          <w:color w:val="000000"/>
          <w:sz w:val="21"/>
          <w:szCs w:val="21"/>
        </w:rPr>
        <w:t>10</w:t>
      </w:r>
      <w:r>
        <w:rPr>
          <w:rFonts w:ascii="宋体" w:hAnsi="宋体" w:cs="宋体" w:hint="eastAsia"/>
          <w:color w:val="000000"/>
          <w:sz w:val="21"/>
          <w:szCs w:val="21"/>
        </w:rPr>
        <w:t>万元以上</w:t>
      </w:r>
      <w:r>
        <w:rPr>
          <w:rFonts w:ascii="宋体" w:hAnsi="宋体" w:cs="宋体" w:hint="eastAsia"/>
          <w:color w:val="000000"/>
          <w:sz w:val="21"/>
          <w:szCs w:val="21"/>
        </w:rPr>
        <w:t>50</w:t>
      </w:r>
      <w:r>
        <w:rPr>
          <w:rFonts w:ascii="宋体" w:hAnsi="宋体" w:cs="宋体" w:hint="eastAsia"/>
          <w:color w:val="000000"/>
          <w:sz w:val="21"/>
          <w:szCs w:val="21"/>
        </w:rPr>
        <w:t>万元以下的罚款，情节严重的</w:t>
      </w:r>
      <w:r>
        <w:rPr>
          <w:rFonts w:ascii="宋体" w:hAnsi="宋体" w:cs="宋体" w:hint="eastAsia"/>
          <w:color w:val="000000"/>
          <w:sz w:val="21"/>
          <w:szCs w:val="21"/>
        </w:rPr>
        <w:t>，可以处</w:t>
      </w:r>
      <w:r>
        <w:rPr>
          <w:rFonts w:ascii="宋体" w:hAnsi="宋体" w:cs="宋体" w:hint="eastAsia"/>
          <w:color w:val="000000"/>
          <w:sz w:val="21"/>
          <w:szCs w:val="21"/>
        </w:rPr>
        <w:t>50</w:t>
      </w:r>
      <w:r>
        <w:rPr>
          <w:rFonts w:ascii="宋体" w:hAnsi="宋体" w:cs="宋体" w:hint="eastAsia"/>
          <w:color w:val="000000"/>
          <w:sz w:val="21"/>
          <w:szCs w:val="21"/>
        </w:rPr>
        <w:t>万元以上</w:t>
      </w:r>
      <w:r>
        <w:rPr>
          <w:rFonts w:ascii="宋体" w:hAnsi="宋体" w:cs="宋体" w:hint="eastAsia"/>
          <w:color w:val="000000"/>
          <w:sz w:val="21"/>
          <w:szCs w:val="21"/>
        </w:rPr>
        <w:t>200</w:t>
      </w:r>
      <w:r>
        <w:rPr>
          <w:rFonts w:ascii="宋体" w:hAnsi="宋体" w:cs="宋体" w:hint="eastAsia"/>
          <w:color w:val="000000"/>
          <w:sz w:val="21"/>
          <w:szCs w:val="21"/>
        </w:rPr>
        <w:t>万元以下的罚款；属于公职人员的，还应当依法给予处分；其中的会计人员，</w:t>
      </w:r>
      <w:r>
        <w:rPr>
          <w:rFonts w:ascii="宋体" w:hAnsi="宋体" w:cs="宋体" w:hint="eastAsia"/>
          <w:color w:val="000000"/>
          <w:sz w:val="21"/>
          <w:szCs w:val="21"/>
        </w:rPr>
        <w:t>5</w:t>
      </w:r>
      <w:r>
        <w:rPr>
          <w:rFonts w:ascii="宋体" w:hAnsi="宋体" w:cs="宋体" w:hint="eastAsia"/>
          <w:color w:val="000000"/>
          <w:sz w:val="21"/>
          <w:szCs w:val="21"/>
        </w:rPr>
        <w:t>年内不得从事会计工作；构成犯罪的，依法追究刑事责任。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（二）会计准则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我国企业会计准则体系由基本准则、具体准则、应用指南和解释等构成。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（三）会计人员职业道德规范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会计人员职业道德规范具体包括：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坚持诚</w:t>
      </w:r>
      <w:r>
        <w:rPr>
          <w:rStyle w:val="font14zd2"/>
          <w:rFonts w:ascii="宋体" w:hAnsi="宋体" w:cs="宋体" w:hint="eastAsia"/>
        </w:rPr>
        <w:t>信</w:t>
      </w:r>
      <w:r>
        <w:rPr>
          <w:rFonts w:ascii="宋体" w:hAnsi="宋体" w:cs="宋体" w:hint="eastAsia"/>
          <w:color w:val="000000"/>
          <w:sz w:val="21"/>
          <w:szCs w:val="21"/>
        </w:rPr>
        <w:t>、守</w:t>
      </w:r>
      <w:r>
        <w:rPr>
          <w:rStyle w:val="font14zd2"/>
          <w:rFonts w:ascii="宋体" w:hAnsi="宋体" w:cs="宋体" w:hint="eastAsia"/>
        </w:rPr>
        <w:t>法</w:t>
      </w:r>
      <w:r>
        <w:rPr>
          <w:rFonts w:ascii="宋体" w:hAnsi="宋体" w:cs="宋体" w:hint="eastAsia"/>
          <w:color w:val="000000"/>
          <w:sz w:val="21"/>
          <w:szCs w:val="21"/>
        </w:rPr>
        <w:t>奉公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坚持准</w:t>
      </w:r>
      <w:r>
        <w:rPr>
          <w:rStyle w:val="font14zd2"/>
          <w:rFonts w:ascii="宋体" w:hAnsi="宋体" w:cs="宋体" w:hint="eastAsia"/>
        </w:rPr>
        <w:t>则</w:t>
      </w:r>
      <w:r>
        <w:rPr>
          <w:rFonts w:ascii="宋体" w:hAnsi="宋体" w:cs="宋体" w:hint="eastAsia"/>
          <w:color w:val="000000"/>
          <w:sz w:val="21"/>
          <w:szCs w:val="21"/>
        </w:rPr>
        <w:t>、守</w:t>
      </w:r>
      <w:r>
        <w:rPr>
          <w:rStyle w:val="font14zd2"/>
          <w:rFonts w:ascii="宋体" w:hAnsi="宋体" w:cs="宋体" w:hint="eastAsia"/>
        </w:rPr>
        <w:t>责</w:t>
      </w:r>
      <w:r>
        <w:rPr>
          <w:rFonts w:ascii="宋体" w:hAnsi="宋体" w:cs="宋体" w:hint="eastAsia"/>
          <w:color w:val="000000"/>
          <w:sz w:val="21"/>
          <w:szCs w:val="21"/>
        </w:rPr>
        <w:t>敬业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坚持学</w:t>
      </w:r>
      <w:r>
        <w:rPr>
          <w:rStyle w:val="font14zd2"/>
          <w:rFonts w:ascii="宋体" w:hAnsi="宋体" w:cs="宋体" w:hint="eastAsia"/>
        </w:rPr>
        <w:t>习</w:t>
      </w:r>
      <w:r>
        <w:rPr>
          <w:rFonts w:ascii="宋体" w:hAnsi="宋体" w:cs="宋体" w:hint="eastAsia"/>
          <w:color w:val="000000"/>
          <w:sz w:val="21"/>
          <w:szCs w:val="21"/>
        </w:rPr>
        <w:t>、守</w:t>
      </w:r>
      <w:r>
        <w:rPr>
          <w:rStyle w:val="font14zd2"/>
          <w:rFonts w:ascii="宋体" w:hAnsi="宋体" w:cs="宋体" w:hint="eastAsia"/>
        </w:rPr>
        <w:t>正</w:t>
      </w:r>
      <w:r>
        <w:rPr>
          <w:rFonts w:ascii="宋体" w:hAnsi="宋体" w:cs="宋体" w:hint="eastAsia"/>
          <w:color w:val="000000"/>
          <w:sz w:val="21"/>
          <w:szCs w:val="21"/>
        </w:rPr>
        <w:t>创新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【记忆口诀】</w:t>
      </w:r>
      <w:r>
        <w:rPr>
          <w:rFonts w:ascii="宋体" w:hAnsi="宋体" w:cs="宋体" w:hint="eastAsia"/>
          <w:color w:val="000000"/>
          <w:sz w:val="21"/>
          <w:szCs w:val="21"/>
        </w:rPr>
        <w:t>信则习，法责正。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除上述专业性会计规范外，影响企业财务会计核算工作的还有其他一些相</w:t>
      </w:r>
      <w:r>
        <w:rPr>
          <w:rFonts w:ascii="宋体" w:hAnsi="宋体" w:cs="宋体" w:hint="eastAsia"/>
          <w:color w:val="000000"/>
          <w:sz w:val="21"/>
          <w:szCs w:val="21"/>
        </w:rPr>
        <w:t>关法规，如公司法、税收法规、证券法规、其他金融法规等。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年）根据最新修订的《中华人民共和国会计法》规定，下列对伪造、变造会计凭证、会计账簿，编制虚假财务会计报告的处罚中，正确的有（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责令限期改正，给予警告、通报批评、没收违法所得及罚款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违法所得不足</w:t>
      </w:r>
      <w:r>
        <w:rPr>
          <w:rStyle w:val="fontkaiti1"/>
          <w:rFonts w:cs="宋体" w:hint="default"/>
          <w:color w:val="000000"/>
        </w:rPr>
        <w:t>20</w:t>
      </w:r>
      <w:r>
        <w:rPr>
          <w:rStyle w:val="fontkaiti1"/>
          <w:rFonts w:cs="宋体" w:hint="default"/>
          <w:color w:val="000000"/>
        </w:rPr>
        <w:t>万元，可以对单位并处</w:t>
      </w:r>
      <w:r>
        <w:rPr>
          <w:rStyle w:val="fontkaiti1"/>
          <w:rFonts w:cs="宋体" w:hint="default"/>
          <w:color w:val="000000"/>
        </w:rPr>
        <w:t>10</w:t>
      </w:r>
      <w:r>
        <w:rPr>
          <w:rStyle w:val="fontkaiti1"/>
          <w:rFonts w:cs="宋体" w:hint="default"/>
          <w:color w:val="000000"/>
        </w:rPr>
        <w:t>万元以上</w:t>
      </w:r>
      <w:r>
        <w:rPr>
          <w:rStyle w:val="fontkaiti1"/>
          <w:rFonts w:cs="宋体" w:hint="default"/>
          <w:color w:val="000000"/>
        </w:rPr>
        <w:t>100</w:t>
      </w:r>
      <w:r>
        <w:rPr>
          <w:rStyle w:val="fontkaiti1"/>
          <w:rFonts w:cs="宋体" w:hint="default"/>
          <w:color w:val="000000"/>
        </w:rPr>
        <w:t>万元以下的罚款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对直接负责的主管人员可以处以最高</w:t>
      </w:r>
      <w:r>
        <w:rPr>
          <w:rStyle w:val="fontkaiti1"/>
          <w:rFonts w:cs="宋体" w:hint="default"/>
          <w:color w:val="000000"/>
        </w:rPr>
        <w:t>200</w:t>
      </w:r>
      <w:r>
        <w:rPr>
          <w:rStyle w:val="fontkaiti1"/>
          <w:rFonts w:cs="宋体" w:hint="default"/>
          <w:color w:val="000000"/>
        </w:rPr>
        <w:t>万元的罚款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相关的会计人员</w:t>
      </w:r>
      <w:r>
        <w:rPr>
          <w:rStyle w:val="fontkaiti1"/>
          <w:rFonts w:cs="宋体" w:hint="default"/>
          <w:color w:val="000000"/>
        </w:rPr>
        <w:t>5</w:t>
      </w:r>
      <w:r>
        <w:rPr>
          <w:rStyle w:val="fontkaiti1"/>
          <w:rFonts w:cs="宋体" w:hint="default"/>
          <w:color w:val="000000"/>
        </w:rPr>
        <w:t>年内不得从事会计工作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违法所得</w:t>
      </w:r>
      <w:r>
        <w:rPr>
          <w:rStyle w:val="fontkaiti1"/>
          <w:rFonts w:cs="宋体" w:hint="default"/>
          <w:color w:val="000000"/>
        </w:rPr>
        <w:t>20</w:t>
      </w:r>
      <w:r>
        <w:rPr>
          <w:rStyle w:val="fontkaiti1"/>
          <w:rFonts w:cs="宋体" w:hint="default"/>
          <w:color w:val="000000"/>
        </w:rPr>
        <w:t>万元以上的，可以对单位并</w:t>
      </w:r>
      <w:r>
        <w:rPr>
          <w:rStyle w:val="fontkaiti1"/>
          <w:rFonts w:cs="宋体" w:hint="default"/>
          <w:color w:val="000000"/>
        </w:rPr>
        <w:t>处违法所得</w:t>
      </w:r>
      <w:r>
        <w:rPr>
          <w:rStyle w:val="fontkaiti1"/>
          <w:rFonts w:cs="宋体" w:hint="default"/>
          <w:color w:val="000000"/>
        </w:rPr>
        <w:t>1</w:t>
      </w:r>
      <w:r>
        <w:rPr>
          <w:rStyle w:val="fontkaiti1"/>
          <w:rFonts w:cs="宋体" w:hint="default"/>
          <w:color w:val="000000"/>
        </w:rPr>
        <w:t>倍以上</w:t>
      </w:r>
      <w:r>
        <w:rPr>
          <w:rStyle w:val="fontkaiti1"/>
          <w:rFonts w:cs="宋体" w:hint="default"/>
          <w:color w:val="000000"/>
        </w:rPr>
        <w:t>10</w:t>
      </w:r>
      <w:r>
        <w:rPr>
          <w:rStyle w:val="fontkaiti1"/>
          <w:rFonts w:cs="宋体" w:hint="default"/>
          <w:color w:val="000000"/>
        </w:rPr>
        <w:t>倍以下的罚款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，没有违法所得或者违法所得不足</w:t>
      </w:r>
      <w:r>
        <w:rPr>
          <w:rStyle w:val="fontkaiti1"/>
          <w:rFonts w:cs="宋体" w:hint="default"/>
          <w:color w:val="000000"/>
        </w:rPr>
        <w:t>20</w:t>
      </w:r>
      <w:r>
        <w:rPr>
          <w:rStyle w:val="fontkaiti1"/>
          <w:rFonts w:cs="宋体" w:hint="default"/>
          <w:color w:val="000000"/>
        </w:rPr>
        <w:t>万元的，可以并处</w:t>
      </w:r>
      <w:r>
        <w:rPr>
          <w:rStyle w:val="fontkaiti1"/>
          <w:rFonts w:cs="宋体" w:hint="default"/>
          <w:color w:val="000000"/>
        </w:rPr>
        <w:t>20</w:t>
      </w:r>
      <w:r>
        <w:rPr>
          <w:rStyle w:val="fontkaiti1"/>
          <w:rFonts w:cs="宋体" w:hint="default"/>
          <w:color w:val="000000"/>
        </w:rPr>
        <w:t>万元以上</w:t>
      </w:r>
      <w:r>
        <w:rPr>
          <w:rStyle w:val="fontkaiti1"/>
          <w:rFonts w:cs="宋体" w:hint="default"/>
          <w:color w:val="000000"/>
        </w:rPr>
        <w:t>200</w:t>
      </w:r>
      <w:r>
        <w:rPr>
          <w:rStyle w:val="fontkaiti1"/>
          <w:rFonts w:cs="宋体" w:hint="default"/>
          <w:color w:val="000000"/>
        </w:rPr>
        <w:t>万元以下的罚款。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 xml:space="preserve">年）根据财政部印发的《会计人员职业道德规范》规定，下列不属于职业道德规范的是（　</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坚持诚信，守法奉公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坚持准则，守责敬业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坚持革新，守规进取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坚持学习，守正创新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『答案解析』根据财政部印发的《会计人员职业道德规范》规定，会计人员在工作中应遵</w:t>
      </w:r>
      <w:r>
        <w:rPr>
          <w:rStyle w:val="fontkaiti1"/>
          <w:rFonts w:cs="宋体" w:hint="default"/>
          <w:color w:val="000000"/>
        </w:rPr>
        <w:t>守的职业道德规范包括：</w:t>
      </w:r>
      <w:r>
        <w:rPr>
          <w:rStyle w:val="fontkaiti1"/>
          <w:rFonts w:cs="宋体" w:hint="default"/>
          <w:color w:val="000000"/>
        </w:rPr>
        <w:t>①</w:t>
      </w:r>
      <w:r>
        <w:rPr>
          <w:rStyle w:val="fontkaiti1"/>
          <w:rFonts w:cs="宋体" w:hint="default"/>
          <w:color w:val="000000"/>
        </w:rPr>
        <w:t>坚持诚信，守法奉公；</w:t>
      </w:r>
      <w:r>
        <w:rPr>
          <w:rStyle w:val="fontkaiti1"/>
          <w:rFonts w:cs="宋体" w:hint="default"/>
          <w:color w:val="000000"/>
        </w:rPr>
        <w:t>②</w:t>
      </w:r>
      <w:r>
        <w:rPr>
          <w:rStyle w:val="fontkaiti1"/>
          <w:rFonts w:cs="宋体" w:hint="default"/>
          <w:color w:val="000000"/>
        </w:rPr>
        <w:t>坚持准则，守责敬业；</w:t>
      </w:r>
      <w:r>
        <w:rPr>
          <w:rStyle w:val="fontkaiti1"/>
          <w:rFonts w:cs="宋体" w:hint="default"/>
          <w:color w:val="000000"/>
        </w:rPr>
        <w:t>③</w:t>
      </w:r>
      <w:r>
        <w:rPr>
          <w:rStyle w:val="fontkaiti1"/>
          <w:rFonts w:cs="宋体" w:hint="default"/>
          <w:color w:val="000000"/>
        </w:rPr>
        <w:t>坚持学习，守正创新。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本章小结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43350" cy="2143125"/>
            <wp:effectExtent l="19050" t="0" r="0" b="0"/>
            <wp:docPr id="17" name="图片_x00208442a395-5db1-4200-8004-188ff8522683" descr="b5fcd865-bac6-4f56-ab75-b9c2fdb9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442a395-5db1-4200-8004-188ff8522683" descr="b5fcd865-bac6-4f56-ab75-b9c2fdb93033"/>
                    <pic:cNvPicPr>
                      <a:picLocks noChangeAspect="1" noChangeArrowheads="1"/>
                    </pic:cNvPicPr>
                  </pic:nvPicPr>
                  <pic:blipFill>
                    <a:blip r:embed="rId21"/>
                    <a:srcRect/>
                    <a:stretch>
                      <a:fillRect/>
                    </a:stretch>
                  </pic:blipFill>
                  <pic:spPr bwMode="auto">
                    <a:xfrm>
                      <a:off x="0" y="0"/>
                      <a:ext cx="3943350" cy="2143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22"/>
      <w:footerReference w:type="default" r:id="rId23"/>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9F0CD7">
      <w:pPr>
        <w:rPr>
          <w:color w:val="000000"/>
        </w:rPr>
      </w:pPr>
      <w:r>
        <w:rPr>
          <w:color w:val="000000"/>
        </w:rPr>
        <w:separator/>
      </w:r>
    </w:p>
  </w:endnote>
  <w:endnote w:type="continuationSeparator" w:id="1">
    <w:p w:rsidR="00000000" w:rsidRDefault="009F0CD7">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F0CD7">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8"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#Time#:1781144380854#Type#:file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9F0CD7">
      <w:pPr>
        <w:rPr>
          <w:color w:val="000000"/>
        </w:rPr>
      </w:pPr>
      <w:r>
        <w:rPr>
          <w:color w:val="000000"/>
        </w:rPr>
        <w:separator/>
      </w:r>
    </w:p>
  </w:footnote>
  <w:footnote w:type="continuationSeparator" w:id="1">
    <w:p w:rsidR="00000000" w:rsidRDefault="009F0CD7">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F0CD7" w:rsidP="009F0CD7">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第七章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财务会计概论</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9F0CD7"/>
    <w:rsid w:val="009F0CD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header1.xml" Type="http://schemas.openxmlformats.org/officeDocument/2006/relationships/header"/><Relationship Id="rId23" Target="footer1.xml" Type="http://schemas.openxmlformats.org/officeDocument/2006/relationships/footer"/><Relationship Id="rId24" Target="fontTable.xml" Type="http://schemas.openxmlformats.org/officeDocument/2006/relationships/fontTable"/><Relationship Id="rId25"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1682</Words>
  <Characters>9589</Characters>
  <Application>Microsoft Office Word</Application>
  <DocSecurity>4</DocSecurity>
  <Lines>79</Lines>
  <Paragraphs>22</Paragraphs>
  <ScaleCrop>false</ScaleCrop>
  <Company/>
  <LinksUpToDate>false</LinksUpToDate>
  <CharactersWithSpaces>11249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2026-05-29T10:33:00Z</dcterms:created>
  <dc:creator>CDEL</dc:creator>
  <cp:lastModifiedBy>Windows 用户</cp:lastModifiedBy>
  <dcterms:modified xsi:type="dcterms:W3CDTF">2026-05-29T10:33:00Z</dcterms:modified>
  <cp:revision>2</cp:revision>
</cp:coreProperties>
</file>