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86B0F" w:rsidP="00886B0F">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第十三章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所有者权益</w:t>
      </w:r>
    </w:p>
    <w:p w:rsidR="00000000" w:rsidRDefault="00886B0F" w:rsidP="00886B0F">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所有者权益核算的基本要求</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886B0F" w:rsidP="00886B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考情速递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本章介绍了所有者权益各项目的核算，除了金融负债和权益工具的区分理解起来难度比较大以外，其他内容比较简单，考试题型一般为单选题和多选题，需</w:t>
      </w:r>
      <w:r>
        <w:rPr>
          <w:rStyle w:val="font14zd2"/>
          <w:rFonts w:ascii="宋体" w:hAnsi="宋体" w:cs="宋体" w:hint="eastAsia"/>
        </w:rPr>
        <w:t>熟练掌握</w:t>
      </w:r>
      <w:r>
        <w:rPr>
          <w:rFonts w:ascii="宋体" w:hAnsi="宋体" w:cs="宋体" w:hint="eastAsia"/>
          <w:color w:val="000000"/>
          <w:sz w:val="21"/>
          <w:szCs w:val="21"/>
        </w:rPr>
        <w:t>两种类别其他综合收益的核算内容，历年平均分值</w:t>
      </w:r>
      <w:r>
        <w:rPr>
          <w:rFonts w:ascii="宋体" w:hAnsi="宋体" w:cs="宋体" w:hint="eastAsia"/>
          <w:color w:val="000000"/>
          <w:sz w:val="21"/>
          <w:szCs w:val="21"/>
        </w:rPr>
        <w:t>4</w:t>
      </w:r>
      <w:r>
        <w:rPr>
          <w:rFonts w:ascii="宋体" w:hAnsi="宋体" w:cs="宋体" w:hint="eastAsia"/>
          <w:color w:val="000000"/>
          <w:sz w:val="21"/>
          <w:szCs w:val="21"/>
        </w:rPr>
        <w:t>分左右，本章属于</w:t>
      </w:r>
      <w:r>
        <w:rPr>
          <w:rStyle w:val="font14zd2"/>
          <w:rFonts w:ascii="宋体" w:hAnsi="宋体" w:cs="宋体" w:hint="eastAsia"/>
        </w:rPr>
        <w:t>非重点</w:t>
      </w:r>
      <w:r>
        <w:rPr>
          <w:rFonts w:ascii="宋体" w:hAnsi="宋体" w:cs="宋体" w:hint="eastAsia"/>
          <w:color w:val="000000"/>
          <w:sz w:val="21"/>
          <w:szCs w:val="21"/>
        </w:rPr>
        <w:t>章节</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考试变化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删除：外商投资企业盈余公积的组成内容。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内容框架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81475" cy="2171700"/>
            <wp:effectExtent l="0" t="0" r="0" b="0"/>
            <wp:docPr id="1" name="图片_x0020a723b914-27ef-4f14-8937-79d3505e4eee" descr="c88dec55-d7c7-4f58-b907-b66cdac60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723b914-27ef-4f14-8937-79d3505e4eee" descr="c88dec55-d7c7-4f58-b907-b66cdac600f7"/>
                    <pic:cNvPicPr>
                      <a:picLocks noChangeAspect="1" noChangeArrowheads="1"/>
                    </pic:cNvPicPr>
                  </pic:nvPicPr>
                  <pic:blipFill>
                    <a:blip r:embed="rId6"/>
                    <a:srcRect/>
                    <a:stretch>
                      <a:fillRect/>
                    </a:stretch>
                  </pic:blipFill>
                  <pic:spPr bwMode="auto">
                    <a:xfrm>
                      <a:off x="0" y="0"/>
                      <a:ext cx="4181475" cy="2171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p w:rsidR="00000000" w:rsidRDefault="00886B0F" w:rsidP="00886B0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所有者权益核算的基本要求</w:t>
      </w:r>
      <w:r>
        <w:rPr>
          <w:rFonts w:ascii="宋体" w:hAnsi="宋体" w:cs="宋体" w:hint="eastAsia"/>
          <w:color w:val="000000"/>
          <w:sz w:val="21"/>
          <w:szCs w:val="21"/>
        </w:rPr>
        <w:t xml:space="preserve"> </w:t>
      </w:r>
    </w:p>
    <w:p w:rsidR="00000000" w:rsidRDefault="00886B0F" w:rsidP="00886B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考点一：金融负债和权益工具的区分</w:t>
      </w:r>
      <w:r>
        <w:rPr>
          <w:rFonts w:ascii="宋体" w:hAnsi="宋体" w:cs="宋体" w:hint="eastAsia"/>
          <w:color w:val="000000"/>
          <w:sz w:val="21"/>
          <w:szCs w:val="21"/>
        </w:rPr>
        <w:t>（难点非重点）</w:t>
      </w:r>
      <w:r>
        <w:rPr>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（一）金融负债和权益工具区分的基本原则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5"/>
        <w:gridCol w:w="1157"/>
        <w:gridCol w:w="4519"/>
        <w:gridCol w:w="2379"/>
      </w:tblGrid>
      <w:tr w:rsidR="00000000" w:rsidTr="00886B0F">
        <w:trPr>
          <w:trHeight w:val="270"/>
          <w:jc w:val="center"/>
        </w:trPr>
        <w:tc>
          <w:tcPr>
            <w:tcW w:w="1818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条件</w:t>
            </w:r>
          </w:p>
        </w:tc>
        <w:tc>
          <w:tcPr>
            <w:tcW w:w="66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r>
      <w:tr w:rsidR="00000000" w:rsidTr="00886B0F">
        <w:trPr>
          <w:trHeight w:val="540"/>
          <w:jc w:val="center"/>
        </w:trPr>
        <w:tc>
          <w:tcPr>
            <w:tcW w:w="1818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不能无条件避免以交付现金或其他金融资产来履行合同义务，包括不能无条件避免的赎回和强制付息</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金融负债（如普通公司债券、强制付息的优先股和永续债等）</w:t>
            </w:r>
          </w:p>
        </w:tc>
      </w:tr>
      <w:tr w:rsidR="00000000" w:rsidTr="00886B0F">
        <w:trPr>
          <w:trHeight w:val="540"/>
          <w:jc w:val="center"/>
        </w:trPr>
        <w:tc>
          <w:tcPr>
            <w:tcW w:w="1818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能够无条件地避免交付现金或其他金融资产（无到期日且无回售权、无限期递延、自主决定是否支付股息）</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权益工具（如普通股、符合条件的永续债等）</w:t>
            </w:r>
          </w:p>
        </w:tc>
      </w:tr>
      <w:tr w:rsidR="00000000" w:rsidTr="00886B0F">
        <w:trPr>
          <w:trHeight w:val="270"/>
          <w:jc w:val="center"/>
        </w:trPr>
        <w:tc>
          <w:tcPr>
            <w:tcW w:w="16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用自身权益工具结算</w:t>
            </w:r>
          </w:p>
        </w:tc>
        <w:tc>
          <w:tcPr>
            <w:tcW w:w="20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）非衍生工具（如：优先股）</w:t>
            </w:r>
          </w:p>
        </w:tc>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固定数量</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权益工具</w:t>
            </w:r>
          </w:p>
        </w:tc>
      </w:tr>
      <w:tr w:rsidR="00000000" w:rsidTr="00886B0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非固定数量</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金融</w:t>
            </w:r>
            <w:r>
              <w:rPr>
                <w:rFonts w:ascii="宋体" w:hAnsi="宋体" w:cs="宋体" w:hint="eastAsia"/>
                <w:color w:val="000000"/>
                <w:sz w:val="21"/>
                <w:szCs w:val="21"/>
              </w:rPr>
              <w:t>负债</w:t>
            </w:r>
          </w:p>
        </w:tc>
      </w:tr>
      <w:tr w:rsidR="00000000" w:rsidTr="00886B0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20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）衍生工具（如：认股权证）</w:t>
            </w:r>
          </w:p>
        </w:tc>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固定换固定</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权益工具</w:t>
            </w:r>
          </w:p>
        </w:tc>
      </w:tr>
      <w:tr w:rsidR="00000000" w:rsidTr="00886B0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金融负债</w:t>
            </w:r>
          </w:p>
        </w:tc>
      </w:tr>
    </w:tbl>
    <w:p w:rsidR="00000000" w:rsidRDefault="00886B0F" w:rsidP="00886B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（二）以外币计价的配股权、期权或认股权证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企业对全部现有同类别非衍生自身权益工具的持有方同比例发行配股权、期权或认股权证，使之有权按比例以</w:t>
      </w:r>
      <w:r>
        <w:rPr>
          <w:rStyle w:val="font14zd2"/>
          <w:rFonts w:ascii="宋体" w:hAnsi="宋体" w:cs="宋体" w:hint="eastAsia"/>
        </w:rPr>
        <w:t>固定金额</w:t>
      </w:r>
      <w:r>
        <w:rPr>
          <w:rFonts w:ascii="宋体" w:hAnsi="宋体" w:cs="宋体" w:hint="eastAsia"/>
          <w:color w:val="000000"/>
          <w:sz w:val="21"/>
          <w:szCs w:val="21"/>
        </w:rPr>
        <w:t>的</w:t>
      </w:r>
      <w:r>
        <w:rPr>
          <w:rStyle w:val="font14zd2"/>
          <w:rFonts w:ascii="宋体" w:hAnsi="宋体" w:cs="宋体" w:hint="eastAsia"/>
        </w:rPr>
        <w:t>任何货币</w:t>
      </w:r>
      <w:r>
        <w:rPr>
          <w:rFonts w:ascii="宋体" w:hAnsi="宋体" w:cs="宋体" w:hint="eastAsia"/>
          <w:color w:val="000000"/>
          <w:sz w:val="21"/>
          <w:szCs w:val="21"/>
        </w:rPr>
        <w:t>交换</w:t>
      </w:r>
      <w:r>
        <w:rPr>
          <w:rStyle w:val="font14zd2"/>
          <w:rFonts w:ascii="宋体" w:hAnsi="宋体" w:cs="宋体" w:hint="eastAsia"/>
        </w:rPr>
        <w:t>固定数量</w:t>
      </w:r>
      <w:r>
        <w:rPr>
          <w:rFonts w:ascii="宋体" w:hAnsi="宋体" w:cs="宋体" w:hint="eastAsia"/>
          <w:color w:val="000000"/>
          <w:sz w:val="21"/>
          <w:szCs w:val="21"/>
        </w:rPr>
        <w:t>的该企业自身权益工具的，该类配股权、期权或认股权证应当</w:t>
      </w:r>
      <w:r>
        <w:rPr>
          <w:rFonts w:ascii="宋体" w:hAnsi="宋体" w:cs="宋体" w:hint="eastAsia"/>
          <w:color w:val="000000"/>
          <w:sz w:val="21"/>
          <w:szCs w:val="21"/>
        </w:rPr>
        <w:lastRenderedPageBreak/>
        <w:t>分类为</w:t>
      </w:r>
      <w:r>
        <w:rPr>
          <w:rStyle w:val="font14zd2"/>
          <w:rFonts w:ascii="宋体" w:hAnsi="宋体" w:cs="宋体" w:hint="eastAsia"/>
        </w:rPr>
        <w:t>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这是一个范围很窄的例外情况，不能以类推方式适用于其他工具（如以外币计价的可转换债券）。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【举例】甲公司发行了一项年利率为</w:t>
      </w:r>
      <w:r>
        <w:rPr>
          <w:rStyle w:val="fontkaiti1"/>
          <w:rFonts w:cs="宋体" w:hint="default"/>
          <w:color w:val="000000"/>
        </w:rPr>
        <w:t>8</w:t>
      </w:r>
      <w:r>
        <w:rPr>
          <w:rStyle w:val="fontkaiti1"/>
          <w:rFonts w:cs="宋体" w:hint="default"/>
          <w:color w:val="000000"/>
        </w:rPr>
        <w:t>％、无固定还款期</w:t>
      </w:r>
      <w:r>
        <w:rPr>
          <w:rStyle w:val="fontkaiti1"/>
          <w:rFonts w:cs="宋体" w:hint="default"/>
          <w:color w:val="000000"/>
        </w:rPr>
        <w:t>限、可自主决定是否支付利息的不可累积永续债，其他合同条款如下（假定没有其他条款导致该工具分类为金融负债）：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）该永续债嵌入了一项看涨期权，允许甲公司在发行第</w:t>
      </w:r>
      <w:r>
        <w:rPr>
          <w:rStyle w:val="fontkaiti1"/>
          <w:rFonts w:cs="宋体" w:hint="default"/>
          <w:color w:val="000000"/>
        </w:rPr>
        <w:t>5</w:t>
      </w:r>
      <w:r>
        <w:rPr>
          <w:rStyle w:val="fontkaiti1"/>
          <w:rFonts w:cs="宋体" w:hint="default"/>
          <w:color w:val="000000"/>
        </w:rPr>
        <w:t>年及之后以面值回购该永续债；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）如果甲公司在第</w:t>
      </w:r>
      <w:r>
        <w:rPr>
          <w:rStyle w:val="fontkaiti1"/>
          <w:rFonts w:cs="宋体" w:hint="default"/>
          <w:color w:val="000000"/>
        </w:rPr>
        <w:t>5</w:t>
      </w:r>
      <w:r>
        <w:rPr>
          <w:rStyle w:val="fontkaiti1"/>
          <w:rFonts w:cs="宋体" w:hint="default"/>
          <w:color w:val="000000"/>
        </w:rPr>
        <w:t>年年末没有回购该永续债，则之后的票息率增加至</w:t>
      </w:r>
      <w:r>
        <w:rPr>
          <w:rStyle w:val="fontkaiti1"/>
          <w:rFonts w:cs="宋体" w:hint="default"/>
          <w:color w:val="000000"/>
        </w:rPr>
        <w:t>10</w:t>
      </w:r>
      <w:r>
        <w:rPr>
          <w:rStyle w:val="fontkaiti1"/>
          <w:rFonts w:cs="宋体" w:hint="default"/>
          <w:color w:val="000000"/>
        </w:rPr>
        <w:t>％（通常称为</w:t>
      </w:r>
      <w:r>
        <w:rPr>
          <w:rStyle w:val="fontkaiti1"/>
          <w:rFonts w:cs="宋体" w:hint="default"/>
          <w:color w:val="000000"/>
        </w:rPr>
        <w:t>“</w:t>
      </w:r>
      <w:r>
        <w:rPr>
          <w:rStyle w:val="fontkaiti1"/>
          <w:rFonts w:cs="宋体" w:hint="default"/>
          <w:color w:val="000000"/>
        </w:rPr>
        <w:t>票息递增</w:t>
      </w:r>
      <w:r>
        <w:rPr>
          <w:rStyle w:val="fontkaiti1"/>
          <w:rFonts w:cs="宋体" w:hint="default"/>
          <w:color w:val="000000"/>
        </w:rPr>
        <w:t>”</w:t>
      </w:r>
      <w:r>
        <w:rPr>
          <w:rStyle w:val="fontkaiti1"/>
          <w:rFonts w:cs="宋体" w:hint="default"/>
          <w:color w:val="000000"/>
        </w:rPr>
        <w:t>或</w:t>
      </w:r>
      <w:r>
        <w:rPr>
          <w:rStyle w:val="fontkaiti1"/>
          <w:rFonts w:cs="宋体" w:hint="default"/>
          <w:color w:val="000000"/>
        </w:rPr>
        <w:t>“</w:t>
      </w:r>
      <w:r>
        <w:rPr>
          <w:rStyle w:val="fontkaiti1"/>
          <w:rFonts w:cs="宋体" w:hint="default"/>
          <w:color w:val="000000"/>
        </w:rPr>
        <w:t>利率跳升</w:t>
      </w:r>
      <w:r>
        <w:rPr>
          <w:rStyle w:val="fontkaiti1"/>
          <w:rFonts w:cs="宋体" w:hint="default"/>
          <w:color w:val="000000"/>
        </w:rPr>
        <w:t>”</w:t>
      </w:r>
      <w:r>
        <w:rPr>
          <w:rStyle w:val="fontkaiti1"/>
          <w:rFonts w:cs="宋体" w:hint="default"/>
          <w:color w:val="000000"/>
        </w:rPr>
        <w:t>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）该永续债票息在甲公司向其普通股股东支付股利时必须支付（即</w:t>
      </w:r>
      <w:r>
        <w:rPr>
          <w:rStyle w:val="fontkaiti1"/>
          <w:rFonts w:cs="宋体" w:hint="default"/>
          <w:color w:val="000000"/>
        </w:rPr>
        <w:t>“</w:t>
      </w:r>
      <w:r>
        <w:rPr>
          <w:rStyle w:val="fontkaiti1"/>
          <w:rFonts w:cs="宋体" w:hint="default"/>
          <w:color w:val="000000"/>
        </w:rPr>
        <w:t>股利推动机制</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假设：甲公司根据相应的议事机制能够自主决定普通股股利的支付；该公司发行该永续债之前多年来均支付</w:t>
      </w:r>
      <w:r>
        <w:rPr>
          <w:rStyle w:val="fontkaiti1"/>
          <w:rFonts w:cs="宋体" w:hint="default"/>
          <w:color w:val="000000"/>
        </w:rPr>
        <w:t>普通股股利。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例中，尽管甲公司多年来均支付普通股股利，但由于甲公司能够根据相应的议事机制自主决定普通股股利的支付，并进而影响永续债利息的支付，对甲公司而言，该永续债并未形成支付现金或其他金融资产的合同义务；尽管甲公司有可能在第</w:t>
      </w:r>
      <w:r>
        <w:rPr>
          <w:rStyle w:val="fontkaiti1"/>
          <w:rFonts w:cs="宋体" w:hint="default"/>
          <w:color w:val="000000"/>
        </w:rPr>
        <w:t>5</w:t>
      </w:r>
      <w:r>
        <w:rPr>
          <w:rStyle w:val="fontkaiti1"/>
          <w:rFonts w:cs="宋体" w:hint="default"/>
          <w:color w:val="000000"/>
        </w:rPr>
        <w:t>年年末行使其回购权，但是甲公司并没有回购的合同义务，因此，该永续债应整体被分类为权益工具。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下列合同条款导致企业发行的金融工具不会分类为金融负债的是（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甲公司与</w:t>
      </w:r>
      <w:r>
        <w:rPr>
          <w:rStyle w:val="fontkaiti1"/>
          <w:rFonts w:cs="宋体" w:hint="default"/>
          <w:color w:val="000000"/>
        </w:rPr>
        <w:t>A</w:t>
      </w:r>
      <w:r>
        <w:rPr>
          <w:rStyle w:val="fontkaiti1"/>
          <w:rFonts w:cs="宋体" w:hint="default"/>
          <w:color w:val="000000"/>
        </w:rPr>
        <w:t>公司签订的合同约定，甲公司以</w:t>
      </w:r>
      <w:r>
        <w:rPr>
          <w:rStyle w:val="fontkaiti1"/>
          <w:rFonts w:cs="宋体" w:hint="default"/>
          <w:color w:val="000000"/>
        </w:rPr>
        <w:t>100</w:t>
      </w:r>
      <w:r>
        <w:rPr>
          <w:rStyle w:val="fontkaiti1"/>
          <w:rFonts w:cs="宋体" w:hint="default"/>
          <w:color w:val="000000"/>
        </w:rPr>
        <w:t>万元等值的自身权益工具偿还所欠</w:t>
      </w:r>
      <w:r>
        <w:rPr>
          <w:rStyle w:val="fontkaiti1"/>
          <w:rFonts w:cs="宋体" w:hint="default"/>
          <w:color w:val="000000"/>
        </w:rPr>
        <w:t>乙公司债务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乙公司发行了名义金额人民币</w:t>
      </w:r>
      <w:r>
        <w:rPr>
          <w:rStyle w:val="fontkaiti1"/>
          <w:rFonts w:cs="宋体" w:hint="default"/>
          <w:color w:val="000000"/>
        </w:rPr>
        <w:t>100</w:t>
      </w:r>
      <w:r>
        <w:rPr>
          <w:rStyle w:val="fontkaiti1"/>
          <w:rFonts w:cs="宋体" w:hint="default"/>
          <w:color w:val="000000"/>
        </w:rPr>
        <w:t>元的优先股，合同条款规定乙公司在</w:t>
      </w:r>
      <w:r>
        <w:rPr>
          <w:rStyle w:val="fontkaiti1"/>
          <w:rFonts w:cs="宋体" w:hint="default"/>
          <w:color w:val="000000"/>
        </w:rPr>
        <w:t>3</w:t>
      </w:r>
      <w:r>
        <w:rPr>
          <w:rStyle w:val="fontkaiti1"/>
          <w:rFonts w:cs="宋体" w:hint="default"/>
          <w:color w:val="000000"/>
        </w:rPr>
        <w:t>年后将优先股强制转换为普通股，转股价格为转股日前一个工作日的该普通股市价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丙公司在多地上市，向其所有的现有普通股股东提供每持有</w:t>
      </w:r>
      <w:r>
        <w:rPr>
          <w:rStyle w:val="fontkaiti1"/>
          <w:rFonts w:cs="宋体" w:hint="default"/>
          <w:color w:val="000000"/>
        </w:rPr>
        <w:t>2</w:t>
      </w:r>
      <w:r>
        <w:rPr>
          <w:rStyle w:val="fontkaiti1"/>
          <w:rFonts w:cs="宋体" w:hint="default"/>
          <w:color w:val="000000"/>
        </w:rPr>
        <w:t>股股份可购买其</w:t>
      </w:r>
      <w:r>
        <w:rPr>
          <w:rStyle w:val="fontkaiti1"/>
          <w:rFonts w:cs="宋体" w:hint="default"/>
          <w:color w:val="000000"/>
        </w:rPr>
        <w:t>1</w:t>
      </w:r>
      <w:r>
        <w:rPr>
          <w:rStyle w:val="fontkaiti1"/>
          <w:rFonts w:cs="宋体" w:hint="default"/>
          <w:color w:val="000000"/>
        </w:rPr>
        <w:t>股普通股的权利（配股比例为</w:t>
      </w:r>
      <w:r>
        <w:rPr>
          <w:rStyle w:val="fontkaiti1"/>
          <w:rFonts w:cs="宋体" w:hint="default"/>
          <w:color w:val="000000"/>
        </w:rPr>
        <w:t>2</w:t>
      </w:r>
      <w:r>
        <w:rPr>
          <w:rStyle w:val="fontkaiti1"/>
          <w:rFonts w:cs="宋体" w:hint="default"/>
          <w:color w:val="000000"/>
        </w:rPr>
        <w:t>股配</w:t>
      </w:r>
      <w:r>
        <w:rPr>
          <w:rStyle w:val="fontkaiti1"/>
          <w:rFonts w:cs="宋体" w:hint="default"/>
          <w:color w:val="000000"/>
        </w:rPr>
        <w:t>1</w:t>
      </w:r>
      <w:r>
        <w:rPr>
          <w:rStyle w:val="fontkaiti1"/>
          <w:rFonts w:cs="宋体" w:hint="default"/>
          <w:color w:val="000000"/>
        </w:rPr>
        <w:t>股），配股价格为配股公告当日股价的</w:t>
      </w:r>
      <w:r>
        <w:rPr>
          <w:rStyle w:val="fontkaiti1"/>
          <w:rFonts w:cs="宋体" w:hint="default"/>
          <w:color w:val="000000"/>
        </w:rPr>
        <w:t>70</w:t>
      </w:r>
      <w:r>
        <w:rPr>
          <w:rStyle w:val="fontkaiti1"/>
          <w:rFonts w:cs="宋体" w:hint="default"/>
          <w:color w:val="000000"/>
        </w:rPr>
        <w:t>％，由于该丙公司在多地上市，受到各地区当地的法规限制，配股权行权价的币种须与当地货币一致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丁公司与</w:t>
      </w:r>
      <w:r>
        <w:rPr>
          <w:rStyle w:val="fontkaiti1"/>
          <w:rFonts w:cs="宋体" w:hint="default"/>
          <w:color w:val="000000"/>
        </w:rPr>
        <w:t>B</w:t>
      </w:r>
      <w:r>
        <w:rPr>
          <w:rStyle w:val="fontkaiti1"/>
          <w:rFonts w:cs="宋体" w:hint="default"/>
          <w:color w:val="000000"/>
        </w:rPr>
        <w:t>公司签订的合同约定，丁公司以</w:t>
      </w:r>
      <w:r>
        <w:rPr>
          <w:rStyle w:val="fontkaiti1"/>
          <w:rFonts w:cs="宋体" w:hint="default"/>
          <w:color w:val="000000"/>
        </w:rPr>
        <w:t>100</w:t>
      </w:r>
      <w:r>
        <w:rPr>
          <w:rStyle w:val="fontkaiti1"/>
          <w:rFonts w:cs="宋体" w:hint="default"/>
          <w:color w:val="000000"/>
        </w:rPr>
        <w:t>盎司黄金等值的自身权益工具偿还所欠</w:t>
      </w:r>
      <w:r>
        <w:rPr>
          <w:rStyle w:val="fontkaiti1"/>
          <w:rFonts w:cs="宋体" w:hint="default"/>
          <w:color w:val="000000"/>
        </w:rPr>
        <w:t>B</w:t>
      </w:r>
      <w:r>
        <w:rPr>
          <w:rStyle w:val="fontkaiti1"/>
          <w:rFonts w:cs="宋体" w:hint="default"/>
          <w:color w:val="000000"/>
        </w:rPr>
        <w:t>公司债务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正确答案』</w:t>
      </w:r>
      <w:r>
        <w:rPr>
          <w:rStyle w:val="fontkaiti1"/>
          <w:rFonts w:cs="宋体" w:hint="default"/>
          <w:color w:val="000000"/>
        </w:rPr>
        <w:t xml:space="preserve"> 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，甲公司需偿还的负债金额</w:t>
      </w:r>
      <w:r>
        <w:rPr>
          <w:rStyle w:val="fontkaiti1"/>
          <w:rFonts w:cs="宋体" w:hint="default"/>
          <w:color w:val="000000"/>
        </w:rPr>
        <w:t>100</w:t>
      </w:r>
      <w:r>
        <w:rPr>
          <w:rStyle w:val="fontkaiti1"/>
          <w:rFonts w:cs="宋体" w:hint="default"/>
          <w:color w:val="000000"/>
        </w:rPr>
        <w:t>万元是固定的，但甲公司需交付的自身权益工具的数量随着其权益工具市场价格的变动而变动，在这种情况下，甲公司发行的该金融工具应当划分为金融负债；选项</w:t>
      </w:r>
      <w:r>
        <w:rPr>
          <w:rStyle w:val="fontkaiti1"/>
          <w:rFonts w:cs="宋体" w:hint="default"/>
          <w:color w:val="000000"/>
        </w:rPr>
        <w:t>B</w:t>
      </w:r>
      <w:r>
        <w:rPr>
          <w:rStyle w:val="fontkaiti1"/>
          <w:rFonts w:cs="宋体" w:hint="default"/>
          <w:color w:val="000000"/>
        </w:rPr>
        <w:t>，转股价格是变动的，未来须交付的普通股数量是可变的，实质可视作乙公司将在</w:t>
      </w:r>
      <w:r>
        <w:rPr>
          <w:rStyle w:val="fontkaiti1"/>
          <w:rFonts w:cs="宋体" w:hint="default"/>
          <w:color w:val="000000"/>
        </w:rPr>
        <w:t>3</w:t>
      </w:r>
      <w:r>
        <w:rPr>
          <w:rStyle w:val="fontkaiti1"/>
          <w:rFonts w:cs="宋体" w:hint="default"/>
          <w:color w:val="000000"/>
        </w:rPr>
        <w:t>年后使用自身普通股并按其市价履行支付优先股每股人民币</w:t>
      </w:r>
      <w:r>
        <w:rPr>
          <w:rStyle w:val="fontkaiti1"/>
          <w:rFonts w:cs="宋体" w:hint="default"/>
          <w:color w:val="000000"/>
        </w:rPr>
        <w:t>100</w:t>
      </w:r>
      <w:r>
        <w:rPr>
          <w:rStyle w:val="fontkaiti1"/>
          <w:rFonts w:cs="宋体" w:hint="default"/>
          <w:color w:val="000000"/>
        </w:rPr>
        <w:t>元的义务，在这种情况下，该强制可转换优先股整体是一项金融负债；选项</w:t>
      </w:r>
      <w:r>
        <w:rPr>
          <w:rStyle w:val="fontkaiti1"/>
          <w:rFonts w:cs="宋体" w:hint="default"/>
          <w:color w:val="000000"/>
        </w:rPr>
        <w:t>C</w:t>
      </w:r>
      <w:r>
        <w:rPr>
          <w:rStyle w:val="fontkaiti1"/>
          <w:rFonts w:cs="宋体" w:hint="default"/>
          <w:color w:val="000000"/>
        </w:rPr>
        <w:t>，由于丙公司是按比例向其所有同类普通股股东提供配股权，配股后各股东的权益份额并未发生改变，故该配</w:t>
      </w:r>
      <w:r>
        <w:rPr>
          <w:rStyle w:val="fontkaiti1"/>
          <w:rFonts w:cs="宋体" w:hint="default"/>
          <w:color w:val="000000"/>
        </w:rPr>
        <w:t>股权应当分类为权益工具；选项</w:t>
      </w:r>
      <w:r>
        <w:rPr>
          <w:rStyle w:val="fontkaiti1"/>
          <w:rFonts w:cs="宋体" w:hint="default"/>
          <w:color w:val="000000"/>
        </w:rPr>
        <w:t>D</w:t>
      </w:r>
      <w:r>
        <w:rPr>
          <w:rStyle w:val="fontkaiti1"/>
          <w:rFonts w:cs="宋体" w:hint="default"/>
          <w:color w:val="000000"/>
        </w:rPr>
        <w:t>，丁公司需偿还的负债金额随着黄金价格的变动而变动，而且丁公司需交付的自身权益工具的数量既随着黄金价格的变动而变动，又随着其权益工具市场价格的变动而变动，在这种情况下，丁公司发行的该金融工具应当划分为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（三）或有结算条款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发行方不能无条件地避免交付现金、其他金融资产或以其他导致该工具成为金融负债的方式进行结算的，应当分类为金融负债。但是，满足下列条件</w:t>
      </w:r>
      <w:r>
        <w:rPr>
          <w:rStyle w:val="font14zd2"/>
          <w:rFonts w:ascii="宋体" w:hAnsi="宋体" w:cs="宋体" w:hint="eastAsia"/>
        </w:rPr>
        <w:t>之一</w:t>
      </w:r>
      <w:r>
        <w:rPr>
          <w:rFonts w:ascii="宋体" w:hAnsi="宋体" w:cs="宋体" w:hint="eastAsia"/>
          <w:color w:val="000000"/>
          <w:sz w:val="21"/>
          <w:szCs w:val="21"/>
        </w:rPr>
        <w:t>的，发行方应当将其分类为</w:t>
      </w:r>
      <w:r>
        <w:rPr>
          <w:rStyle w:val="font14zd2"/>
          <w:rFonts w:ascii="宋体" w:hAnsi="宋体" w:cs="宋体" w:hint="eastAsia"/>
        </w:rPr>
        <w:t>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）要求以现金、其他金融资产或以其他导致该工具成为金融负债的方</w:t>
      </w:r>
      <w:r>
        <w:rPr>
          <w:rFonts w:ascii="宋体" w:hAnsi="宋体" w:cs="宋体" w:hint="eastAsia"/>
          <w:color w:val="000000"/>
          <w:sz w:val="21"/>
          <w:szCs w:val="21"/>
        </w:rPr>
        <w:t>式进行结算的或有结算条款几乎不具有可能性，即相关情形极端罕见、显著异常或几乎不可能发生（需提供证明）；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）只有在发行方</w:t>
      </w:r>
      <w:r>
        <w:rPr>
          <w:rStyle w:val="font14zd2"/>
          <w:rFonts w:ascii="宋体" w:hAnsi="宋体" w:cs="宋体" w:hint="eastAsia"/>
        </w:rPr>
        <w:t>清算</w:t>
      </w:r>
      <w:r>
        <w:rPr>
          <w:rFonts w:ascii="宋体" w:hAnsi="宋体" w:cs="宋体" w:hint="eastAsia"/>
          <w:color w:val="000000"/>
          <w:sz w:val="21"/>
          <w:szCs w:val="21"/>
        </w:rPr>
        <w:t>时，才需以现金、其他金融资产或以其他导致该工具成为金融负债的方式进行结算；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）特殊金融工具中分类为权益工具的可回售工具。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（四）结算选择权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对于存在结算选择权的衍生工具（例如，合同规定发行方或持有方能选择以现金净额或以发行股份交换现金等方式进行结算的衍生工具），发行方应当将其确认为</w:t>
      </w:r>
      <w:r>
        <w:rPr>
          <w:rStyle w:val="font14zd2"/>
          <w:rFonts w:ascii="宋体" w:hAnsi="宋体" w:cs="宋体" w:hint="eastAsia"/>
        </w:rPr>
        <w:t>金融负债，</w:t>
      </w:r>
      <w:r>
        <w:rPr>
          <w:rFonts w:ascii="宋体" w:hAnsi="宋体" w:cs="宋体" w:hint="eastAsia"/>
          <w:color w:val="000000"/>
          <w:sz w:val="21"/>
          <w:szCs w:val="21"/>
        </w:rPr>
        <w:t>但所有可供选择的结算方式均表明该衍生工具应当确认为权益工具的除外。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（五）复合金融工具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企业发行的一项非衍生工具同时包含金融负债成分和权益工具成分的，应于初始计量时先确定金融负债成分的公允价值，再从复合金融工具公允价值中扣除负债成分的公允价值，作为权益工具成分的价值。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判断一项金融工具是划分为权益工具还是金融负债，应考虑的基本原则是（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未来实施分配的意向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发行方对一段时期内的损益的预期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发行方未分配利润等可供分配的权益的金额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是否存在无条件地避免交付现金或其他金融资产的合同义务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w:t>
      </w:r>
      <w:r>
        <w:rPr>
          <w:rStyle w:val="fontkaiti1"/>
          <w:rFonts w:cs="宋体" w:hint="default"/>
          <w:color w:val="000000"/>
        </w:rPr>
        <w:t>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『答案解析』金融负债和权益工具区分的基本原则：</w:t>
      </w:r>
      <w:r>
        <w:rPr>
          <w:rStyle w:val="fontkaiti1"/>
          <w:rFonts w:cs="宋体" w:hint="default"/>
          <w:color w:val="000000"/>
        </w:rPr>
        <w:t>①</w:t>
      </w:r>
      <w:r>
        <w:rPr>
          <w:rStyle w:val="fontkaiti1"/>
          <w:rFonts w:cs="宋体" w:hint="default"/>
          <w:color w:val="000000"/>
        </w:rPr>
        <w:t>是否存在无条件地避免交付现金或其他金融资产的合同义务；</w:t>
      </w:r>
      <w:r>
        <w:rPr>
          <w:rStyle w:val="fontkaiti1"/>
          <w:rFonts w:cs="宋体" w:hint="default"/>
          <w:color w:val="000000"/>
        </w:rPr>
        <w:t>②</w:t>
      </w:r>
      <w:r>
        <w:rPr>
          <w:rStyle w:val="fontkaiti1"/>
          <w:rFonts w:cs="宋体" w:hint="default"/>
          <w:color w:val="000000"/>
        </w:rPr>
        <w:t>是否通过交付固定数量的自身权益工具结算。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金融负债和权益工具区分的基本原则：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是否存在无条件地避免交付现金或其他金融资产的合同义务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是否通过交付固定数量的自身权益工具结算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实收资本和其他权益工具的核算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886B0F" w:rsidP="00886B0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实收资本和其他权益工具的核算</w:t>
      </w:r>
      <w:r>
        <w:rPr>
          <w:rFonts w:ascii="宋体" w:hAnsi="宋体" w:cs="宋体" w:hint="eastAsia"/>
          <w:color w:val="000000"/>
          <w:sz w:val="21"/>
          <w:szCs w:val="21"/>
        </w:rPr>
        <w:t xml:space="preserve"> </w:t>
      </w:r>
    </w:p>
    <w:p w:rsidR="00000000" w:rsidRDefault="00886B0F" w:rsidP="00886B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考点二：实收资本增减变动的核算★★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全体股东认缴的出资额由股东按照公司章程的规定自公司成立之日起五年内缴足。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（—）实收资本增加的会计处理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企业增加资本的一般途径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77"/>
        <w:gridCol w:w="4533"/>
      </w:tblGrid>
      <w:tr w:rsidR="00000000" w:rsidTr="00886B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增加资本的途径</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886B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将资本公积转为实收资本（或股本）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借：资本公积——资本（或股本）溢价</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贷：实收资本或股本</w:t>
            </w:r>
          </w:p>
        </w:tc>
      </w:tr>
      <w:tr w:rsidR="00000000" w:rsidTr="00886B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将盈余公积转为实收资本（或股本）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借：盈余公积</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贷：实收资本或股本</w:t>
            </w:r>
          </w:p>
        </w:tc>
      </w:tr>
      <w:tr w:rsidR="00000000" w:rsidTr="00886B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所有者投入资本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贷：实收资本或股本</w:t>
            </w:r>
          </w:p>
        </w:tc>
      </w:tr>
    </w:tbl>
    <w:p w:rsidR="00000000" w:rsidRDefault="00886B0F" w:rsidP="00886B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股份有限公司发放股票股利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借：利润分配——转作股本的股利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可转换公司债券持有人行使转换权利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资本公积——股本溢价［倒挤］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企业将重组债务转为资本（债务转权益工具）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52875" cy="952500"/>
            <wp:effectExtent l="0" t="0" r="0" b="0"/>
            <wp:docPr id="2" name="图片_x0020e58e4f5e-fd3f-4f6c-90b9-f1fbc00e8bf2" descr="5d19ba9b-f035-47db-8d69-925e039b3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58e4f5e-fd3f-4f6c-90b9-f1fbc00e8bf2" descr="5d19ba9b-f035-47db-8d69-925e039b3d2a"/>
                    <pic:cNvPicPr>
                      <a:picLocks noChangeAspect="1" noChangeArrowheads="1"/>
                    </pic:cNvPicPr>
                  </pic:nvPicPr>
                  <pic:blipFill>
                    <a:blip r:embed="rId7"/>
                    <a:srcRect/>
                    <a:stretch>
                      <a:fillRect/>
                    </a:stretch>
                  </pic:blipFill>
                  <pic:spPr bwMode="auto">
                    <a:xfrm>
                      <a:off x="0" y="0"/>
                      <a:ext cx="3952875" cy="952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以权益结算的股份支付的行权（了解）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贷：实收资本［或股本］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资本公积——资本溢价［或股本溢价］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（二）实收资本减少的会计处理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有限责任公司减资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借：实收资本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股份有限公司采用回购本企业股票方式减资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）回购本公司股票时</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借：库存股［实际支付的金额］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）注销库存股时。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回购价格</w:t>
      </w:r>
      <w:r>
        <w:rPr>
          <w:rStyle w:val="font14zd2"/>
          <w:rFonts w:ascii="宋体" w:hAnsi="宋体" w:cs="宋体" w:hint="eastAsia"/>
        </w:rPr>
        <w:t>高于</w:t>
      </w:r>
      <w:r>
        <w:rPr>
          <w:rFonts w:ascii="宋体" w:hAnsi="宋体" w:cs="宋体" w:hint="eastAsia"/>
          <w:color w:val="000000"/>
          <w:sz w:val="21"/>
          <w:szCs w:val="21"/>
        </w:rPr>
        <w:t>回购股票的面值总额时：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借：股本［注销股票的面值总额］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资本公积——股本溢价［差额先冲股本溢价］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盈余公积［股本溢价余额不足，冲减盈余公积］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利润分配——未分配利润［股本溢价和盈余公积余额仍不足部分］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贷：库存股［注销库存股的账面余额］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回购价格</w:t>
      </w:r>
      <w:r>
        <w:rPr>
          <w:rStyle w:val="font14zd2"/>
          <w:rFonts w:ascii="宋体" w:hAnsi="宋体" w:cs="宋体" w:hint="eastAsia"/>
        </w:rPr>
        <w:t>低于</w:t>
      </w:r>
      <w:r>
        <w:rPr>
          <w:rFonts w:ascii="宋体" w:hAnsi="宋体" w:cs="宋体" w:hint="eastAsia"/>
          <w:color w:val="000000"/>
          <w:sz w:val="21"/>
          <w:szCs w:val="21"/>
        </w:rPr>
        <w:t>回</w:t>
      </w:r>
      <w:r>
        <w:rPr>
          <w:rFonts w:ascii="宋体" w:hAnsi="宋体" w:cs="宋体" w:hint="eastAsia"/>
          <w:color w:val="000000"/>
          <w:sz w:val="21"/>
          <w:szCs w:val="21"/>
        </w:rPr>
        <w:t>购股票的面值总额时：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借：股本［注销股票的面值总额］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贷：库存股［注销库存股的账面余额］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(2024</w:t>
      </w:r>
      <w:r>
        <w:rPr>
          <w:rStyle w:val="fontkaiti1"/>
          <w:rFonts w:cs="宋体" w:hint="default"/>
          <w:color w:val="000000"/>
        </w:rPr>
        <w:t>年）甲公司于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日以每股</w:t>
      </w:r>
      <w:r>
        <w:rPr>
          <w:rStyle w:val="fontkaiti1"/>
          <w:rFonts w:cs="宋体" w:hint="default"/>
          <w:color w:val="000000"/>
        </w:rPr>
        <w:t>20</w:t>
      </w:r>
      <w:r>
        <w:rPr>
          <w:rStyle w:val="fontkaiti1"/>
          <w:rFonts w:cs="宋体" w:hint="default"/>
          <w:color w:val="000000"/>
        </w:rPr>
        <w:t>元的价格发行</w:t>
      </w:r>
      <w:r>
        <w:rPr>
          <w:rStyle w:val="fontkaiti1"/>
          <w:rFonts w:cs="宋体" w:hint="default"/>
          <w:color w:val="000000"/>
        </w:rPr>
        <w:t>1000</w:t>
      </w:r>
      <w:r>
        <w:rPr>
          <w:rStyle w:val="fontkaiti1"/>
          <w:rFonts w:cs="宋体" w:hint="default"/>
          <w:color w:val="000000"/>
        </w:rPr>
        <w:t>万股普通股股票（每股面值</w:t>
      </w:r>
      <w:r>
        <w:rPr>
          <w:rStyle w:val="fontkaiti1"/>
          <w:rFonts w:cs="宋体" w:hint="default"/>
          <w:color w:val="000000"/>
        </w:rPr>
        <w:t>1</w:t>
      </w:r>
      <w:r>
        <w:rPr>
          <w:rStyle w:val="fontkaiti1"/>
          <w:rFonts w:cs="宋体" w:hint="default"/>
          <w:color w:val="000000"/>
        </w:rPr>
        <w:t>元），</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日以每股</w:t>
      </w:r>
      <w:r>
        <w:rPr>
          <w:rStyle w:val="fontkaiti1"/>
          <w:rFonts w:cs="宋体" w:hint="default"/>
          <w:color w:val="000000"/>
        </w:rPr>
        <w:t>12</w:t>
      </w:r>
      <w:r>
        <w:rPr>
          <w:rStyle w:val="fontkaiti1"/>
          <w:rFonts w:cs="宋体" w:hint="default"/>
          <w:color w:val="000000"/>
        </w:rPr>
        <w:t>元的价格回购其中</w:t>
      </w:r>
      <w:r>
        <w:rPr>
          <w:rStyle w:val="fontkaiti1"/>
          <w:rFonts w:cs="宋体" w:hint="default"/>
          <w:color w:val="000000"/>
        </w:rPr>
        <w:t>300</w:t>
      </w:r>
      <w:r>
        <w:rPr>
          <w:rStyle w:val="fontkaiti1"/>
          <w:rFonts w:cs="宋体" w:hint="default"/>
          <w:color w:val="000000"/>
        </w:rPr>
        <w:t>万股并注销，假设</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日之间，甲公司没有发生其他权益性交易，则该回购并注销股票对甲公司</w:t>
      </w:r>
      <w:r>
        <w:rPr>
          <w:rStyle w:val="fontkaiti1"/>
          <w:rFonts w:cs="宋体" w:hint="default"/>
          <w:color w:val="000000"/>
        </w:rPr>
        <w:t>2024</w:t>
      </w:r>
      <w:r>
        <w:rPr>
          <w:rStyle w:val="fontkaiti1"/>
          <w:rFonts w:cs="宋体" w:hint="default"/>
          <w:color w:val="000000"/>
        </w:rPr>
        <w:t>年年末所有者权益项目的影响是（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未分配利润减</w:t>
      </w:r>
      <w:r>
        <w:rPr>
          <w:rStyle w:val="fontkaiti1"/>
          <w:rFonts w:cs="宋体" w:hint="default"/>
          <w:color w:val="000000"/>
        </w:rPr>
        <w:t>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盈余公积减少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其他综合收益减少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股本溢价减少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『答案解析』传统方法：股票回购价低于发行价，所以注销回购的股票时，</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w:t>
      </w:r>
      <w:r>
        <w:rPr>
          <w:rStyle w:val="fontkaiti1"/>
          <w:rFonts w:cs="宋体" w:hint="default"/>
          <w:color w:val="000000"/>
        </w:rPr>
        <w:t>的余额足够冲减，不会冲减盈余公积和未分配利润。</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借：库存股（</w:t>
      </w:r>
      <w:r>
        <w:rPr>
          <w:rStyle w:val="fontkaiti1"/>
          <w:rFonts w:cs="宋体" w:hint="default"/>
          <w:color w:val="000000"/>
        </w:rPr>
        <w:t>12×3 000 000</w:t>
      </w:r>
      <w:r>
        <w:rPr>
          <w:rStyle w:val="fontkaiti1"/>
          <w:rFonts w:cs="宋体" w:hint="default"/>
          <w:color w:val="000000"/>
        </w:rPr>
        <w:t>）</w:t>
      </w:r>
      <w:r>
        <w:rPr>
          <w:rStyle w:val="fontkaiti1"/>
          <w:rFonts w:cs="宋体" w:hint="default"/>
          <w:color w:val="000000"/>
        </w:rPr>
        <w:t>36 000 000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借：股</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 xml:space="preserve">股本溢价　</w:t>
      </w:r>
      <w:r>
        <w:rPr>
          <w:rStyle w:val="fontkaiti1"/>
          <w:rFonts w:cs="宋体" w:hint="default"/>
          <w:color w:val="000000"/>
        </w:rPr>
        <w:t xml:space="preserve"> 33</w:t>
      </w:r>
      <w:r>
        <w:rPr>
          <w:rStyle w:val="fontkaiti1"/>
          <w:rFonts w:cs="宋体" w:hint="default"/>
          <w:color w:val="000000"/>
        </w:rPr>
        <w:t xml:space="preserve">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贷：库存</w:t>
      </w:r>
      <w:r>
        <w:rPr>
          <w:rStyle w:val="fontkaiti1"/>
          <w:rFonts w:cs="宋体" w:hint="default"/>
          <w:color w:val="000000"/>
        </w:rPr>
        <w:t>股</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36 000 000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速算技巧：</w:t>
      </w:r>
      <w:r>
        <w:rPr>
          <w:rFonts w:ascii="宋体" w:hAnsi="宋体" w:cs="宋体" w:hint="eastAsia"/>
          <w:color w:val="000000"/>
          <w:sz w:val="21"/>
          <w:szCs w:val="21"/>
        </w:rPr>
        <w:t>如果出现借方差额，首先冲减的是“资本公积——股本溢价”，然后才是“盈余公积”和“未分配利润”，而本题是单选题，所以，选</w:t>
      </w:r>
      <w:r>
        <w:rPr>
          <w:rFonts w:ascii="宋体" w:hAnsi="宋体" w:cs="宋体" w:hint="eastAsia"/>
          <w:color w:val="000000"/>
          <w:sz w:val="21"/>
          <w:szCs w:val="21"/>
        </w:rPr>
        <w:t>D</w:t>
      </w:r>
      <w:r>
        <w:rPr>
          <w:rFonts w:ascii="宋体" w:hAnsi="宋体" w:cs="宋体" w:hint="eastAsia"/>
          <w:color w:val="000000"/>
          <w:sz w:val="21"/>
          <w:szCs w:val="21"/>
        </w:rPr>
        <w:t>，即“资本公积——股本溢价”。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年）股份有限公司因减少注册资本而回购公司股份，在注销库存股时贷方可能涉及的会计科目有（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『答案解析』相关会计分录为：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）回购股份时：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）注销库存股时：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股本溢价、盈余公积、利润分配</w:t>
      </w:r>
      <w:r>
        <w:rPr>
          <w:rStyle w:val="fontkaiti1"/>
          <w:rFonts w:cs="宋体" w:hint="default"/>
          <w:color w:val="000000"/>
        </w:rPr>
        <w:t>——</w:t>
      </w:r>
      <w:r>
        <w:rPr>
          <w:rStyle w:val="fontkaiti1"/>
          <w:rFonts w:cs="宋体" w:hint="default"/>
          <w:color w:val="000000"/>
        </w:rPr>
        <w:t>未分配利润</w:t>
      </w:r>
      <w:r>
        <w:rPr>
          <w:rStyle w:val="fontkaiti1"/>
          <w:rFonts w:cs="宋体" w:hint="default"/>
          <w:color w:val="000000"/>
        </w:rPr>
        <w:t>[</w:t>
      </w:r>
      <w:r>
        <w:rPr>
          <w:rStyle w:val="fontkaiti1"/>
          <w:rFonts w:cs="宋体" w:hint="default"/>
          <w:color w:val="000000"/>
        </w:rPr>
        <w:t>借方差额</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w:t>
      </w:r>
      <w:r>
        <w:rPr>
          <w:rStyle w:val="fontkaiti1"/>
          <w:rFonts w:cs="宋体" w:hint="default"/>
          <w:color w:val="000000"/>
        </w:rPr>
        <w:t>贷方差额</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是借方可能会涉及的会计科目。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考点三：其他权益工具的核算★★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（一）其他权益工具处理的基本原则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对于归类为</w:t>
      </w:r>
      <w:r>
        <w:rPr>
          <w:rStyle w:val="font14zd2"/>
          <w:rFonts w:ascii="宋体" w:hAnsi="宋体" w:cs="宋体" w:hint="eastAsia"/>
        </w:rPr>
        <w:t>权益工具</w:t>
      </w:r>
      <w:r>
        <w:rPr>
          <w:rFonts w:ascii="宋体" w:hAnsi="宋体" w:cs="宋体" w:hint="eastAsia"/>
          <w:color w:val="000000"/>
          <w:sz w:val="21"/>
          <w:szCs w:val="21"/>
        </w:rPr>
        <w:t>的金</w:t>
      </w:r>
      <w:r>
        <w:rPr>
          <w:rFonts w:ascii="宋体" w:hAnsi="宋体" w:cs="宋体" w:hint="eastAsia"/>
          <w:color w:val="000000"/>
          <w:sz w:val="21"/>
          <w:szCs w:val="21"/>
        </w:rPr>
        <w:t>融工具，无论其名称中是否包含“债”，其利息支出或股利分配都应当作为发行企业的利润分配，其回购、注销等作为权益的变动处理；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对于归类为</w:t>
      </w:r>
      <w:r>
        <w:rPr>
          <w:rStyle w:val="font14zd2"/>
          <w:rFonts w:ascii="宋体" w:hAnsi="宋体" w:cs="宋体" w:hint="eastAsia"/>
        </w:rPr>
        <w:t>金融负债</w:t>
      </w:r>
      <w:r>
        <w:rPr>
          <w:rFonts w:ascii="宋体" w:hAnsi="宋体" w:cs="宋体" w:hint="eastAsia"/>
          <w:color w:val="000000"/>
          <w:sz w:val="21"/>
          <w:szCs w:val="21"/>
        </w:rPr>
        <w:t>的金融工具，无论其名称中是否包含“股”，其利息支出或股利分配原则上按照借款费用进行处理，其回购或赎回产生的利得或损失等计入当期损益。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金融工具的发行费用，如分类为债务工具且以摊余成本计量的，应当计入所发行工具的初始计量金额（计入利息调整）；如分类为权益工具的，应当从资本公积——股本溢价中扣除。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（二）发行方的账务处理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归类为债务工具并</w:t>
      </w:r>
      <w:r>
        <w:rPr>
          <w:rFonts w:ascii="宋体" w:hAnsi="宋体" w:cs="宋体" w:hint="eastAsia"/>
          <w:color w:val="000000"/>
          <w:sz w:val="21"/>
          <w:szCs w:val="21"/>
        </w:rPr>
        <w:t>以摊余成本计量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）发行时。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贷：应付债券——优先股、永续债等（面值）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w:t>
      </w:r>
      <w:r>
        <w:rPr>
          <w:rFonts w:ascii="宋体" w:hAnsi="宋体" w:cs="宋体" w:hint="eastAsia"/>
          <w:color w:val="000000"/>
          <w:sz w:val="21"/>
          <w:szCs w:val="21"/>
        </w:rPr>
        <w:t xml:space="preserve">　——优先股、永续债等（利息调整）［倒挤差额，或借］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按摊余成本后续计量的原则进行会计处理。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归类为权益工具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贷：其他权益工具——优先股、永续债等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）分派股利或利息。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权益工具与金融负债的重分类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）权益工具重分类为金融</w:t>
      </w:r>
      <w:r>
        <w:rPr>
          <w:rFonts w:ascii="宋体" w:hAnsi="宋体" w:cs="宋体" w:hint="eastAsia"/>
          <w:color w:val="000000"/>
          <w:sz w:val="21"/>
          <w:szCs w:val="21"/>
        </w:rPr>
        <w:t>负债（有差额）。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借：其他权益工具［账面价值］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资本公积——资本溢价［或股本溢价］［</w:t>
      </w:r>
      <w:r>
        <w:rPr>
          <w:rStyle w:val="font14zd2"/>
          <w:rFonts w:ascii="宋体" w:hAnsi="宋体" w:cs="宋体" w:hint="eastAsia"/>
        </w:rPr>
        <w:t>倒挤差额</w:t>
      </w:r>
      <w:r>
        <w:rPr>
          <w:rFonts w:ascii="宋体" w:hAnsi="宋体" w:cs="宋体" w:hint="eastAsia"/>
          <w:color w:val="000000"/>
          <w:sz w:val="21"/>
          <w:szCs w:val="21"/>
        </w:rPr>
        <w:t>，或贷］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贷：应付债券［公允价值］</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如果资本公积不够冲减，依次冲减盈余公积和未分配利润，下同。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）金融负债重分类为权益工具（无差额）。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赎回金融工具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）赎回分类为权益工具（普通股除外）的金融工具。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回购。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借：库存股——其他权益工具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注销。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w:t>
      </w:r>
      <w:r>
        <w:rPr>
          <w:rFonts w:ascii="宋体" w:hAnsi="宋体" w:cs="宋体" w:hint="eastAsia"/>
          <w:color w:val="000000"/>
          <w:sz w:val="21"/>
          <w:szCs w:val="21"/>
        </w:rPr>
        <w:t>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贷：库存股——其他权益工具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资本公积——资本溢价［或股本溢价］［倒挤，或借］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）赎回分类为金融负债的金融工具。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财务费用［或贷］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普通股以外的金融工具转换为普通股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借：应付债券或其他权益工具［账面价值］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库存现金或银行存款［不足转换为</w:t>
      </w:r>
      <w:r>
        <w:rPr>
          <w:rFonts w:ascii="宋体" w:hAnsi="宋体" w:cs="宋体" w:hint="eastAsia"/>
          <w:color w:val="000000"/>
          <w:sz w:val="21"/>
          <w:szCs w:val="21"/>
        </w:rPr>
        <w:t>1</w:t>
      </w:r>
      <w:r>
        <w:rPr>
          <w:rFonts w:ascii="宋体" w:hAnsi="宋体" w:cs="宋体" w:hint="eastAsia"/>
          <w:color w:val="000000"/>
          <w:sz w:val="21"/>
          <w:szCs w:val="21"/>
        </w:rPr>
        <w:t>股的支付现金］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（三）投资方的账务处理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投资方对金融工具的权益工</w:t>
      </w:r>
      <w:r>
        <w:rPr>
          <w:rFonts w:ascii="宋体" w:hAnsi="宋体" w:cs="宋体" w:hint="eastAsia"/>
          <w:color w:val="000000"/>
          <w:sz w:val="21"/>
          <w:szCs w:val="21"/>
        </w:rPr>
        <w:t>具或债务工具属性的认定与发行方保持一致。根据交易实质、影响程度和金融工具特点，分别按照相关准则等的规定进行会计处理。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86"/>
        <w:gridCol w:w="970"/>
        <w:gridCol w:w="6254"/>
      </w:tblGrid>
      <w:tr w:rsidR="00000000" w:rsidTr="00886B0F">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r>
      <w:tr w:rsidR="00000000" w:rsidTr="00886B0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优先股、永续债</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债务工具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以摊余成本计量的金融资产</w:t>
            </w:r>
          </w:p>
        </w:tc>
      </w:tr>
      <w:tr w:rsidR="00000000" w:rsidTr="00886B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以公允价值计量且其变动计入其他综合收益的金融资产</w:t>
            </w:r>
          </w:p>
        </w:tc>
      </w:tr>
      <w:tr w:rsidR="00000000" w:rsidTr="00886B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以公允价值计量且其变动计入当期损益的金融资产</w:t>
            </w:r>
          </w:p>
        </w:tc>
      </w:tr>
      <w:tr w:rsidR="00000000" w:rsidTr="00886B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权益工具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长期股权投资</w:t>
            </w:r>
          </w:p>
        </w:tc>
      </w:tr>
      <w:tr w:rsidR="00000000" w:rsidTr="00886B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以公允价值计量且其变动计入其他综合收益的非交易性权益工具投资</w:t>
            </w:r>
          </w:p>
        </w:tc>
      </w:tr>
      <w:tr w:rsidR="00000000" w:rsidTr="00886B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6B0F" w:rsidP="00886B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以公允价值计量且其变动计入当期损益的金融资产</w:t>
            </w:r>
          </w:p>
        </w:tc>
      </w:tr>
    </w:tbl>
    <w:p w:rsidR="00000000" w:rsidRDefault="00886B0F" w:rsidP="00886B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年）下列各项中，属于其他权益工具核算范围的有（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重新计量设定受益计划净负债或净资产所产生的变动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企业溢价发行股票取得的投资者认缴款大于所占股份的金额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企业发行的可转换公司债券的权益成分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企业发行的作为权益核算的优先股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以权益结算的股份支付在等待期内所确认的成本费用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，计入其他综合收益；选项</w:t>
      </w:r>
      <w:r>
        <w:rPr>
          <w:rStyle w:val="fontkaiti1"/>
          <w:rFonts w:cs="宋体" w:hint="default"/>
          <w:color w:val="000000"/>
        </w:rPr>
        <w:t>B</w:t>
      </w:r>
      <w:r>
        <w:rPr>
          <w:rStyle w:val="fontkaiti1"/>
          <w:rFonts w:cs="宋体" w:hint="default"/>
          <w:color w:val="000000"/>
        </w:rPr>
        <w:t>，计入资本公积</w:t>
      </w:r>
      <w:r>
        <w:rPr>
          <w:rStyle w:val="fontkaiti1"/>
          <w:rFonts w:cs="宋体" w:hint="default"/>
          <w:color w:val="000000"/>
        </w:rPr>
        <w:t>——</w:t>
      </w:r>
      <w:r>
        <w:rPr>
          <w:rStyle w:val="fontkaiti1"/>
          <w:rFonts w:cs="宋体" w:hint="default"/>
          <w:color w:val="000000"/>
        </w:rPr>
        <w:t>股本溢价；选项</w:t>
      </w:r>
      <w:r>
        <w:rPr>
          <w:rStyle w:val="fontkaiti1"/>
          <w:rFonts w:cs="宋体" w:hint="default"/>
          <w:color w:val="000000"/>
        </w:rPr>
        <w:t>E</w:t>
      </w:r>
      <w:r>
        <w:rPr>
          <w:rStyle w:val="fontkaiti1"/>
          <w:rFonts w:cs="宋体" w:hint="default"/>
          <w:color w:val="000000"/>
        </w:rPr>
        <w:t>，计入资本公积</w:t>
      </w:r>
      <w:r>
        <w:rPr>
          <w:rStyle w:val="fontkaiti1"/>
          <w:rFonts w:cs="宋体" w:hint="default"/>
          <w:color w:val="000000"/>
        </w:rPr>
        <w:t>——</w:t>
      </w:r>
      <w:r>
        <w:rPr>
          <w:rStyle w:val="fontkaiti1"/>
          <w:rFonts w:cs="宋体" w:hint="default"/>
          <w:color w:val="000000"/>
        </w:rPr>
        <w:t>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由于发行的金融工具原合同条款约定的条件随着经济环境的改变而发生变化，导致原归类为权益工具的金融工具重分类为金融负债，核算时不涉及的会计科目是（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应付债券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『答案解析』原归类为权益工具的金融工具重分类为金融负债的，应当于重分类日，按该工具的账面价值，借记</w:t>
      </w:r>
      <w:r>
        <w:rPr>
          <w:rStyle w:val="fontkaiti1"/>
          <w:rFonts w:cs="宋体" w:hint="default"/>
          <w:color w:val="000000"/>
        </w:rPr>
        <w:t>“</w:t>
      </w:r>
      <w:r>
        <w:rPr>
          <w:rStyle w:val="fontkaiti1"/>
          <w:rFonts w:cs="宋体" w:hint="default"/>
          <w:color w:val="000000"/>
        </w:rPr>
        <w:t>其他权益工具</w:t>
      </w:r>
      <w:r>
        <w:rPr>
          <w:rStyle w:val="fontkaiti1"/>
          <w:rFonts w:cs="宋体" w:hint="default"/>
          <w:color w:val="000000"/>
        </w:rPr>
        <w:t>”</w:t>
      </w:r>
      <w:r>
        <w:rPr>
          <w:rStyle w:val="fontkaiti1"/>
          <w:rFonts w:cs="宋体" w:hint="default"/>
          <w:color w:val="000000"/>
        </w:rPr>
        <w:t>科目，按该工具的面值，贷记</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优先股、永续债等（面值）</w:t>
      </w:r>
      <w:r>
        <w:rPr>
          <w:rStyle w:val="fontkaiti1"/>
          <w:rFonts w:cs="宋体" w:hint="default"/>
          <w:color w:val="000000"/>
        </w:rPr>
        <w:t>”</w:t>
      </w:r>
      <w:r>
        <w:rPr>
          <w:rStyle w:val="fontkaiti1"/>
          <w:rFonts w:cs="宋体" w:hint="default"/>
          <w:color w:val="000000"/>
        </w:rPr>
        <w:t>科目，按该工具的公允价值与面值之间的差额，借记或贷记</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优先股、永续债等（利息调整）</w:t>
      </w:r>
      <w:r>
        <w:rPr>
          <w:rStyle w:val="fontkaiti1"/>
          <w:rFonts w:cs="宋体" w:hint="default"/>
          <w:color w:val="000000"/>
        </w:rPr>
        <w:t>”</w:t>
      </w:r>
      <w:r>
        <w:rPr>
          <w:rStyle w:val="fontkaiti1"/>
          <w:rFonts w:cs="宋体" w:hint="default"/>
          <w:color w:val="000000"/>
        </w:rPr>
        <w:t>科目，按该工具的公允价值与账面价值的差额，贷记或借记</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资本溢价（或股本溢价）</w:t>
      </w:r>
      <w:r>
        <w:rPr>
          <w:rStyle w:val="fontkaiti1"/>
          <w:rFonts w:cs="宋体" w:hint="default"/>
          <w:color w:val="000000"/>
        </w:rPr>
        <w:t>”</w:t>
      </w:r>
      <w:r>
        <w:rPr>
          <w:rStyle w:val="fontkaiti1"/>
          <w:rFonts w:cs="宋体" w:hint="default"/>
          <w:color w:val="000000"/>
        </w:rPr>
        <w:t>科目，如资本公积不够冲减的，依次冲减盈余公积和未分配利润。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资本公积和其他综合收益的核算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886B0F" w:rsidP="00886B0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资本公积和其他综合收益的核算</w:t>
      </w:r>
      <w:r>
        <w:rPr>
          <w:rFonts w:ascii="宋体" w:hAnsi="宋体" w:cs="宋体" w:hint="eastAsia"/>
          <w:color w:val="000000"/>
          <w:sz w:val="21"/>
          <w:szCs w:val="21"/>
        </w:rPr>
        <w:t xml:space="preserve"> </w:t>
      </w:r>
    </w:p>
    <w:p w:rsidR="00000000" w:rsidRDefault="00886B0F" w:rsidP="00886B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考点四：资本公积的核算★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Style w:val="a6"/>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（一）资本（或股本）溢价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资本（或股本）溢价是指企业收到投资者出资超出其在企业注册资本（或股本）中所占份额的部分。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形</w:t>
      </w:r>
      <w:r>
        <w:rPr>
          <w:rFonts w:ascii="宋体" w:hAnsi="宋体" w:cs="宋体" w:hint="eastAsia"/>
          <w:color w:val="000000"/>
          <w:sz w:val="21"/>
          <w:szCs w:val="21"/>
        </w:rPr>
        <w:t>成资本（或股本）溢价的原因有溢价发行股票、投资者超额缴入资本、接受股东捐赠、接受股东债务豁免等</w:t>
      </w:r>
      <w:r>
        <w:rPr>
          <w:rStyle w:val="font14zd2"/>
          <w:rFonts w:ascii="宋体" w:hAnsi="宋体" w:cs="宋体" w:hint="eastAsia"/>
        </w:rPr>
        <w:t>权益性交易</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权益法核算的其他权益变动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）被投资单位发生所有者权益的其他变动，投资方按持股比例计算应享有的份额。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借：长期股权投资——其他权益变动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贷：资本公积——其他资本公积［或相反］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）处置长期股权投资时</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以权益结算的股份支付（了解）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）等待期</w:t>
      </w:r>
      <w:r>
        <w:rPr>
          <w:rFonts w:ascii="宋体" w:hAnsi="宋体" w:cs="宋体" w:hint="eastAsia"/>
          <w:color w:val="000000"/>
          <w:sz w:val="21"/>
          <w:szCs w:val="21"/>
        </w:rPr>
        <w:t>每个资产负债表日的处理</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）行权日的处理。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借：银行存款［按行权价收取的金额］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资本公积——其他资本公积［等待期内累计确定的金额］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贷：股本［增加股份的面值］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“资本公积——资本（或股本）溢价”可以用来转增资本或股本，但是“资本公积——其他资本公积”不可以转增资本或股本。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下列会计事项中，可能引起资本公积金额变动的有（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注销库存股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处置采用权益法核算的长期股权投资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将债权投资重分类为其他债权投资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用盈余公积分配现金股利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以权益结算的股份支付换取职工服务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，债权投资重分类为其他债权投资时，公允价值与账面价值的差额应计入其他综合收益，不会引起资本公积金额的变动；选项</w:t>
      </w:r>
      <w:r>
        <w:rPr>
          <w:rStyle w:val="fontkaiti1"/>
          <w:rFonts w:cs="宋体" w:hint="default"/>
          <w:color w:val="000000"/>
        </w:rPr>
        <w:t>D</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盈余公积</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应付股利</w:t>
      </w:r>
      <w:r>
        <w:rPr>
          <w:rStyle w:val="fontkaiti1"/>
          <w:rFonts w:cs="宋体" w:hint="default"/>
          <w:color w:val="000000"/>
        </w:rPr>
        <w:t>”</w:t>
      </w:r>
      <w:r>
        <w:rPr>
          <w:rStyle w:val="fontkaiti1"/>
          <w:rFonts w:cs="宋体" w:hint="default"/>
          <w:color w:val="000000"/>
        </w:rPr>
        <w:t>科目，不会引起资本公积金额的变动。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下列会计事项在进行账务处理时不通过</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科目核算的有（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为奖励本公司职工而收购的本公司股份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企业无法收回的应收账款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企业从政府无偿取得非货币性资产形成的利得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其他债权投资公允价值发生的变动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采用权益法核算的长期股权投资，投资企业按持股比例确认的被投资单位除净损益、利润分配、其他综合收益以外所有者权益其他变动应享有的份额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『答案解析』收回本公司股份通过</w:t>
      </w:r>
      <w:r>
        <w:rPr>
          <w:rStyle w:val="fontkaiti1"/>
          <w:rFonts w:cs="宋体" w:hint="default"/>
          <w:color w:val="000000"/>
        </w:rPr>
        <w:t>“</w:t>
      </w:r>
      <w:r>
        <w:rPr>
          <w:rStyle w:val="fontkaiti1"/>
          <w:rFonts w:cs="宋体" w:hint="default"/>
          <w:color w:val="000000"/>
        </w:rPr>
        <w:t>库存股</w:t>
      </w:r>
      <w:r>
        <w:rPr>
          <w:rStyle w:val="fontkaiti1"/>
          <w:rFonts w:cs="宋体" w:hint="default"/>
          <w:color w:val="000000"/>
        </w:rPr>
        <w:t>”</w:t>
      </w:r>
      <w:r>
        <w:rPr>
          <w:rStyle w:val="fontkaiti1"/>
          <w:rFonts w:cs="宋体" w:hint="default"/>
          <w:color w:val="000000"/>
        </w:rPr>
        <w:t>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无法收回的应收账款通过</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从政府无偿取得非货币性资产形成的利得通过</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等核算：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借：无形资产等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贷：其他收益</w:t>
      </w:r>
      <w:r>
        <w:rPr>
          <w:rStyle w:val="fontkaiti1"/>
          <w:rFonts w:cs="宋体" w:hint="default"/>
          <w:color w:val="000000"/>
        </w:rPr>
        <w:t>/</w:t>
      </w:r>
      <w:r>
        <w:rPr>
          <w:rStyle w:val="fontkaiti1"/>
          <w:rFonts w:cs="宋体" w:hint="default"/>
          <w:color w:val="000000"/>
        </w:rPr>
        <w:t>递延收益</w:t>
      </w:r>
      <w:r>
        <w:rPr>
          <w:rStyle w:val="fontkaiti1"/>
          <w:rFonts w:cs="宋体" w:hint="default"/>
          <w:color w:val="000000"/>
        </w:rPr>
        <w:t>/</w:t>
      </w:r>
      <w:r>
        <w:rPr>
          <w:rStyle w:val="fontkaiti1"/>
          <w:rFonts w:cs="宋体" w:hint="default"/>
          <w:color w:val="000000"/>
        </w:rPr>
        <w:t>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其他债权投资公允价值发生的变动通过</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w:t>
      </w:r>
      <w:r>
        <w:rPr>
          <w:rStyle w:val="fontkaiti1"/>
          <w:rFonts w:cs="宋体" w:hint="default"/>
          <w:color w:val="000000"/>
        </w:rPr>
        <w:t>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借：其他债权投资</w:t>
      </w:r>
      <w:r>
        <w:rPr>
          <w:rStyle w:val="fontkaiti1"/>
          <w:rFonts w:cs="宋体" w:hint="default"/>
          <w:color w:val="000000"/>
        </w:rPr>
        <w:t>——</w:t>
      </w:r>
      <w:r>
        <w:rPr>
          <w:rStyle w:val="fontkaiti1"/>
          <w:rFonts w:cs="宋体" w:hint="default"/>
          <w:color w:val="000000"/>
        </w:rPr>
        <w:t>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贷：其他综合收益</w:t>
      </w:r>
      <w:r>
        <w:rPr>
          <w:rStyle w:val="fontkaiti1"/>
          <w:rFonts w:cs="宋体" w:hint="default"/>
          <w:color w:val="000000"/>
        </w:rPr>
        <w:t>[</w:t>
      </w:r>
      <w:r>
        <w:rPr>
          <w:rStyle w:val="fontkaiti1"/>
          <w:rFonts w:cs="宋体" w:hint="default"/>
          <w:color w:val="000000"/>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考点五：其他综合收益的核算★★★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其他综合收益，是指未在当</w:t>
      </w:r>
      <w:r>
        <w:rPr>
          <w:rFonts w:ascii="宋体" w:hAnsi="宋体" w:cs="宋体" w:hint="eastAsia"/>
          <w:color w:val="000000"/>
          <w:sz w:val="21"/>
          <w:szCs w:val="21"/>
        </w:rPr>
        <w:t>期损益中确认的各项利得和损失。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包括以后会计期间不能重分类进损益的其他综合收益和以后会计期间满足规定条件时将重分类进损益的其他综合收益两类。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（一）以后会计期间</w:t>
      </w:r>
      <w:r>
        <w:rPr>
          <w:rStyle w:val="font14zd2"/>
          <w:rFonts w:ascii="宋体" w:hAnsi="宋体" w:cs="宋体" w:hint="eastAsia"/>
        </w:rPr>
        <w:t>不能重分类进损益</w:t>
      </w:r>
      <w:r>
        <w:rPr>
          <w:rFonts w:ascii="宋体" w:hAnsi="宋体" w:cs="宋体" w:hint="eastAsia"/>
          <w:color w:val="000000"/>
          <w:sz w:val="21"/>
          <w:szCs w:val="21"/>
        </w:rPr>
        <w:t>的其他综合收益项目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87"/>
        <w:gridCol w:w="3723"/>
      </w:tblGrid>
      <w:tr w:rsidR="00000000" w:rsidTr="00886B0F">
        <w:trPr>
          <w:cantSplit/>
          <w:trHeight w:val="300"/>
          <w:tblHeader/>
          <w:jc w:val="center"/>
        </w:trPr>
        <w:tc>
          <w:tcPr>
            <w:tcW w:w="7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53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会计分录（或相反分录）</w:t>
            </w:r>
          </w:p>
        </w:tc>
      </w:tr>
      <w:tr w:rsidR="00000000" w:rsidTr="00886B0F">
        <w:trPr>
          <w:cantSplit/>
          <w:trHeight w:val="300"/>
          <w:jc w:val="center"/>
        </w:trPr>
        <w:tc>
          <w:tcPr>
            <w:tcW w:w="7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Style w:val="font14zd3"/>
                <w:rFonts w:ascii="宋体" w:hAnsi="宋体" w:cs="宋体" w:hint="eastAsia"/>
              </w:rPr>
              <w:t>重新计量</w:t>
            </w:r>
            <w:r>
              <w:rPr>
                <w:rFonts w:ascii="宋体" w:hAnsi="宋体" w:cs="宋体" w:hint="eastAsia"/>
                <w:color w:val="000000"/>
                <w:sz w:val="21"/>
                <w:szCs w:val="21"/>
              </w:rPr>
              <w:t>设定受益计划导致净负债或净资产变动</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借：其他综合收益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p>
        </w:tc>
      </w:tr>
      <w:tr w:rsidR="00000000" w:rsidTr="00886B0F">
        <w:trPr>
          <w:cantSplit/>
          <w:trHeight w:val="300"/>
          <w:jc w:val="center"/>
        </w:trPr>
        <w:tc>
          <w:tcPr>
            <w:tcW w:w="7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非交易性权益工具投资</w:t>
            </w:r>
            <w:r>
              <w:rPr>
                <w:rStyle w:val="font14zd3"/>
                <w:rFonts w:ascii="宋体" w:hAnsi="宋体" w:cs="宋体" w:hint="eastAsia"/>
              </w:rPr>
              <w:t>指定</w:t>
            </w:r>
            <w:r>
              <w:rPr>
                <w:rFonts w:ascii="宋体" w:hAnsi="宋体" w:cs="宋体" w:hint="eastAsia"/>
                <w:color w:val="000000"/>
                <w:sz w:val="21"/>
                <w:szCs w:val="21"/>
              </w:rPr>
              <w:t>为以公允价值计量且其变动计入其他综合收益的金融资产，</w:t>
            </w:r>
            <w:r>
              <w:rPr>
                <w:rStyle w:val="font14zd3"/>
                <w:rFonts w:ascii="宋体" w:hAnsi="宋体" w:cs="宋体" w:hint="eastAsia"/>
              </w:rPr>
              <w:t>持有期间</w:t>
            </w:r>
            <w:r>
              <w:rPr>
                <w:rFonts w:ascii="宋体" w:hAnsi="宋体" w:cs="宋体" w:hint="eastAsia"/>
                <w:color w:val="000000"/>
                <w:sz w:val="21"/>
                <w:szCs w:val="21"/>
              </w:rPr>
              <w:t>的公允价值变动</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借：其他权益工具投资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w:t>
            </w:r>
          </w:p>
        </w:tc>
      </w:tr>
      <w:tr w:rsidR="00000000" w:rsidTr="00886B0F">
        <w:trPr>
          <w:cantSplit/>
          <w:trHeight w:val="300"/>
          <w:jc w:val="center"/>
        </w:trPr>
        <w:tc>
          <w:tcPr>
            <w:tcW w:w="7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指定</w:t>
            </w:r>
            <w:r>
              <w:rPr>
                <w:rFonts w:ascii="宋体" w:hAnsi="宋体" w:cs="宋体" w:hint="eastAsia"/>
                <w:color w:val="000000"/>
                <w:sz w:val="21"/>
                <w:szCs w:val="21"/>
              </w:rPr>
              <w:t>为以公允价值计量且其变动计入当期损益的金融负债受其</w:t>
            </w:r>
            <w:r>
              <w:rPr>
                <w:rStyle w:val="font14zd3"/>
                <w:rFonts w:ascii="宋体" w:hAnsi="宋体" w:cs="宋体" w:hint="eastAsia"/>
              </w:rPr>
              <w:t>自身信用风险</w:t>
            </w:r>
            <w:r>
              <w:rPr>
                <w:rFonts w:ascii="宋体" w:hAnsi="宋体" w:cs="宋体" w:hint="eastAsia"/>
                <w:color w:val="000000"/>
                <w:sz w:val="21"/>
                <w:szCs w:val="21"/>
              </w:rPr>
              <w:t>变动引起的公允价值变动</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借：交易性金融负债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w:t>
            </w:r>
          </w:p>
        </w:tc>
      </w:tr>
      <w:tr w:rsidR="00000000" w:rsidTr="00886B0F">
        <w:trPr>
          <w:cantSplit/>
          <w:trHeight w:val="300"/>
          <w:jc w:val="center"/>
        </w:trPr>
        <w:tc>
          <w:tcPr>
            <w:tcW w:w="7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由于被投资方出现上述情况，投资方按照</w:t>
            </w:r>
            <w:r>
              <w:rPr>
                <w:rStyle w:val="font14zd3"/>
                <w:rFonts w:ascii="宋体" w:hAnsi="宋体" w:cs="宋体" w:hint="eastAsia"/>
              </w:rPr>
              <w:t>权益法</w:t>
            </w:r>
            <w:r>
              <w:rPr>
                <w:rFonts w:ascii="宋体" w:hAnsi="宋体" w:cs="宋体" w:hint="eastAsia"/>
                <w:color w:val="000000"/>
                <w:sz w:val="21"/>
                <w:szCs w:val="21"/>
              </w:rPr>
              <w:t>调整长期股权投资账面价值时确认的其他综合收益</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w:t>
            </w:r>
          </w:p>
        </w:tc>
      </w:tr>
    </w:tbl>
    <w:p w:rsidR="00000000" w:rsidRDefault="00886B0F" w:rsidP="00886B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【记忆口诀】</w:t>
      </w:r>
      <w:r>
        <w:rPr>
          <w:rFonts w:ascii="宋体" w:hAnsi="宋体" w:cs="宋体" w:hint="eastAsia"/>
          <w:color w:val="000000"/>
          <w:sz w:val="21"/>
          <w:szCs w:val="21"/>
        </w:rPr>
        <w:t>指定有信心（新）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（二）以后会计期间满足规定条件时将重分类进损益的其他综合收益项目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52"/>
        <w:gridCol w:w="3758"/>
      </w:tblGrid>
      <w:tr w:rsidR="00000000" w:rsidTr="00886B0F">
        <w:trPr>
          <w:cantSplit/>
          <w:trHeight w:val="300"/>
          <w:tblHeader/>
          <w:jc w:val="center"/>
        </w:trPr>
        <w:tc>
          <w:tcPr>
            <w:tcW w:w="66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48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w:t>
            </w:r>
          </w:p>
        </w:tc>
      </w:tr>
      <w:tr w:rsidR="00000000" w:rsidTr="00886B0F">
        <w:trPr>
          <w:cantSplit/>
          <w:trHeight w:val="300"/>
          <w:jc w:val="center"/>
        </w:trPr>
        <w:tc>
          <w:tcPr>
            <w:tcW w:w="66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第二类金融资产（债务工具投资）公允价值变动</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借：其他债权投资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贷：其他综合收益［或相反］</w:t>
            </w:r>
          </w:p>
        </w:tc>
      </w:tr>
      <w:tr w:rsidR="00000000" w:rsidTr="00886B0F">
        <w:trPr>
          <w:cantSplit/>
          <w:trHeight w:val="300"/>
          <w:jc w:val="center"/>
        </w:trPr>
        <w:tc>
          <w:tcPr>
            <w:tcW w:w="66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第一类金融资产重分类为第二类金融资产的差额</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借：其他债权投资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其他综合收益［或借］</w:t>
            </w:r>
          </w:p>
        </w:tc>
      </w:tr>
      <w:tr w:rsidR="00000000" w:rsidTr="00886B0F">
        <w:trPr>
          <w:cantSplit/>
          <w:trHeight w:val="300"/>
          <w:jc w:val="center"/>
        </w:trPr>
        <w:tc>
          <w:tcPr>
            <w:tcW w:w="66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第二类金融资产计提或转回的信用减值准备</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借：信用减值损失</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贷：其他综合收益［或相反］</w:t>
            </w:r>
          </w:p>
        </w:tc>
      </w:tr>
      <w:tr w:rsidR="00000000" w:rsidTr="00886B0F">
        <w:trPr>
          <w:cantSplit/>
          <w:trHeight w:val="300"/>
          <w:jc w:val="center"/>
        </w:trPr>
        <w:tc>
          <w:tcPr>
            <w:tcW w:w="66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权益法下因被投资方可以重分类进损益的其他综合收益变动而确认的金额</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贷：其他综合收益［或相反］</w:t>
            </w:r>
          </w:p>
        </w:tc>
      </w:tr>
      <w:tr w:rsidR="00000000" w:rsidTr="00886B0F">
        <w:trPr>
          <w:cantSplit/>
          <w:trHeight w:val="300"/>
          <w:jc w:val="center"/>
        </w:trPr>
        <w:tc>
          <w:tcPr>
            <w:tcW w:w="66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非投资性房地产转换为公允价值模式下的投资性房地产的贷方差额</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借：投资性房地产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贷：开发产品等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w:t>
            </w:r>
          </w:p>
        </w:tc>
      </w:tr>
      <w:tr w:rsidR="00000000" w:rsidTr="00886B0F">
        <w:trPr>
          <w:cantSplit/>
          <w:trHeight w:val="300"/>
          <w:jc w:val="center"/>
        </w:trPr>
        <w:tc>
          <w:tcPr>
            <w:tcW w:w="66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现金流量套期工具产生的利得或损失</w:t>
            </w:r>
            <w:r>
              <w:rPr>
                <w:rFonts w:ascii="宋体" w:hAnsi="宋体" w:cs="宋体" w:hint="eastAsia"/>
                <w:color w:val="000000"/>
                <w:sz w:val="21"/>
                <w:szCs w:val="21"/>
              </w:rPr>
              <w:t>中属于有效套期的部分，作为现金流量套期储备</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借：套期工具</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贷：其他综合收益［或相反］</w:t>
            </w:r>
          </w:p>
        </w:tc>
      </w:tr>
      <w:tr w:rsidR="00000000" w:rsidTr="00886B0F">
        <w:trPr>
          <w:cantSplit/>
          <w:trHeight w:val="300"/>
          <w:jc w:val="center"/>
        </w:trPr>
        <w:tc>
          <w:tcPr>
            <w:tcW w:w="66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外币财务报表折算差额</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bl>
    <w:p w:rsidR="00000000" w:rsidRDefault="00886B0F" w:rsidP="00886B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年）下列各项中，通过</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w:t>
      </w:r>
      <w:r>
        <w:rPr>
          <w:rStyle w:val="fontkaiti1"/>
          <w:rFonts w:cs="宋体" w:hint="default"/>
          <w:color w:val="000000"/>
        </w:rPr>
        <w:t>科目核算的是（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公司收到控股股东的现金捐赠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以摊余成本计量的金融资产重分类为以公允价值计量且其变动计入其他综合收益的金融资产，重分类日金融资产公允价值与账面价值的差额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债权人与债务人在债务重组前后均受同一方控制，且债务重组实质是债务人接受权益性投入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注销库存股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w:t>
      </w:r>
      <w:r>
        <w:rPr>
          <w:rStyle w:val="fontkaiti1"/>
          <w:rFonts w:cs="宋体" w:hint="default"/>
          <w:color w:val="000000"/>
        </w:rPr>
        <w:t>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ACD</w:t>
      </w:r>
      <w:r>
        <w:rPr>
          <w:rStyle w:val="fontkaiti1"/>
          <w:rFonts w:cs="宋体" w:hint="default"/>
          <w:color w:val="000000"/>
        </w:rPr>
        <w:t>，通过</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年）下列应在利润表</w:t>
      </w:r>
      <w:r>
        <w:rPr>
          <w:rStyle w:val="fontkaiti1"/>
          <w:rFonts w:cs="宋体" w:hint="default"/>
          <w:color w:val="000000"/>
        </w:rPr>
        <w:t>“</w:t>
      </w:r>
      <w:r>
        <w:rPr>
          <w:rStyle w:val="fontkaiti1"/>
          <w:rFonts w:cs="宋体" w:hint="default"/>
          <w:color w:val="000000"/>
        </w:rPr>
        <w:t>将重分类进损益的其他综合收益</w:t>
      </w:r>
      <w:r>
        <w:rPr>
          <w:rStyle w:val="fontkaiti1"/>
          <w:rFonts w:cs="宋体" w:hint="default"/>
          <w:color w:val="000000"/>
        </w:rPr>
        <w:t>”</w:t>
      </w:r>
      <w:r>
        <w:rPr>
          <w:rStyle w:val="fontkaiti1"/>
          <w:rFonts w:cs="宋体" w:hint="default"/>
          <w:color w:val="000000"/>
        </w:rPr>
        <w:t>中披露的项目有（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外币财务报表折算差额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企业自身信用风险公允价值变动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其他债权投资信用减值准备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现金流量套期储备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其他债权投资公允价值变动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，由企业自身信用风险变动引起的相关金融负债公允价值的变动金额，应当计入其他综合收益，且后续不能重分类进损益，在利</w:t>
      </w:r>
      <w:r>
        <w:rPr>
          <w:rStyle w:val="fontkaiti1"/>
          <w:rFonts w:cs="宋体" w:hint="default"/>
          <w:color w:val="000000"/>
        </w:rPr>
        <w:t>润表</w:t>
      </w:r>
      <w:r>
        <w:rPr>
          <w:rStyle w:val="fontkaiti1"/>
          <w:rFonts w:cs="宋体" w:hint="default"/>
          <w:color w:val="000000"/>
        </w:rPr>
        <w:t>“</w:t>
      </w:r>
      <w:r>
        <w:rPr>
          <w:rStyle w:val="fontkaiti1"/>
          <w:rFonts w:cs="宋体" w:hint="default"/>
          <w:color w:val="000000"/>
        </w:rPr>
        <w:t>不能重分类进损益的其他综合收益</w:t>
      </w:r>
      <w:r>
        <w:rPr>
          <w:rStyle w:val="fontkaiti1"/>
          <w:rFonts w:cs="宋体" w:hint="default"/>
          <w:color w:val="000000"/>
        </w:rPr>
        <w:t>”</w:t>
      </w:r>
      <w:r>
        <w:rPr>
          <w:rStyle w:val="fontkaiti1"/>
          <w:rFonts w:cs="宋体" w:hint="default"/>
          <w:color w:val="000000"/>
        </w:rPr>
        <w:t>中披露。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留存收益的核算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886B0F" w:rsidP="00886B0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留存收益的核算</w:t>
      </w:r>
      <w:r>
        <w:rPr>
          <w:rFonts w:ascii="宋体" w:hAnsi="宋体" w:cs="宋体" w:hint="eastAsia"/>
          <w:color w:val="000000"/>
          <w:sz w:val="21"/>
          <w:szCs w:val="21"/>
        </w:rPr>
        <w:t xml:space="preserve"> </w:t>
      </w:r>
    </w:p>
    <w:p w:rsidR="00000000" w:rsidRDefault="00886B0F" w:rsidP="00886B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86125" cy="1666875"/>
            <wp:effectExtent l="19050" t="0" r="9525" b="0"/>
            <wp:docPr id="3" name="图片_x0020f34e1317-0fee-452e-83da-46301870b0a6" descr="59ca3b68-38fe-4b7a-a5ea-0d4071c59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34e1317-0fee-452e-83da-46301870b0a6" descr="59ca3b68-38fe-4b7a-a5ea-0d4071c5970e"/>
                    <pic:cNvPicPr>
                      <a:picLocks noChangeAspect="1" noChangeArrowheads="1"/>
                    </pic:cNvPicPr>
                  </pic:nvPicPr>
                  <pic:blipFill>
                    <a:blip r:embed="rId8"/>
                    <a:srcRect/>
                    <a:stretch>
                      <a:fillRect/>
                    </a:stretch>
                  </pic:blipFill>
                  <pic:spPr bwMode="auto">
                    <a:xfrm>
                      <a:off x="0" y="0"/>
                      <a:ext cx="3286125" cy="1666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考点六：盈余公积的核算★★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（一）盈余公积的组成内容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企业按照法律规定的比例（</w:t>
      </w:r>
      <w:r>
        <w:rPr>
          <w:rFonts w:ascii="宋体" w:hAnsi="宋体" w:cs="宋体" w:hint="eastAsia"/>
          <w:color w:val="000000"/>
          <w:sz w:val="21"/>
          <w:szCs w:val="21"/>
        </w:rPr>
        <w:t>10</w:t>
      </w:r>
      <w:r>
        <w:rPr>
          <w:rFonts w:ascii="宋体" w:hAnsi="宋体" w:cs="宋体" w:hint="eastAsia"/>
          <w:color w:val="000000"/>
          <w:sz w:val="21"/>
          <w:szCs w:val="21"/>
        </w:rPr>
        <w:t>％）从净利润中提取的盈余公积。公司计提的法定盈余公积累计额达到注册资本的</w:t>
      </w:r>
      <w:r>
        <w:rPr>
          <w:rFonts w:ascii="宋体" w:hAnsi="宋体" w:cs="宋体" w:hint="eastAsia"/>
          <w:color w:val="000000"/>
          <w:sz w:val="21"/>
          <w:szCs w:val="21"/>
        </w:rPr>
        <w:t>50</w:t>
      </w:r>
      <w:r>
        <w:rPr>
          <w:rFonts w:ascii="宋体" w:hAnsi="宋体" w:cs="宋体" w:hint="eastAsia"/>
          <w:color w:val="000000"/>
          <w:sz w:val="21"/>
          <w:szCs w:val="21"/>
        </w:rPr>
        <w:t>％以上时，可以不再提取。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任意盈余公积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企业经股东会或类似机构</w:t>
      </w:r>
      <w:r>
        <w:rPr>
          <w:rFonts w:ascii="宋体" w:hAnsi="宋体" w:cs="宋体" w:hint="eastAsia"/>
          <w:color w:val="000000"/>
          <w:sz w:val="21"/>
          <w:szCs w:val="21"/>
        </w:rPr>
        <w:t>批准按照规定的比例从净利润中提取的盈余公积。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（二）盈余公积的用途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71825" cy="1219200"/>
            <wp:effectExtent l="19050" t="0" r="9525" b="0"/>
            <wp:docPr id="4" name="图片_x002008fb6f3b-1cc2-41db-9777-8b268613355a" descr="6324f710-134c-49c8-ae93-ff2bad80d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8fb6f3b-1cc2-41db-9777-8b268613355a" descr="6324f710-134c-49c8-ae93-ff2bad80d999"/>
                    <pic:cNvPicPr>
                      <a:picLocks noChangeAspect="1" noChangeArrowheads="1"/>
                    </pic:cNvPicPr>
                  </pic:nvPicPr>
                  <pic:blipFill>
                    <a:blip r:embed="rId9"/>
                    <a:srcRect/>
                    <a:stretch>
                      <a:fillRect/>
                    </a:stretch>
                  </pic:blipFill>
                  <pic:spPr bwMode="auto">
                    <a:xfrm>
                      <a:off x="0" y="0"/>
                      <a:ext cx="3171825" cy="1219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盈余公积转增资本（股本）时，转增后留存的盈余公积不得少于转增前注册资本的</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29025" cy="2247900"/>
            <wp:effectExtent l="19050" t="0" r="9525" b="0"/>
            <wp:docPr id="5" name="图片_x00207af3a171-bb3d-4d2c-a3c3-559694eb881d" descr="aa46d43c-5933-48c7-9ffc-63ac3920c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af3a171-bb3d-4d2c-a3c3-559694eb881d" descr="aa46d43c-5933-48c7-9ffc-63ac3920cbba"/>
                    <pic:cNvPicPr>
                      <a:picLocks noChangeAspect="1" noChangeArrowheads="1"/>
                    </pic:cNvPicPr>
                  </pic:nvPicPr>
                  <pic:blipFill>
                    <a:blip r:embed="rId10"/>
                    <a:srcRect/>
                    <a:stretch>
                      <a:fillRect/>
                    </a:stretch>
                  </pic:blipFill>
                  <pic:spPr bwMode="auto">
                    <a:xfrm>
                      <a:off x="0" y="0"/>
                      <a:ext cx="3629025" cy="2247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（三）盈余公积的核算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盈余公积的提取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借：利润分配——提取法定盈余公积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——提取任意盈余公积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——任意盈余公积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盈余公积的使用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79"/>
        <w:gridCol w:w="5331"/>
      </w:tblGrid>
      <w:tr w:rsidR="00000000" w:rsidTr="00886B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6B0F" w:rsidP="00886B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w:t>
            </w:r>
          </w:p>
        </w:tc>
      </w:tr>
      <w:tr w:rsidR="00000000" w:rsidTr="00886B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）弥补亏损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借：盈余公积</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贷：利润</w:t>
            </w:r>
            <w:r>
              <w:rPr>
                <w:rFonts w:ascii="宋体" w:hAnsi="宋体" w:cs="宋体" w:hint="eastAsia"/>
                <w:color w:val="000000"/>
                <w:sz w:val="21"/>
                <w:szCs w:val="21"/>
              </w:rPr>
              <w:t>分配——盈余公积补亏</w:t>
            </w:r>
          </w:p>
        </w:tc>
      </w:tr>
      <w:tr w:rsidR="00000000" w:rsidTr="00886B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）转增资本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借：盈余公积</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贷：实收资本［或股本］</w:t>
            </w:r>
          </w:p>
        </w:tc>
      </w:tr>
      <w:tr w:rsidR="00000000" w:rsidTr="00886B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）用盈余公积派送新股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6B0F" w:rsidP="00886B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借：盈余公积</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资本公积——股本溢价［差额］</w:t>
            </w:r>
          </w:p>
        </w:tc>
      </w:tr>
    </w:tbl>
    <w:p w:rsidR="00000000" w:rsidRDefault="00886B0F" w:rsidP="00886B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年）下列关于盈余公积的表述，错误的是（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经过股东会或者类似机构批准，盈余公积可以用于弥补亏损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盈余公积不可以用于派发新股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法定盈余公积转增资本，所留存的盈余公积不得少于转增前公司注册资本的</w:t>
      </w:r>
      <w:r>
        <w:rPr>
          <w:rStyle w:val="fontkaiti1"/>
          <w:rFonts w:cs="宋体" w:hint="default"/>
          <w:color w:val="000000"/>
        </w:rPr>
        <w:t>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盈余公积可以用于扩大企业的生产经营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w:t>
      </w:r>
      <w:r>
        <w:rPr>
          <w:rStyle w:val="fontkaiti1"/>
          <w:rFonts w:cs="宋体" w:hint="default"/>
          <w:color w:val="000000"/>
        </w:rPr>
        <w:t>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，企业经股东会决议，可用盈余公积派发新股。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下列关于资本公积和盈余公积的表述中，不正确的是（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资本公积可以用来弥补亏损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企业进行利润分配时，应以利润总额为基础计提法定盈余公积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公司计提的法定盈余公积累计额达到注册资本的</w:t>
      </w:r>
      <w:r>
        <w:rPr>
          <w:rStyle w:val="fontkaiti1"/>
          <w:rFonts w:cs="宋体" w:hint="default"/>
          <w:color w:val="000000"/>
        </w:rPr>
        <w:t>50</w:t>
      </w:r>
      <w:r>
        <w:rPr>
          <w:rStyle w:val="fontkaiti1"/>
          <w:rFonts w:cs="宋体" w:hint="default"/>
          <w:color w:val="000000"/>
        </w:rPr>
        <w:t>％以上时，可以不再提取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w:t>
      </w:r>
      <w:r>
        <w:rPr>
          <w:rStyle w:val="fontkaiti1"/>
          <w:rFonts w:cs="宋体" w:hint="default"/>
          <w:color w:val="000000"/>
        </w:rPr>
        <w:t>不可以直接用来转增资本（股本）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，企业按照法律规定的比例从净利润中提取的盈余公积。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考点七：未分配利润的核算★｜（</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（一）期末结转的会计处理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14775" cy="1676400"/>
            <wp:effectExtent l="0" t="0" r="0" b="0"/>
            <wp:docPr id="6" name="图片_x0020ec64dc0a-9a47-42ba-bd2a-b05379b737b1" descr="7f227d39-1877-4754-8280-b5a8fe876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c64dc0a-9a47-42ba-bd2a-b05379b737b1" descr="7f227d39-1877-4754-8280-b5a8fe876f80"/>
                    <pic:cNvPicPr>
                      <a:picLocks noChangeAspect="1" noChangeArrowheads="1"/>
                    </pic:cNvPicPr>
                  </pic:nvPicPr>
                  <pic:blipFill>
                    <a:blip r:embed="rId11"/>
                    <a:srcRect/>
                    <a:stretch>
                      <a:fillRect/>
                    </a:stretch>
                  </pic:blipFill>
                  <pic:spPr bwMode="auto">
                    <a:xfrm>
                      <a:off x="0" y="0"/>
                      <a:ext cx="3914775" cy="1676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（二）利润分配的会计处理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38875" cy="3067050"/>
            <wp:effectExtent l="19050" t="0" r="0" b="0"/>
            <wp:docPr id="7" name="图片_x0020d19e9c0f-90c3-4631-9214-cf8a8cb5795c" descr="1547f993-bc76-4bd8-bba3-cfc32811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19e9c0f-90c3-4631-9214-cf8a8cb5795c" descr="1547f993-bc76-4bd8-bba3-cfc328118875"/>
                    <pic:cNvPicPr>
                      <a:picLocks noChangeAspect="1" noChangeArrowheads="1"/>
                    </pic:cNvPicPr>
                  </pic:nvPicPr>
                  <pic:blipFill>
                    <a:blip r:embed="rId12"/>
                    <a:srcRect/>
                    <a:stretch>
                      <a:fillRect/>
                    </a:stretch>
                  </pic:blipFill>
                  <pic:spPr bwMode="auto">
                    <a:xfrm>
                      <a:off x="0" y="0"/>
                      <a:ext cx="6238875" cy="3067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董事会或类似机构通过的利润分配方案中拟分配的现金股利或利润，不作账务处理，但应在报表附注中披露。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年）下列交易或事项中，影响企业当期所有者权益总额的是（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以名义金额发行优先股，合同条款约定</w:t>
      </w:r>
      <w:r>
        <w:rPr>
          <w:rStyle w:val="fontkaiti1"/>
          <w:rFonts w:cs="宋体" w:hint="default"/>
          <w:color w:val="000000"/>
        </w:rPr>
        <w:t>3</w:t>
      </w:r>
      <w:r>
        <w:rPr>
          <w:rStyle w:val="fontkaiti1"/>
          <w:rFonts w:cs="宋体" w:hint="default"/>
          <w:color w:val="000000"/>
        </w:rPr>
        <w:t>年后，上述优先股将被转换为普通股，转换价格为转股日前一交易日普通股的收盘价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回购并注销本公司普通股份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按股东</w:t>
      </w:r>
      <w:r>
        <w:rPr>
          <w:rStyle w:val="fontkaiti1"/>
          <w:rFonts w:cs="宋体" w:hint="default"/>
          <w:color w:val="000000"/>
        </w:rPr>
        <w:t>会决议批准本年度利润分配方案，发放股票股利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将资本公积用来转增资本（或股本）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，转股价格是变动的，该优先股应作为金融负债核算，不影响所有者权益总额；选项</w:t>
      </w:r>
      <w:r>
        <w:rPr>
          <w:rStyle w:val="fontkaiti1"/>
          <w:rFonts w:cs="宋体" w:hint="default"/>
          <w:color w:val="000000"/>
        </w:rPr>
        <w:t>C</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股本</w:t>
      </w:r>
      <w:r>
        <w:rPr>
          <w:rStyle w:val="fontkaiti1"/>
          <w:rFonts w:cs="宋体" w:hint="default"/>
          <w:color w:val="000000"/>
        </w:rPr>
        <w:t>”</w:t>
      </w:r>
      <w:r>
        <w:rPr>
          <w:rStyle w:val="fontkaiti1"/>
          <w:rFonts w:cs="宋体" w:hint="default"/>
          <w:color w:val="000000"/>
        </w:rPr>
        <w:t>科目，不影响所有者权益总额；选项</w:t>
      </w:r>
      <w:r>
        <w:rPr>
          <w:rStyle w:val="fontkaiti1"/>
          <w:rFonts w:cs="宋体" w:hint="default"/>
          <w:color w:val="000000"/>
        </w:rPr>
        <w:t>D</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实收资本（或股本）</w:t>
      </w:r>
      <w:r>
        <w:rPr>
          <w:rStyle w:val="fontkaiti1"/>
          <w:rFonts w:cs="宋体" w:hint="default"/>
          <w:color w:val="000000"/>
        </w:rPr>
        <w:t>”</w:t>
      </w:r>
      <w:r>
        <w:rPr>
          <w:rStyle w:val="fontkaiti1"/>
          <w:rFonts w:cs="宋体" w:hint="default"/>
          <w:color w:val="000000"/>
        </w:rPr>
        <w:t>科目，不影响所有者权益总额。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下列关于利润分配及未分配利润的会计处理中，错误的是（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以当年实现的利润弥补以前年度结转的未弥补亏损，不需要进行专门</w:t>
      </w:r>
      <w:r>
        <w:rPr>
          <w:rStyle w:val="fontkaiti1"/>
          <w:rFonts w:cs="宋体" w:hint="default"/>
          <w:color w:val="000000"/>
        </w:rPr>
        <w:t>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年末要将</w:t>
      </w:r>
      <w:r>
        <w:rPr>
          <w:rStyle w:val="fontkaiti1"/>
          <w:rFonts w:cs="宋体" w:hint="default"/>
          <w:color w:val="000000"/>
        </w:rPr>
        <w:t>“</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科目所属的其他明细科目的余额转入</w:t>
      </w:r>
      <w:r>
        <w:rPr>
          <w:rStyle w:val="fontkaiti1"/>
          <w:rFonts w:cs="宋体" w:hint="default"/>
          <w:color w:val="000000"/>
        </w:rPr>
        <w:t>“</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w:t>
      </w:r>
      <w:r>
        <w:rPr>
          <w:rStyle w:val="fontkaiti1"/>
          <w:rFonts w:cs="宋体" w:hint="default"/>
          <w:color w:val="000000"/>
        </w:rPr>
        <w:t>”</w:t>
      </w:r>
      <w:r>
        <w:rPr>
          <w:rStyle w:val="fontkaiti1"/>
          <w:rFonts w:cs="宋体" w:hint="default"/>
          <w:color w:val="000000"/>
        </w:rPr>
        <w:t>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年末要将</w:t>
      </w:r>
      <w:r>
        <w:rPr>
          <w:rStyle w:val="fontkaiti1"/>
          <w:rFonts w:cs="宋体" w:hint="default"/>
          <w:color w:val="000000"/>
        </w:rPr>
        <w:t>“</w:t>
      </w:r>
      <w:r>
        <w:rPr>
          <w:rStyle w:val="fontkaiti1"/>
          <w:rFonts w:cs="宋体" w:hint="default"/>
          <w:color w:val="000000"/>
        </w:rPr>
        <w:t>本年利润</w:t>
      </w:r>
      <w:r>
        <w:rPr>
          <w:rStyle w:val="fontkaiti1"/>
          <w:rFonts w:cs="宋体" w:hint="default"/>
          <w:color w:val="000000"/>
        </w:rPr>
        <w:t>”</w:t>
      </w:r>
      <w:r>
        <w:rPr>
          <w:rStyle w:val="fontkaiti1"/>
          <w:rFonts w:cs="宋体" w:hint="default"/>
          <w:color w:val="000000"/>
        </w:rPr>
        <w:t>科目的余额转入到</w:t>
      </w:r>
      <w:r>
        <w:rPr>
          <w:rStyle w:val="fontkaiti1"/>
          <w:rFonts w:cs="宋体" w:hint="default"/>
          <w:color w:val="000000"/>
        </w:rPr>
        <w:t>“</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w:t>
      </w:r>
      <w:r>
        <w:rPr>
          <w:rStyle w:val="fontkaiti1"/>
          <w:rFonts w:cs="宋体" w:hint="default"/>
          <w:color w:val="000000"/>
        </w:rPr>
        <w:t>”</w:t>
      </w:r>
      <w:r>
        <w:rPr>
          <w:rStyle w:val="fontkaiti1"/>
          <w:rFonts w:cs="宋体" w:hint="default"/>
          <w:color w:val="000000"/>
        </w:rPr>
        <w:t>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盈余公积弥补亏损时应贷记</w:t>
      </w:r>
      <w:r>
        <w:rPr>
          <w:rStyle w:val="fontkaiti1"/>
          <w:rFonts w:cs="宋体" w:hint="default"/>
          <w:color w:val="000000"/>
        </w:rPr>
        <w:t>“</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w:t>
      </w:r>
      <w:r>
        <w:rPr>
          <w:rStyle w:val="fontkaiti1"/>
          <w:rFonts w:cs="宋体" w:hint="default"/>
          <w:color w:val="000000"/>
        </w:rPr>
        <w:t>”</w:t>
      </w:r>
      <w:r>
        <w:rPr>
          <w:rStyle w:val="fontkaiti1"/>
          <w:rFonts w:cs="宋体" w:hint="default"/>
          <w:color w:val="000000"/>
        </w:rPr>
        <w:t>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『答案解析』盈余公积弥补亏损时，应当借记</w:t>
      </w:r>
      <w:r>
        <w:rPr>
          <w:rStyle w:val="fontkaiti1"/>
          <w:rFonts w:cs="宋体" w:hint="default"/>
          <w:color w:val="000000"/>
        </w:rPr>
        <w:t>“</w:t>
      </w:r>
      <w:r>
        <w:rPr>
          <w:rStyle w:val="fontkaiti1"/>
          <w:rFonts w:cs="宋体" w:hint="default"/>
          <w:color w:val="000000"/>
        </w:rPr>
        <w:t>盈余公积</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盈余公积补亏</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24400" cy="2962275"/>
            <wp:effectExtent l="19050" t="0" r="0" b="0"/>
            <wp:docPr id="8" name="图片_x00206353d395-1509-422a-a54d-365721fdb4fd" descr="f0e6b63c-c074-4bf8-b83a-73d065268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353d395-1509-422a-a54d-365721fdb4fd" descr="f0e6b63c-c074-4bf8-b83a-73d06526887f"/>
                    <pic:cNvPicPr>
                      <a:picLocks noChangeAspect="1" noChangeArrowheads="1"/>
                    </pic:cNvPicPr>
                  </pic:nvPicPr>
                  <pic:blipFill>
                    <a:blip r:embed="rId13"/>
                    <a:srcRect/>
                    <a:stretch>
                      <a:fillRect/>
                    </a:stretch>
                  </pic:blipFill>
                  <pic:spPr bwMode="auto">
                    <a:xfrm>
                      <a:off x="0" y="0"/>
                      <a:ext cx="4724400" cy="2962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14"/>
      <w:footerReference w:type="default" r:id="rId15"/>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886B0F">
      <w:pPr>
        <w:rPr>
          <w:color w:val="000000"/>
        </w:rPr>
      </w:pPr>
      <w:r>
        <w:rPr>
          <w:color w:val="000000"/>
        </w:rPr>
        <w:separator/>
      </w:r>
    </w:p>
  </w:endnote>
  <w:endnote w:type="continuationSeparator" w:id="1">
    <w:p w:rsidR="00000000" w:rsidRDefault="00886B0F">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86B0F">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9"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#Time#:1781144382227#Type#:file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886B0F">
      <w:pPr>
        <w:rPr>
          <w:color w:val="000000"/>
        </w:rPr>
      </w:pPr>
      <w:r>
        <w:rPr>
          <w:color w:val="000000"/>
        </w:rPr>
        <w:separator/>
      </w:r>
    </w:p>
  </w:footnote>
  <w:footnote w:type="continuationSeparator" w:id="1">
    <w:p w:rsidR="00000000" w:rsidRDefault="00886B0F">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86B0F" w:rsidP="00886B0F">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第十三章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所有者权益</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886B0F"/>
    <w:rsid w:val="00886B0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header1.xml" Type="http://schemas.openxmlformats.org/officeDocument/2006/relationships/header"/><Relationship Id="rId15" Target="footer1.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9.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1611</Words>
  <Characters>9186</Characters>
  <Application>Microsoft Office Word</Application>
  <DocSecurity>4</DocSecurity>
  <Lines>76</Lines>
  <Paragraphs>21</Paragraphs>
  <ScaleCrop>false</ScaleCrop>
  <Company/>
  <LinksUpToDate>false</LinksUpToDate>
  <CharactersWithSpaces>10776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2026-06-03T04:15:00Z</dcterms:created>
  <dc:creator>CDEL</dc:creator>
  <cp:lastModifiedBy>Windows 用户</cp:lastModifiedBy>
  <dcterms:modified xsi:type="dcterms:W3CDTF">2026-06-03T04:15:00Z</dcterms:modified>
  <cp:revision>2</cp:revision>
</cp:coreProperties>
</file>