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Hub 多工作室改造方案</w:t>
      </w:r>
    </w:p>
    <w:p>
      <w:pPr>
        <w:spacing w:after="40"/>
      </w:pPr>
      <w:r>
        <w:rPr>
          <w:sz w:val="20"/>
        </w:rPr>
        <w:t>版本 1.0</w:t>
      </w:r>
    </w:p>
    <w:p>
      <w:pPr>
        <w:spacing w:after="40"/>
      </w:pPr>
      <w:r>
        <w:rPr>
          <w:sz w:val="20"/>
        </w:rPr>
        <w:t>编制日期 2026 年 9 月 8 日</w:t>
      </w:r>
    </w:p>
    <w:p>
      <w:pPr>
        <w:spacing w:after="40"/>
      </w:pPr>
      <w:r>
        <w:rPr>
          <w:sz w:val="20"/>
        </w:rPr>
        <w:t>编制 Codex</w:t>
      </w:r>
    </w:p>
    <w:p>
      <w:pPr>
        <w:spacing w:after="40"/>
      </w:pPr>
      <w:r>
        <w:rPr>
          <w:sz w:val="20"/>
        </w:rPr>
        <w:t>面向 项目负责人 产品 开发 测试与运维</w:t>
      </w:r>
    </w:p>
    <w:p>
      <w:pPr>
        <w:spacing w:after="40"/>
      </w:pPr>
      <w:r>
        <w:rPr>
          <w:sz w:val="20"/>
        </w:rPr>
        <w:t>状态 代码调研与设计建议 尚未实施</w:t>
      </w:r>
    </w:p>
    <w:p>
      <w:pPr>
        <w:spacing w:after="40"/>
      </w:pPr>
      <w:r>
        <w:rPr>
          <w:sz w:val="20"/>
        </w:rPr>
        <w:t>本文评估在现有本机部署上，为其他工作室提供 QA Hub 服务所需的改造。范围包括工作室选择、数据隔离、成员与权限、可选功能组件、打包与上传适配、运行资源、历史数据迁移和上线验收。</w:t>
      </w:r>
    </w:p>
    <w:p>
      <w:r>
        <w:t>结论是可以沿用当前项目，但应按一次产品架构改造安排。现有数据库已经具备账号与项目归属字段；真正的缺口集中在单账号运行假设、姓名登录、全局打包服务、共享上传记录、固定外部配置以及跨工作室的运行和恢复边界。</w:t>
      </w:r>
    </w:p>
    <w:p>
      <w:r>
        <w:t>建议采用统一入口和同一套客户端，在本机为各工作室配置独立 API 实例、数据库、文件目录与集成凭据；功能通过统一的模块目录配置。现有工作室保持原 ID 和数据目录，新增工作室从空白业务库开通。构建执行器按工作室隔离；需要共享的硬件采用配额和公平排队。单台物理机仍存在共同故障风险，不能承诺断电、硬盘故障和宿主机宕机时互不影响。</w:t>
      </w:r>
    </w:p>
    <w:p>
      <w:pPr>
        <w:pStyle w:val="Heading1"/>
      </w:pPr>
      <w:r>
        <w:t>1 调研依据与适用范围</w:t>
      </w:r>
    </w:p>
    <w:p>
      <w:r>
        <w:t xml:space="preserve">本方案依据本地源码静态检查编写。检查时 Git HEAD 为 </w:t>
      </w:r>
      <w:r>
        <w:rPr>
          <w:rFonts w:ascii="Consolas" w:hAnsi="Consolas"/>
          <w:sz w:val="20"/>
        </w:rPr>
        <w:t>62b4495c9b28dc3aea1d5633e870be4e1fdf841f</w:t>
      </w:r>
      <w:r>
        <w:t xml:space="preserve">，桌面包声明版本为 </w:t>
      </w:r>
      <w:r>
        <w:rPr>
          <w:rFonts w:ascii="Consolas" w:hAnsi="Consolas"/>
          <w:sz w:val="20"/>
        </w:rPr>
        <w:t>3.3.5</w:t>
      </w:r>
      <w:r>
        <w:t>，初始工作区无未提交修改。本文没有通过创建工作室、执行打包、操作生产数据库或重启服务来验证未来方案。源码版本不等于本机已安装或线上正在运行的版本。</w:t>
      </w:r>
    </w:p>
    <w:p>
      <w:r>
        <w:t>重点检查了 API 的启动装配与认证、SQLite 模型和存储适配器、上传队列与打包服务、Web 导航与草稿、桌面通知与 MCP、Android 本地作用域，以及备份恢复相关代码。具体证据见第 17 节。README 存在早期流程和版本说明，冲突时以当前源码与已接受的架构决策为依据。</w:t>
      </w:r>
    </w:p>
    <w:p>
      <w:r>
        <w:t>以下规模仅用于方案和工作量估算：首批 2 至 5 个工作室，每个工作室约 10 至 30 名使用者，首期兼容已有 Jenkins 与上传器。没有进行容量压测，也没有调查其他工作室的实际流水线。新增不同引擎、不同上传平台或大规模并发，需另行评估。</w:t>
      </w:r>
    </w:p>
    <w:p>
      <w:r>
        <w:t>本文中的接口、表名、目录结构、配额和时间安排均为建议设计，不表示已经实现。业务模块开关不能替代用户权限，工作室名称也不能作为安全身份。</w:t>
      </w:r>
    </w:p>
    <w:p>
      <w:pPr>
        <w:pStyle w:val="Heading1"/>
      </w:pPr>
      <w:r>
        <w:t>2 当前项目能复用什么</w:t>
      </w:r>
    </w:p>
    <w:p>
      <w:pPr>
        <w:pStyle w:val="Heading2"/>
      </w:pPr>
      <w:r>
        <w:t>2 1 已有基础与主要缺口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领域</w:t>
            </w:r>
          </w:p>
        </w:tc>
        <w:tc>
          <w:tcPr>
            <w:tcW w:type="dxa" w:w="3742"/>
            <w:vAlign w:val="center"/>
            <w:tcMar>
              <w:top w:w="90" w:type="dxa"/>
              <w:bottom w:w="90" w:type="dxa"/>
              <w:left w:w="100" w:type="dxa"/>
              <w:right w:w="100" w:type="dxa"/>
            </w:tcMar>
            <w:shd w:fill="DDEBF7"/>
          </w:tcPr>
          <w:p>
            <w:pPr>
              <w:keepNext/>
              <w:spacing w:after="0" w:line="264" w:lineRule="auto"/>
            </w:pPr>
            <w:r>
              <w:rPr>
                <w:b/>
                <w:sz w:val="20"/>
              </w:rPr>
              <w:t>已有基础</w:t>
            </w:r>
          </w:p>
        </w:tc>
        <w:tc>
          <w:tcPr>
            <w:tcW w:type="dxa" w:w="4082"/>
            <w:vAlign w:val="center"/>
            <w:tcMar>
              <w:top w:w="90" w:type="dxa"/>
              <w:bottom w:w="90" w:type="dxa"/>
              <w:left w:w="100" w:type="dxa"/>
              <w:right w:w="100" w:type="dxa"/>
            </w:tcMar>
            <w:shd w:fill="DDEBF7"/>
          </w:tcPr>
          <w:p>
            <w:pPr>
              <w:keepNext/>
              <w:spacing w:after="0" w:line="264" w:lineRule="auto"/>
            </w:pPr>
            <w:r>
              <w:rPr>
                <w:b/>
                <w:sz w:val="20"/>
              </w:rPr>
              <w:t>需要改造的部分</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数据归属</w:t>
            </w:r>
          </w:p>
        </w:tc>
        <w:tc>
          <w:tcPr>
            <w:tcW w:type="dxa" w:w="374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accounts</w:t>
            </w:r>
            <w:r>
              <w:rPr>
                <w:b w:val="0"/>
                <w:sz w:val="20"/>
              </w:rPr>
              <w:t>、</w:t>
            </w:r>
            <w:r>
              <w:rPr>
                <w:rFonts w:ascii="Consolas" w:hAnsi="Consolas"/>
                <w:b w:val="0"/>
                <w:sz w:val="20"/>
              </w:rPr>
              <w:t>projects</w:t>
            </w:r>
            <w:r>
              <w:rPr>
                <w:b w:val="0"/>
                <w:sz w:val="20"/>
              </w:rPr>
              <w:t>、</w:t>
            </w:r>
            <w:r>
              <w:rPr>
                <w:rFonts w:ascii="Consolas" w:hAnsi="Consolas"/>
                <w:b w:val="0"/>
                <w:sz w:val="20"/>
              </w:rPr>
              <w:t>users</w:t>
            </w:r>
            <w:r>
              <w:rPr>
                <w:b w:val="0"/>
                <w:sz w:val="20"/>
              </w:rPr>
              <w:t xml:space="preserve">，主要业务表带 </w:t>
            </w:r>
            <w:r>
              <w:rPr>
                <w:rFonts w:ascii="Consolas" w:hAnsi="Consolas"/>
                <w:b w:val="0"/>
                <w:sz w:val="20"/>
              </w:rPr>
              <w:t>account_id</w:t>
            </w:r>
            <w:r>
              <w:rPr>
                <w:b w:val="0"/>
                <w:sz w:val="20"/>
              </w:rPr>
              <w:t xml:space="preserve"> 和 </w:t>
            </w:r>
            <w:r>
              <w:rPr>
                <w:rFonts w:ascii="Consolas" w:hAnsi="Consolas"/>
                <w:b w:val="0"/>
                <w:sz w:val="20"/>
              </w:rPr>
              <w:t>project_id</w:t>
            </w:r>
            <w:r>
              <w:rPr>
                <w:b w:val="0"/>
                <w:sz w:val="20"/>
              </w:rPr>
              <w:t>，已有复合外键</w:t>
            </w:r>
          </w:p>
        </w:tc>
        <w:tc>
          <w:tcPr>
            <w:tcW w:type="dxa" w:w="4082"/>
            <w:vAlign w:val="center"/>
            <w:tcMar>
              <w:top w:w="90" w:type="dxa"/>
              <w:bottom w:w="90" w:type="dxa"/>
              <w:left w:w="100" w:type="dxa"/>
              <w:right w:w="100" w:type="dxa"/>
            </w:tcMar>
          </w:tcPr>
          <w:p>
            <w:pPr>
              <w:keepNext w:val="0"/>
              <w:spacing w:after="0" w:line="264" w:lineRule="auto"/>
            </w:pPr>
            <w:r>
              <w:rPr>
                <w:b w:val="0"/>
                <w:sz w:val="20"/>
              </w:rPr>
              <w:t>让工作室成为真实可配置运行边界，核查所有业务与旁路存储</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Bug 流程</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修复轮次、人工完成、验收、版本控制、幂等与审计</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保留流程语义，补齐跨工作室拒绝测试</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项目权限</w:t>
            </w:r>
          </w:p>
        </w:tc>
        <w:tc>
          <w:tcPr>
            <w:tcW w:type="dxa" w:w="3742"/>
            <w:vAlign w:val="center"/>
            <w:tcMar>
              <w:top w:w="90" w:type="dxa"/>
              <w:bottom w:w="90" w:type="dxa"/>
              <w:left w:w="100" w:type="dxa"/>
              <w:right w:w="100" w:type="dxa"/>
            </w:tcMar>
          </w:tcPr>
          <w:p>
            <w:pPr>
              <w:keepNext w:val="0"/>
              <w:spacing w:after="0" w:line="264" w:lineRule="auto"/>
            </w:pPr>
            <w:r>
              <w:rPr>
                <w:b w:val="0"/>
                <w:sz w:val="20"/>
              </w:rPr>
              <w:t>项目成员和角色模型已经存在</w:t>
            </w:r>
          </w:p>
        </w:tc>
        <w:tc>
          <w:tcPr>
            <w:tcW w:type="dxa" w:w="4082"/>
            <w:vAlign w:val="center"/>
            <w:tcMar>
              <w:top w:w="90" w:type="dxa"/>
              <w:bottom w:w="90" w:type="dxa"/>
              <w:left w:w="100" w:type="dxa"/>
              <w:right w:w="100" w:type="dxa"/>
            </w:tcMar>
          </w:tcPr>
          <w:p>
            <w:pPr>
              <w:keepNext w:val="0"/>
              <w:spacing w:after="0" w:line="264" w:lineRule="auto"/>
            </w:pPr>
            <w:r>
              <w:rPr>
                <w:b w:val="0"/>
                <w:sz w:val="20"/>
              </w:rPr>
              <w:t>增加平台与工作室管理权限，审查各路由实际权限执行</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登录</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浏览器会话、令牌摘要、CSRF、凭据存储基础</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当前公开登录只收姓名，需改为可验证身份与邀请加入</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上传</w:t>
            </w:r>
          </w:p>
        </w:tc>
        <w:tc>
          <w:tcPr>
            <w:tcW w:type="dxa" w:w="3742"/>
            <w:vAlign w:val="center"/>
            <w:tcMar>
              <w:top w:w="90" w:type="dxa"/>
              <w:bottom w:w="90" w:type="dxa"/>
              <w:left w:w="100" w:type="dxa"/>
              <w:right w:w="100" w:type="dxa"/>
            </w:tcMar>
          </w:tcPr>
          <w:p>
            <w:pPr>
              <w:keepNext w:val="0"/>
              <w:spacing w:after="0" w:line="264" w:lineRule="auto"/>
            </w:pPr>
            <w:r>
              <w:rPr>
                <w:b w:val="0"/>
                <w:sz w:val="20"/>
              </w:rPr>
              <w:t>服务端持久队列、任务恢复、按上传人保存凭据</w:t>
            </w:r>
          </w:p>
        </w:tc>
        <w:tc>
          <w:tcPr>
            <w:tcW w:type="dxa" w:w="4082"/>
            <w:vAlign w:val="center"/>
            <w:tcMar>
              <w:top w:w="90" w:type="dxa"/>
              <w:bottom w:w="90" w:type="dxa"/>
              <w:left w:w="100" w:type="dxa"/>
              <w:right w:w="100" w:type="dxa"/>
            </w:tcMar>
          </w:tcPr>
          <w:p>
            <w:pPr>
              <w:keepNext w:val="0"/>
              <w:spacing w:after="0" w:line="264" w:lineRule="auto"/>
            </w:pPr>
            <w:r>
              <w:rPr>
                <w:b w:val="0"/>
                <w:sz w:val="20"/>
              </w:rPr>
              <w:t>队列、快照、日志、锁、产物和凭据需要工作室边界</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打包</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Jenkins 触发、队列与进度展示、打包后衔接上传</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固定任务、地址与预设抽为工作室和项目级适配配置</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客户端</w:t>
            </w:r>
          </w:p>
        </w:tc>
        <w:tc>
          <w:tcPr>
            <w:tcW w:type="dxa" w:w="3742"/>
            <w:vAlign w:val="center"/>
            <w:tcMar>
              <w:top w:w="90" w:type="dxa"/>
              <w:bottom w:w="90" w:type="dxa"/>
              <w:left w:w="100" w:type="dxa"/>
              <w:right w:w="100" w:type="dxa"/>
            </w:tcMar>
          </w:tcPr>
          <w:p>
            <w:pPr>
              <w:keepNext w:val="0"/>
              <w:spacing w:after="0" w:line="264" w:lineRule="auto"/>
            </w:pPr>
            <w:r>
              <w:rPr>
                <w:b w:val="0"/>
                <w:sz w:val="20"/>
              </w:rPr>
              <w:t>共用 Web，Windows 壳，Android 本地作用域基础</w:t>
            </w:r>
          </w:p>
        </w:tc>
        <w:tc>
          <w:tcPr>
            <w:tcW w:type="dxa" w:w="4082"/>
            <w:vAlign w:val="center"/>
            <w:tcMar>
              <w:top w:w="90" w:type="dxa"/>
              <w:bottom w:w="90" w:type="dxa"/>
              <w:left w:w="100" w:type="dxa"/>
              <w:right w:w="100" w:type="dxa"/>
            </w:tcMar>
          </w:tcPr>
          <w:p>
            <w:pPr>
              <w:keepNext w:val="0"/>
              <w:spacing w:after="0" w:line="264" w:lineRule="auto"/>
            </w:pPr>
            <w:r>
              <w:rPr>
                <w:b w:val="0"/>
                <w:sz w:val="20"/>
              </w:rPr>
              <w:t>工作室切换、旧请求作废、缓存命名空间、会话与草稿保留</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备份</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主业务库在线备份、附件清单、恢复与异盘归档</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每工作室独立恢复，并纳入队列、集成状态和配置依赖</w:t>
            </w:r>
          </w:p>
        </w:tc>
      </w:tr>
    </w:tbl>
    <w:p>
      <w:pPr>
        <w:spacing w:after="20"/>
      </w:pPr>
    </w:p>
    <w:p>
      <w:r>
        <w:t xml:space="preserve">数据库中的 </w:t>
      </w:r>
      <w:r>
        <w:rPr>
          <w:rFonts w:ascii="Consolas" w:hAnsi="Consolas"/>
          <w:sz w:val="20"/>
        </w:rPr>
        <w:t>modules</w:t>
      </w:r>
      <w:r>
        <w:t xml:space="preserve"> 是项目内的 Bug 业务分类，不是可安装的功能组件。新增功能模块目录必须使用其他命名，例如 </w:t>
      </w:r>
      <w:r>
        <w:rPr>
          <w:rFonts w:ascii="Consolas" w:hAnsi="Consolas"/>
          <w:sz w:val="20"/>
        </w:rPr>
        <w:t>feature_catalog</w:t>
      </w:r>
      <w:r>
        <w:t>，避免把两种概念混在一起。</w:t>
      </w:r>
    </w:p>
    <w:p>
      <w:pPr>
        <w:pStyle w:val="Heading2"/>
      </w:pPr>
      <w:r>
        <w:t>2 2 目前单工作室假设的位置</w:t>
      </w:r>
    </w:p>
    <w:p>
      <w:r/>
      <w:r>
        <w:rPr>
          <w:rFonts w:ascii="Consolas" w:hAnsi="Consolas"/>
          <w:sz w:val="20"/>
        </w:rPr>
        <w:t>apps/api/src/main.ts</w:t>
      </w:r>
      <w:r>
        <w:t xml:space="preserve"> 的 </w:t>
      </w:r>
      <w:r>
        <w:rPr>
          <w:rFonts w:ascii="Consolas" w:hAnsi="Consolas"/>
          <w:sz w:val="20"/>
        </w:rPr>
        <w:t>MOBILE_SCOPE</w:t>
      </w:r>
      <w:r>
        <w:t xml:space="preserve"> 固定了账号和项目，启动时多个 </w:t>
      </w:r>
      <w:r>
        <w:rPr>
          <w:rFonts w:ascii="Consolas" w:hAnsi="Consolas"/>
          <w:sz w:val="20"/>
        </w:rPr>
        <w:t>createSqliteMobile…Store</w:t>
      </w:r>
      <w:r>
        <w:t xml:space="preserve"> 都接收同一份 scope；姓名目录和人员种子也围绕这个账号加载。</w:t>
      </w:r>
      <w:r>
        <w:rPr>
          <w:rFonts w:ascii="Consolas" w:hAnsi="Consolas"/>
          <w:sz w:val="20"/>
        </w:rPr>
        <w:t>app.ts</w:t>
      </w:r>
      <w:r>
        <w:t xml:space="preserve"> 的认证桥接还会校验会话账号必须等于启动配置账号，再适配现有路由。</w:t>
      </w:r>
    </w:p>
    <w:p>
      <w:r>
        <w:t>因此，直接在界面上增加工作室下拉框，而不改变启动配置和请求授权边界，不能让同一进程正确服务多个工作室。采用每工作室独立实例时，可以先把固定 scope 改为实例配置，复用大量现有存储实现；如果选择共享单进程，则需要把这些存储接口系统性改为请求级上下文。</w:t>
      </w:r>
    </w:p>
    <w:p>
      <w:pPr>
        <w:pStyle w:val="Heading2"/>
      </w:pPr>
      <w:r>
        <w:t>2 3 上传链路是需要优先处理的共享点</w:t>
      </w:r>
    </w:p>
    <w:p>
      <w:r/>
      <w:r>
        <w:rPr>
          <w:rFonts w:ascii="Consolas" w:hAnsi="Consolas"/>
          <w:sz w:val="20"/>
        </w:rPr>
        <w:t>IncrementUploadService</w:t>
      </w:r>
      <w:r>
        <w:t xml:space="preserve"> 使用独立 </w:t>
      </w:r>
      <w:r>
        <w:rPr>
          <w:rFonts w:ascii="Consolas" w:hAnsi="Consolas"/>
          <w:sz w:val="20"/>
        </w:rPr>
        <w:t>queue.sqlite</w:t>
      </w:r>
      <w:r>
        <w:t xml:space="preserve">，主要记录 </w:t>
      </w:r>
      <w:r>
        <w:rPr>
          <w:rFonts w:ascii="Consolas" w:hAnsi="Consolas"/>
          <w:sz w:val="20"/>
        </w:rPr>
        <w:t>owner</w:t>
      </w:r>
      <w:r>
        <w:t>，没有工作室与项目字段。</w:t>
      </w:r>
      <w:r>
        <w:rPr>
          <w:rFonts w:ascii="Consolas" w:hAnsi="Consolas"/>
          <w:sz w:val="20"/>
        </w:rPr>
        <w:t>snapshot()</w:t>
      </w:r>
      <w:r>
        <w:t xml:space="preserve"> 会读取所有上传人的任务，</w:t>
      </w:r>
      <w:r>
        <w:rPr>
          <w:rFonts w:ascii="Consolas" w:hAnsi="Consolas"/>
          <w:sz w:val="20"/>
        </w:rPr>
        <w:t>buildChains()</w:t>
      </w:r>
      <w:r>
        <w:t xml:space="preserve"> 也汇总各上传人的打包链。这是当前团队共享记录的既有设计，扩展后应保持“同一工作室内按权限共享”，并切断跨工作室读取。</w:t>
      </w:r>
    </w:p>
    <w:p>
      <w:r>
        <w:t xml:space="preserve">上传凭据目前按 </w:t>
      </w:r>
      <w:r>
        <w:rPr>
          <w:rFonts w:ascii="Consolas" w:hAnsi="Consolas"/>
          <w:sz w:val="20"/>
        </w:rPr>
        <w:t>owners/&lt;owner&gt;/auth.json</w:t>
      </w:r>
      <w:r>
        <w:t xml:space="preserve"> 保存，</w:t>
      </w:r>
      <w:r>
        <w:rPr>
          <w:rFonts w:ascii="Consolas" w:hAnsi="Consolas"/>
          <w:sz w:val="20"/>
        </w:rPr>
        <w:t>accountIdentity</w:t>
      </w:r>
      <w:r>
        <w:t xml:space="preserve"> 表示外部上传平台的账号指纹，不等于 QA Hub 的工作室账号。不能直接把这个字段当成工作室 ID。队列和任务文件需要独立的 </w:t>
      </w:r>
      <w:r>
        <w:rPr>
          <w:rFonts w:ascii="Consolas" w:hAnsi="Consolas"/>
          <w:sz w:val="20"/>
        </w:rPr>
        <w:t>accountId</w:t>
      </w:r>
      <w:r>
        <w:t>、</w:t>
      </w:r>
      <w:r>
        <w:rPr>
          <w:rFonts w:ascii="Consolas" w:hAnsi="Consolas"/>
          <w:sz w:val="20"/>
        </w:rPr>
        <w:t>projectId</w:t>
      </w:r>
      <w:r>
        <w:t>、</w:t>
      </w:r>
      <w:r>
        <w:rPr>
          <w:rFonts w:ascii="Consolas" w:hAnsi="Consolas"/>
          <w:sz w:val="20"/>
        </w:rPr>
        <w:t>integrationId</w:t>
      </w:r>
      <w:r>
        <w:t xml:space="preserve"> 和 </w:t>
      </w:r>
      <w:r>
        <w:rPr>
          <w:rFonts w:ascii="Consolas" w:hAnsi="Consolas"/>
          <w:sz w:val="20"/>
        </w:rPr>
        <w:t>ownerId</w:t>
      </w:r>
      <w:r>
        <w:t>。</w:t>
      </w:r>
    </w:p>
    <w:p>
      <w:r/>
      <w:r>
        <w:rPr>
          <w:rFonts w:ascii="Consolas" w:hAnsi="Consolas"/>
          <w:sz w:val="20"/>
        </w:rPr>
        <w:t>jenkins-builds.ts</w:t>
      </w:r>
      <w:r>
        <w:t xml:space="preserve"> 绑定现有 OZDQP 的任务、下载路径与构建预设；</w:t>
      </w:r>
      <w:r>
        <w:rPr>
          <w:rFonts w:ascii="Consolas" w:hAnsi="Consolas"/>
          <w:sz w:val="20"/>
        </w:rPr>
        <w:t>uploader-host.ts</w:t>
      </w:r>
      <w:r>
        <w:t xml:space="preserve"> 包含固定平台地址与默认 ZIP 来源。这些能力需要封装成当前项目适配器，不能成为所有新工作室的默认连接配置。</w:t>
      </w:r>
    </w:p>
    <w:p>
      <w:pPr>
        <w:pStyle w:val="Heading1"/>
      </w:pPr>
      <w:r>
        <w:t>3 产品体验与边界</w:t>
      </w:r>
    </w:p>
    <w:p>
      <w:pPr>
        <w:pStyle w:val="Heading2"/>
      </w:pPr>
      <w:r>
        <w:t>3 1 工作室与项目的关系</w:t>
      </w:r>
    </w:p>
    <w:p>
      <w:r>
        <w:t>层级建议为：平台 → 工作室 → 项目 → Bug、制作任务、构建、上传、证据和通知。一个工作室可以拥有多个项目。工作室成员身份与项目成员身份分开管理；加入工作室不自动获得全部项目的访问权。</w:t>
      </w:r>
    </w:p>
    <w:p>
      <w:r>
        <w:t xml:space="preserve">技术上优先将现有 </w:t>
      </w:r>
      <w:r>
        <w:rPr>
          <w:rFonts w:ascii="Consolas" w:hAnsi="Consolas"/>
          <w:sz w:val="20"/>
        </w:rPr>
        <w:t>accounts</w:t>
      </w:r>
      <w:r>
        <w:t xml:space="preserve"> 解释为工作室，保持 </w:t>
      </w:r>
      <w:r>
        <w:rPr>
          <w:rFonts w:ascii="Consolas" w:hAnsi="Consolas"/>
          <w:sz w:val="20"/>
        </w:rPr>
        <w:t>account_id</w:t>
      </w:r>
      <w:r>
        <w:t xml:space="preserve"> 的含义一致。前端可以显示“工作室”，无需把现有数据库列全部改名为 </w:t>
      </w:r>
      <w:r>
        <w:rPr>
          <w:rFonts w:ascii="Consolas" w:hAnsi="Consolas"/>
          <w:sz w:val="20"/>
        </w:rPr>
        <w:t>studio_id</w:t>
      </w:r>
      <w:r>
        <w:t xml:space="preserve">。控制目录中的工作室 ID 与业务库 </w:t>
      </w:r>
      <w:r>
        <w:rPr>
          <w:rFonts w:ascii="Consolas" w:hAnsi="Consolas"/>
          <w:sz w:val="20"/>
        </w:rPr>
        <w:t>accounts.id</w:t>
      </w:r>
      <w:r>
        <w:t xml:space="preserve"> 一一对应，现有账号 ID 原样保留。</w:t>
      </w:r>
    </w:p>
    <w:p>
      <w:pPr>
        <w:pStyle w:val="Heading2"/>
      </w:pPr>
      <w:r>
        <w:t>3 2 用户使用流程</w:t>
      </w:r>
    </w:p>
    <w:p>
      <w:pPr>
        <w:pStyle w:val="ListNumber"/>
        <w:numPr>
          <w:ilvl w:val="0"/>
          <w:numId w:val="10"/>
        </w:numPr>
      </w:pPr>
      <w:r>
        <w:t>用户通过可验证身份登录。平台只返回该身份已加入且可使用的工作室，不向匿名用户公开完整工作室名录。</w:t>
      </w:r>
    </w:p>
    <w:p>
      <w:pPr>
        <w:pStyle w:val="ListNumber"/>
        <w:numPr>
          <w:ilvl w:val="0"/>
          <w:numId w:val="10"/>
        </w:numPr>
      </w:pPr>
      <w:r>
        <w:t>只有一个工作室时自动进入；有多个时显示选择页。首次加入通过邀请链接完成，输入或猜到工作室名称不构成加入授权。</w:t>
      </w:r>
    </w:p>
    <w:p>
      <w:pPr>
        <w:pStyle w:val="ListNumber"/>
        <w:numPr>
          <w:ilvl w:val="0"/>
          <w:numId w:val="10"/>
        </w:numPr>
      </w:pPr>
      <w:r>
        <w:t>顶部持续显示当前工作室、当前项目和当前用户。工作室切换与项目切换使用独立控件。</w:t>
      </w:r>
    </w:p>
    <w:p>
      <w:pPr>
        <w:pStyle w:val="ListNumber"/>
        <w:numPr>
          <w:ilvl w:val="0"/>
          <w:numId w:val="10"/>
        </w:numPr>
      </w:pPr>
      <w:r>
        <w:t>进入工作室后加载它的功能配置，只展示已启用且用户可以使用的入口。</w:t>
      </w:r>
    </w:p>
    <w:p>
      <w:pPr>
        <w:pStyle w:val="ListNumber"/>
        <w:numPr>
          <w:ilvl w:val="0"/>
          <w:numId w:val="10"/>
        </w:numPr>
      </w:pPr>
      <w:r>
        <w:t>提交打包、上传或发布时显示项目、目标平台、渠道和版本，结果页可以追溯到原始工作室与发起人。</w:t>
      </w:r>
    </w:p>
    <w:p>
      <w:r>
        <w:t>切换工作室应先保存原工作室草稿，停止旧页面订阅并使未完成请求失效，再加载新作用域。已经提交的后台任务继续绑定原工作室运行，不能因页面切换迁移归属。未提交内容留在原工作室，恢复时仍需要原作用域授权。</w:t>
      </w:r>
    </w:p>
    <w:p>
      <w:pPr>
        <w:pStyle w:val="Heading2"/>
      </w:pPr>
      <w:r>
        <w:t>3 3 管理界面</w:t>
      </w:r>
    </w:p>
    <w:p>
      <w:r>
        <w:t>平台管理包含工作室开通、停用、资源额度、功能授权、实例状态和版本。工作室管理包含名称与标识、成员邀请、角色、项目、已授权模块的启停、集成配置和审计。平台管理员默认只管理控制信息；查看业务内容应使用显式、限时、可审计的支持授权。</w:t>
      </w:r>
    </w:p>
    <w:p>
      <w:r>
        <w:t>初期采用功能模块和少量可配置表单，不为每个工作室维护独立代码分支或单独编译一套 EXE。图标、名称、预设与页面顺序可以作为配置；任意脚本、页面代码和自定义流程引擎放在后续阶段。</w:t>
      </w:r>
    </w:p>
    <w:p>
      <w:pPr>
        <w:pStyle w:val="Heading1"/>
      </w:pPr>
      <w:r>
        <w:t>4 部署与数据隔离方案</w:t>
      </w:r>
    </w:p>
    <w:p>
      <w:pPr>
        <w:pStyle w:val="Heading2"/>
      </w:pPr>
      <w:r>
        <w:t>4 1 三种方案比较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515"/>
        <w:gridCol w:w="2438"/>
        <w:gridCol w:w="2268"/>
      </w:tblGrid>
      <w:tr>
        <w:trPr>
          <w:cantSplit/>
          <w:tblHeader/>
        </w:trPr>
        <w:tc>
          <w:tcPr>
            <w:tcW w:type="dxa" w:w="1417"/>
            <w:vAlign w:val="center"/>
            <w:tcMar>
              <w:top w:w="90" w:type="dxa"/>
              <w:bottom w:w="90" w:type="dxa"/>
              <w:left w:w="100" w:type="dxa"/>
              <w:right w:w="100" w:type="dxa"/>
            </w:tcMar>
            <w:shd w:fill="DDEBF7"/>
          </w:tcPr>
          <w:p>
            <w:pPr>
              <w:keepNext/>
              <w:spacing w:after="0" w:line="264" w:lineRule="auto"/>
            </w:pPr>
            <w:r>
              <w:rPr>
                <w:b/>
                <w:sz w:val="20"/>
              </w:rPr>
              <w:t>方案</w:t>
            </w:r>
          </w:p>
        </w:tc>
        <w:tc>
          <w:tcPr>
            <w:tcW w:type="dxa" w:w="3515"/>
            <w:vAlign w:val="center"/>
            <w:tcMar>
              <w:top w:w="90" w:type="dxa"/>
              <w:bottom w:w="90" w:type="dxa"/>
              <w:left w:w="100" w:type="dxa"/>
              <w:right w:w="100" w:type="dxa"/>
            </w:tcMar>
            <w:shd w:fill="DDEBF7"/>
          </w:tcPr>
          <w:p>
            <w:pPr>
              <w:keepNext/>
              <w:spacing w:after="0" w:line="264" w:lineRule="auto"/>
            </w:pPr>
            <w:r>
              <w:rPr>
                <w:b/>
                <w:sz w:val="20"/>
              </w:rPr>
              <w:t>数据边界与恢复</w:t>
            </w:r>
          </w:p>
        </w:tc>
        <w:tc>
          <w:tcPr>
            <w:tcW w:type="dxa" w:w="2438"/>
            <w:vAlign w:val="center"/>
            <w:tcMar>
              <w:top w:w="90" w:type="dxa"/>
              <w:bottom w:w="90" w:type="dxa"/>
              <w:left w:w="100" w:type="dxa"/>
              <w:right w:w="100" w:type="dxa"/>
            </w:tcMar>
            <w:shd w:fill="DDEBF7"/>
          </w:tcPr>
          <w:p>
            <w:pPr>
              <w:keepNext/>
              <w:spacing w:after="0" w:line="264" w:lineRule="auto"/>
            </w:pPr>
            <w:r>
              <w:rPr>
                <w:b/>
                <w:sz w:val="20"/>
              </w:rPr>
              <w:t>对现有代码的影响</w:t>
            </w:r>
          </w:p>
        </w:tc>
        <w:tc>
          <w:tcPr>
            <w:tcW w:type="dxa" w:w="2268"/>
            <w:vAlign w:val="center"/>
            <w:tcMar>
              <w:top w:w="90" w:type="dxa"/>
              <w:bottom w:w="90" w:type="dxa"/>
              <w:left w:w="100" w:type="dxa"/>
              <w:right w:w="100" w:type="dxa"/>
            </w:tcMar>
            <w:shd w:fill="DDEBF7"/>
          </w:tcPr>
          <w:p>
            <w:pPr>
              <w:keepNext/>
              <w:spacing w:after="0" w:line="264" w:lineRule="auto"/>
            </w:pPr>
            <w:r>
              <w:rPr>
                <w:b/>
                <w:sz w:val="20"/>
              </w:rPr>
              <w:t>适用判断</w:t>
            </w:r>
          </w:p>
        </w:tc>
      </w:tr>
      <w:tr>
        <w:trPr>
          <w:cantSplit/>
        </w:trPr>
        <w:tc>
          <w:tcPr>
            <w:tcW w:type="dxa" w:w="1417"/>
            <w:vAlign w:val="center"/>
            <w:tcMar>
              <w:top w:w="90" w:type="dxa"/>
              <w:bottom w:w="90" w:type="dxa"/>
              <w:left w:w="100" w:type="dxa"/>
              <w:right w:w="100" w:type="dxa"/>
            </w:tcMar>
          </w:tcPr>
          <w:p>
            <w:pPr>
              <w:keepNext w:val="0"/>
              <w:spacing w:after="0" w:line="264" w:lineRule="auto"/>
            </w:pPr>
            <w:r>
              <w:rPr>
                <w:b w:val="0"/>
                <w:sz w:val="20"/>
              </w:rPr>
              <w:t>单进程单库按工作室过滤</w:t>
            </w:r>
          </w:p>
        </w:tc>
        <w:tc>
          <w:tcPr>
            <w:tcW w:type="dxa" w:w="3515"/>
            <w:vAlign w:val="center"/>
            <w:tcMar>
              <w:top w:w="90" w:type="dxa"/>
              <w:bottom w:w="90" w:type="dxa"/>
              <w:left w:w="100" w:type="dxa"/>
              <w:right w:w="100" w:type="dxa"/>
            </w:tcMar>
          </w:tcPr>
          <w:p>
            <w:pPr>
              <w:keepNext w:val="0"/>
              <w:spacing w:after="0" w:line="264" w:lineRule="auto"/>
            </w:pPr>
            <w:r>
              <w:rPr>
                <w:b w:val="0"/>
                <w:sz w:val="20"/>
              </w:rPr>
              <w:t>隔离依赖每条查询；单工作室恢复较复杂</w:t>
            </w:r>
          </w:p>
        </w:tc>
        <w:tc>
          <w:tcPr>
            <w:tcW w:type="dxa" w:w="2438"/>
            <w:vAlign w:val="center"/>
            <w:tcMar>
              <w:top w:w="90" w:type="dxa"/>
              <w:bottom w:w="90" w:type="dxa"/>
              <w:left w:w="100" w:type="dxa"/>
              <w:right w:w="100" w:type="dxa"/>
            </w:tcMar>
          </w:tcPr>
          <w:p>
            <w:pPr>
              <w:keepNext w:val="0"/>
              <w:spacing w:after="0" w:line="264" w:lineRule="auto"/>
            </w:pPr>
            <w:r>
              <w:rPr>
                <w:b w:val="0"/>
                <w:sz w:val="20"/>
              </w:rPr>
              <w:t>scope 和所有旁路都要改为请求级；数据库迁移较少</w:t>
            </w:r>
          </w:p>
        </w:tc>
        <w:tc>
          <w:tcPr>
            <w:tcW w:type="dxa" w:w="2268"/>
            <w:vAlign w:val="center"/>
            <w:tcMar>
              <w:top w:w="90" w:type="dxa"/>
              <w:bottom w:w="90" w:type="dxa"/>
              <w:left w:w="100" w:type="dxa"/>
              <w:right w:w="100" w:type="dxa"/>
            </w:tcMar>
          </w:tcPr>
          <w:p>
            <w:pPr>
              <w:keepNext w:val="0"/>
              <w:spacing w:after="0" w:line="264" w:lineRule="auto"/>
            </w:pPr>
            <w:r>
              <w:rPr>
                <w:b w:val="0"/>
                <w:sz w:val="20"/>
              </w:rPr>
              <w:t>可行，但不作为首批外部工作室推荐方案</w:t>
            </w:r>
          </w:p>
        </w:tc>
      </w:tr>
      <w:tr>
        <w:trPr>
          <w:cantSplit/>
        </w:trPr>
        <w:tc>
          <w:tcPr>
            <w:tcW w:type="dxa" w:w="1417"/>
            <w:vAlign w:val="center"/>
            <w:tcMar>
              <w:top w:w="90" w:type="dxa"/>
              <w:bottom w:w="90" w:type="dxa"/>
              <w:left w:w="100" w:type="dxa"/>
              <w:right w:w="100" w:type="dxa"/>
            </w:tcMar>
            <w:shd w:fill="F5F7FA"/>
          </w:tcPr>
          <w:p>
            <w:pPr>
              <w:keepNext w:val="0"/>
              <w:spacing w:after="0" w:line="264" w:lineRule="auto"/>
            </w:pPr>
            <w:r>
              <w:rPr>
                <w:b w:val="0"/>
                <w:sz w:val="20"/>
              </w:rPr>
              <w:t>同机统一入口 每工作室独立实例和数据库</w:t>
            </w:r>
          </w:p>
        </w:tc>
        <w:tc>
          <w:tcPr>
            <w:tcW w:type="dxa" w:w="3515"/>
            <w:vAlign w:val="center"/>
            <w:tcMar>
              <w:top w:w="90" w:type="dxa"/>
              <w:bottom w:w="90" w:type="dxa"/>
              <w:left w:w="100" w:type="dxa"/>
              <w:right w:w="100" w:type="dxa"/>
            </w:tcMar>
            <w:shd w:fill="F5F7FA"/>
          </w:tcPr>
          <w:p>
            <w:pPr>
              <w:keepNext w:val="0"/>
              <w:spacing w:after="0" w:line="264" w:lineRule="auto"/>
            </w:pPr>
            <w:r>
              <w:rPr>
                <w:b w:val="0"/>
                <w:sz w:val="20"/>
              </w:rPr>
              <w:t>业务库、文件、重启和恢复独立；硬件仍共享</w:t>
            </w:r>
          </w:p>
        </w:tc>
        <w:tc>
          <w:tcPr>
            <w:tcW w:type="dxa" w:w="2438"/>
            <w:vAlign w:val="center"/>
            <w:tcMar>
              <w:top w:w="90" w:type="dxa"/>
              <w:bottom w:w="90" w:type="dxa"/>
              <w:left w:w="100" w:type="dxa"/>
              <w:right w:w="100" w:type="dxa"/>
            </w:tcMar>
            <w:shd w:fill="F5F7FA"/>
          </w:tcPr>
          <w:p>
            <w:pPr>
              <w:keepNext w:val="0"/>
              <w:spacing w:after="0" w:line="264" w:lineRule="auto"/>
            </w:pPr>
            <w:r>
              <w:rPr>
                <w:b w:val="0"/>
                <w:sz w:val="20"/>
              </w:rPr>
              <w:t>增加控制目录与路由；固定 scope 配置化；大量存储可复用</w:t>
            </w:r>
          </w:p>
        </w:tc>
        <w:tc>
          <w:tcPr>
            <w:tcW w:type="dxa" w:w="2268"/>
            <w:vAlign w:val="center"/>
            <w:tcMar>
              <w:top w:w="90" w:type="dxa"/>
              <w:bottom w:w="90" w:type="dxa"/>
              <w:left w:w="100" w:type="dxa"/>
              <w:right w:w="100" w:type="dxa"/>
            </w:tcMar>
            <w:shd w:fill="F5F7FA"/>
          </w:tcPr>
          <w:p>
            <w:pPr>
              <w:keepNext w:val="0"/>
              <w:spacing w:after="0" w:line="264" w:lineRule="auto"/>
            </w:pPr>
            <w:r>
              <w:rPr>
                <w:b w:val="0"/>
                <w:sz w:val="20"/>
              </w:rPr>
              <w:t>本次推荐</w:t>
            </w:r>
          </w:p>
        </w:tc>
      </w:tr>
      <w:tr>
        <w:trPr>
          <w:cantSplit/>
        </w:trPr>
        <w:tc>
          <w:tcPr>
            <w:tcW w:type="dxa" w:w="1417"/>
            <w:vAlign w:val="center"/>
            <w:tcMar>
              <w:top w:w="90" w:type="dxa"/>
              <w:bottom w:w="90" w:type="dxa"/>
              <w:left w:w="100" w:type="dxa"/>
              <w:right w:w="100" w:type="dxa"/>
            </w:tcMar>
          </w:tcPr>
          <w:p>
            <w:pPr>
              <w:keepNext w:val="0"/>
              <w:spacing w:after="0" w:line="264" w:lineRule="auto"/>
            </w:pPr>
            <w:r>
              <w:rPr>
                <w:b w:val="0"/>
                <w:sz w:val="20"/>
              </w:rPr>
              <w:t>每工作室独立虚拟机或独立主机</w:t>
            </w:r>
          </w:p>
        </w:tc>
        <w:tc>
          <w:tcPr>
            <w:tcW w:type="dxa" w:w="3515"/>
            <w:vAlign w:val="center"/>
            <w:tcMar>
              <w:top w:w="90" w:type="dxa"/>
              <w:bottom w:w="90" w:type="dxa"/>
              <w:left w:w="100" w:type="dxa"/>
              <w:right w:w="100" w:type="dxa"/>
            </w:tcMar>
          </w:tcPr>
          <w:p>
            <w:pPr>
              <w:keepNext w:val="0"/>
              <w:spacing w:after="0" w:line="264" w:lineRule="auto"/>
            </w:pPr>
            <w:r>
              <w:rPr>
                <w:b w:val="0"/>
                <w:sz w:val="20"/>
              </w:rPr>
              <w:t>服务和执行环境隔离更强；独立主机可减少共同故障</w:t>
            </w:r>
          </w:p>
        </w:tc>
        <w:tc>
          <w:tcPr>
            <w:tcW w:type="dxa" w:w="2438"/>
            <w:vAlign w:val="center"/>
            <w:tcMar>
              <w:top w:w="90" w:type="dxa"/>
              <w:bottom w:w="90" w:type="dxa"/>
              <w:left w:w="100" w:type="dxa"/>
              <w:right w:w="100" w:type="dxa"/>
            </w:tcMar>
          </w:tcPr>
          <w:p>
            <w:pPr>
              <w:keepNext w:val="0"/>
              <w:spacing w:after="0" w:line="264" w:lineRule="auto"/>
            </w:pPr>
            <w:r>
              <w:rPr>
                <w:b w:val="0"/>
                <w:sz w:val="20"/>
              </w:rPr>
              <w:t>运维和资源投入更多，仍需权限与模块设计</w:t>
            </w:r>
          </w:p>
        </w:tc>
        <w:tc>
          <w:tcPr>
            <w:tcW w:type="dxa" w:w="2268"/>
            <w:vAlign w:val="center"/>
            <w:tcMar>
              <w:top w:w="90" w:type="dxa"/>
              <w:bottom w:w="90" w:type="dxa"/>
              <w:left w:w="100" w:type="dxa"/>
              <w:right w:w="100" w:type="dxa"/>
            </w:tcMar>
          </w:tcPr>
          <w:p>
            <w:pPr>
              <w:keepNext w:val="0"/>
              <w:spacing w:after="0" w:line="264" w:lineRule="auto"/>
            </w:pPr>
            <w:r>
              <w:rPr>
                <w:b w:val="0"/>
                <w:sz w:val="20"/>
              </w:rPr>
              <w:t>有源码执行或更高隔离要求的工作室</w:t>
            </w:r>
          </w:p>
        </w:tc>
      </w:tr>
    </w:tbl>
    <w:p>
      <w:pPr>
        <w:spacing w:after="20"/>
      </w:pPr>
    </w:p>
    <w:p>
      <w:r>
        <w:t>推荐方案不是复制多份长期分叉源码。所有工作室运行同一套经过验证的发布产物，实例只拥有不同配置和数据目录。控制面维护实例清单、部署版本和兼容状态；迁移逐实例执行，可以分批验证。</w:t>
      </w:r>
    </w:p>
    <w:p>
      <w:r>
        <w:t>SQLite 每个数据库文件同一时刻仅允许一个写入者，适合保留现有本地 API 存储方式；拆分工作室数据库可以分开写锁和恢复范围。该判断来自 SQLite 官方说明，并不代表当前机器已通过目标容量验证。</w:t>
      </w:r>
      <w:hyperlink r:id="rId11">
        <w:r>
          <w:rPr>
            <w:color w:val="1F4E79"/>
          </w:rPr>
          <w:t>SQLite 适用场景</w:t>
        </w:r>
      </w:hyperlink>
      <w:r/>
    </w:p>
    <w:p>
      <w:pPr>
        <w:pStyle w:val="Heading2"/>
      </w:pPr>
      <w:r>
        <w:t>4 2 建议结构</w:t>
      </w:r>
    </w:p>
    <w:p>
      <w:pPr>
        <w:spacing w:line="259" w:lineRule="auto" w:after="160"/>
      </w:pPr>
      <w:r>
        <w:rPr>
          <w:sz w:val="19"/>
        </w:rPr>
        <w:t>Web 和 Windows 和 Android</w:t>
        <w:br/>
      </w:r>
      <w:r>
        <w:rPr>
          <w:sz w:val="19"/>
        </w:rPr>
        <w:t xml:space="preserve">        ↓ HTTPS 统一入口</w:t>
        <w:br/>
      </w:r>
      <w:r>
        <w:rPr>
          <w:sz w:val="19"/>
        </w:rPr>
        <w:t>控制目录与身份服务</w:t>
        <w:br/>
      </w:r>
      <w:r>
        <w:rPr>
          <w:sz w:val="19"/>
        </w:rPr>
        <w:t xml:space="preserve">  工作室名录 成员映射 模块授权 实例路由</w:t>
        <w:br/>
      </w:r>
      <w:r>
        <w:rPr>
          <w:sz w:val="19"/>
        </w:rPr>
        <w:t xml:space="preserve">        ↓ 已验证的工作室上下文</w:t>
        <w:br/>
      </w:r>
      <w:r>
        <w:rPr>
          <w:sz w:val="19"/>
        </w:rPr>
        <w:t xml:space="preserve"> ┌ 工作室 A API ─ A 业务库 证据 队列 集成配置</w:t>
        <w:br/>
      </w:r>
      <w:r>
        <w:rPr>
          <w:sz w:val="19"/>
        </w:rPr>
        <w:t xml:space="preserve"> └ 工作室 B API ─ B 业务库 证据 队列 集成配置</w:t>
        <w:br/>
      </w:r>
      <w:r>
        <w:rPr>
          <w:sz w:val="19"/>
        </w:rPr>
        <w:t xml:space="preserve">        ↓ 已授权的执行任务</w:t>
        <w:br/>
      </w:r>
      <w:r>
        <w:rPr>
          <w:sz w:val="19"/>
        </w:rPr>
        <w:t>工作室专属执行器 或 受配额控制的共享执行资源</w:t>
        <w:br/>
      </w:r>
      <w:r>
        <w:rPr>
          <w:sz w:val="19"/>
        </w:rPr>
        <w:t xml:space="preserve">        ↓</w:t>
        <w:br/>
      </w:r>
      <w:r>
        <w:rPr>
          <w:sz w:val="19"/>
        </w:rPr>
        <w:t>各自 Jenkins Relay 上传平台和产物仓库</w:t>
      </w:r>
    </w:p>
    <w:p>
      <w:r>
        <w:t>图中的控制目录只持有身份、配置与路由等控制信息，不汇总业务附件、源码或第三方密钥。业务 API 绑定一个工作室，启动时验证配置账号与数据库账号一致；收到其他工作室上下文必须拒绝，不能自动纠正为默认工作室。</w:t>
      </w:r>
    </w:p>
    <w:p>
      <w:r>
        <w:t>第一阶段可保留当前工作室的兼容入口和原运行根目录；新统一入口按已验证身份和工作室路由到实例。下游端口限制为回环或受控内部网络。不能让外部用户绕过入口直接访问沿用调试令牌的旧 API。</w:t>
      </w:r>
    </w:p>
    <w:p>
      <w:pPr>
        <w:pStyle w:val="Heading2"/>
      </w:pPr>
      <w:r>
        <w:t>4 3 本机目录建议</w:t>
      </w:r>
    </w:p>
    <w:p>
      <w:pPr>
        <w:spacing w:line="259" w:lineRule="auto" w:after="160"/>
      </w:pPr>
      <w:r>
        <w:rPr>
          <w:sz w:val="19"/>
        </w:rPr>
        <w:t>D:\Relay-QA-Hub-Control\</w:t>
        <w:br/>
      </w:r>
      <w:r>
        <w:rPr>
          <w:sz w:val="19"/>
        </w:rPr>
        <w:t xml:space="preserve">  registry.sqlite</w:t>
        <w:br/>
      </w:r>
      <w:r>
        <w:rPr>
          <w:sz w:val="19"/>
        </w:rPr>
        <w:t xml:space="preserve">  deployments\</w:t>
        <w:br/>
      </w:r>
      <w:r>
        <w:rPr>
          <w:sz w:val="19"/>
        </w:rPr>
        <w:br/>
      </w:r>
      <w:r>
        <w:rPr>
          <w:sz w:val="19"/>
        </w:rPr>
        <w:t>D:\Relay-QA-Hub-Data\production\</w:t>
        <w:br/>
      </w:r>
      <w:r>
        <w:rPr>
          <w:sz w:val="19"/>
        </w:rPr>
        <w:t xml:space="preserve">  现有工作室目录保持不变 通过注册项绑定</w:t>
        <w:br/>
      </w:r>
      <w:r>
        <w:rPr>
          <w:sz w:val="19"/>
        </w:rPr>
        <w:br/>
      </w:r>
      <w:r>
        <w:rPr>
          <w:sz w:val="19"/>
        </w:rPr>
        <w:t>D:\Relay-QA-Hub-Data\studios\&lt;accountId&gt;\</w:t>
        <w:br/>
      </w:r>
      <w:r>
        <w:rPr>
          <w:sz w:val="19"/>
        </w:rPr>
        <w:t xml:space="preserve">  db\qa-hub.sqlite</w:t>
        <w:br/>
      </w:r>
      <w:r>
        <w:rPr>
          <w:sz w:val="19"/>
        </w:rPr>
        <w:t xml:space="preserve">  evidence\sha256\</w:t>
        <w:br/>
      </w:r>
      <w:r>
        <w:rPr>
          <w:sz w:val="19"/>
        </w:rPr>
        <w:t xml:space="preserve">  quarantine\</w:t>
        <w:br/>
      </w:r>
      <w:r>
        <w:rPr>
          <w:sz w:val="19"/>
        </w:rPr>
        <w:t xml:space="preserve">  integrations\increment-upload\queue.sqlite</w:t>
        <w:br/>
      </w:r>
      <w:r>
        <w:rPr>
          <w:sz w:val="19"/>
        </w:rPr>
        <w:t xml:space="preserve">  integrations\production\</w:t>
        <w:br/>
      </w:r>
      <w:r>
        <w:rPr>
          <w:sz w:val="19"/>
        </w:rPr>
        <w:t xml:space="preserve">  jobs\ artifacts\ logs\ config\</w:t>
        <w:br/>
      </w:r>
      <w:r>
        <w:rPr>
          <w:sz w:val="19"/>
        </w:rPr>
        <w:br/>
      </w:r>
      <w:r>
        <w:rPr>
          <w:sz w:val="19"/>
        </w:rPr>
        <w:t>E:\Relay-QA-Hub-Archives\studios\&lt;accountId&gt;\</w:t>
        <w:br/>
      </w:r>
      <w:r>
        <w:rPr>
          <w:sz w:val="19"/>
        </w:rPr>
        <w:t xml:space="preserve">  &lt;recoveryPointId&gt;\</w:t>
      </w:r>
    </w:p>
    <w:p>
      <w:r>
        <w:t>以上是建议路径，新路径必须先核对本机卷、容量、权限和备份策略。现有上传等目录可继续使用原结构，通过工作室根目录提供边界，不强制一次性搬迁。目录只能由服务端已注册 ID 解析，禁止客户端提交绝对路径、相对跳转或 junction 目标。</w:t>
      </w:r>
    </w:p>
    <w:p>
      <w:r>
        <w:t>同一 Windows 账号下的不同目录不构成操作系统安全边界。建议业务服务使用最小权限服务账号和 NTFS ACL；构建外部工作室源码时使用专属 VM 或执行机，并隔离仓库凭据、工作区、缓存和发布权限。</w:t>
      </w:r>
    </w:p>
    <w:p>
      <w:pPr>
        <w:pStyle w:val="Heading2"/>
      </w:pPr>
      <w:r>
        <w:t>4 4 单机能承诺的隔离范围</w:t>
      </w:r>
    </w:p>
    <w:p>
      <w:r>
        <w:t>可以通过设计和验收提供业务记录隔离、权限隔离、外部账号隔离、独立恢复和有界资源使用。单机无法消除 CPU、磁盘、带宽和宿主机故障的共同影响。平台自身升级也可能影响全部实例，需要逐工作室发布和兼容版本控制。</w:t>
      </w:r>
    </w:p>
    <w:p>
      <w:r>
        <w:t>如果要求某工作室执行任意项目脚本而无法接触其他工作室数据，应至少配置独立执行 VM。若要求一台物理机故障不影响其他工作室，则需要不同主机和独立故障域，超出“仅在当前机器改造”的边界。</w:t>
      </w:r>
    </w:p>
    <w:p>
      <w:pPr>
        <w:pStyle w:val="Heading1"/>
      </w:pPr>
      <w:r>
        <w:t>5 身份验证与权限设计</w:t>
      </w:r>
    </w:p>
    <w:p>
      <w:pPr>
        <w:pStyle w:val="Heading2"/>
      </w:pPr>
      <w:r>
        <w:t>5 1 登录必须升级</w:t>
      </w:r>
    </w:p>
    <w:p>
      <w:r>
        <w:t xml:space="preserve">当前姓名登录可以复用或自动创建用户，显示名不是秘密，不能证明操作者身份。对外工作室需启用邀请制和密码、企业身份提供方或经验证的一次性登录方式。已有 </w:t>
      </w:r>
      <w:r>
        <w:rPr>
          <w:rFonts w:ascii="Consolas" w:hAnsi="Consolas"/>
          <w:sz w:val="20"/>
        </w:rPr>
        <w:t>local_credentials</w:t>
      </w:r>
      <w:r>
        <w:t xml:space="preserve"> 和会话机制可复用，但需要补齐注册邀请、密码初始化、找回、撤销和服务端过期检查。</w:t>
      </w:r>
    </w:p>
    <w:p>
      <w:r>
        <w:t>显示名只用于展示，不能用于合并两个工作室的用户。历史用户 ID、Bug 作者、修复人和验收人必须保留。新登录身份通过明确映射连接到原用户；映射由本人验证和管理员核对，不按中文姓名、拼音或邮箱相似度自动认领。</w:t>
      </w:r>
    </w:p>
    <w:p>
      <w:r>
        <w:t xml:space="preserve">建议建立最小全局登录主体 </w:t>
      </w:r>
      <w:r>
        <w:rPr>
          <w:rFonts w:ascii="Consolas" w:hAnsi="Consolas"/>
          <w:sz w:val="20"/>
        </w:rPr>
        <w:t>principals</w:t>
      </w:r>
      <w:r>
        <w:t xml:space="preserve">，用稳定身份映射到各工作室的本地 </w:t>
      </w:r>
      <w:r>
        <w:rPr>
          <w:rFonts w:ascii="Consolas" w:hAnsi="Consolas"/>
          <w:sz w:val="20"/>
        </w:rPr>
        <w:t>users.id</w:t>
      </w:r>
      <w:r>
        <w:t>。它只解决“这个登录者在此工作室对应哪个人”，不把工作室用户表整体改造成全球共享人员表。第一阶段若暂不提供统一身份，可使用独立工作室登录，但切换其他工作室要独立验证，不承诺无感切换。</w:t>
      </w:r>
    </w:p>
    <w:p>
      <w:pPr>
        <w:pStyle w:val="Heading2"/>
      </w:pPr>
      <w:r>
        <w:t>5 2 作用域与会话</w:t>
      </w:r>
    </w:p>
    <w:p>
      <w:r>
        <w:t xml:space="preserve">服务端统一生成 </w:t>
      </w:r>
      <w:r>
        <w:rPr>
          <w:rFonts w:ascii="Consolas" w:hAnsi="Consolas"/>
          <w:sz w:val="20"/>
        </w:rPr>
        <w:t>RequestContext</w:t>
      </w:r>
      <w:r>
        <w:t xml:space="preserve">，包含 </w:t>
      </w:r>
      <w:r>
        <w:rPr>
          <w:rFonts w:ascii="Consolas" w:hAnsi="Consolas"/>
          <w:sz w:val="20"/>
        </w:rPr>
        <w:t>principalId</w:t>
      </w:r>
      <w:r>
        <w:t>、</w:t>
      </w:r>
      <w:r>
        <w:rPr>
          <w:rFonts w:ascii="Consolas" w:hAnsi="Consolas"/>
          <w:sz w:val="20"/>
        </w:rPr>
        <w:t>accountId</w:t>
      </w:r>
      <w:r>
        <w:t>、</w:t>
      </w:r>
      <w:r>
        <w:rPr>
          <w:rFonts w:ascii="Consolas" w:hAnsi="Consolas"/>
          <w:sz w:val="20"/>
        </w:rPr>
        <w:t>actorId</w:t>
      </w:r>
      <w:r>
        <w:t>、</w:t>
      </w:r>
      <w:r>
        <w:rPr>
          <w:rFonts w:ascii="Consolas" w:hAnsi="Consolas"/>
          <w:sz w:val="20"/>
        </w:rPr>
        <w:t>projectId</w:t>
      </w:r>
      <w:r>
        <w:t>、角色、</w:t>
      </w:r>
      <w:r>
        <w:rPr>
          <w:rFonts w:ascii="Consolas" w:hAnsi="Consolas"/>
          <w:sz w:val="20"/>
        </w:rPr>
        <w:t>sessionId</w:t>
      </w:r>
      <w:r>
        <w:t xml:space="preserve"> 与 </w:t>
      </w:r>
      <w:r>
        <w:rPr>
          <w:rFonts w:ascii="Consolas" w:hAnsi="Consolas"/>
          <w:sz w:val="20"/>
        </w:rPr>
        <w:t>policyRevision</w:t>
      </w:r>
      <w:r>
        <w:t>。</w:t>
      </w:r>
      <w:r>
        <w:rPr>
          <w:rFonts w:ascii="Consolas" w:hAnsi="Consolas"/>
          <w:sz w:val="20"/>
        </w:rPr>
        <w:t>projectId</w:t>
      </w:r>
      <w:r>
        <w:t xml:space="preserve"> 由路由请求选定，再验证属于该工作室且用户有成员资格。所有读取和操作都使用已验证上下文。</w:t>
      </w:r>
    </w:p>
    <w:p>
      <w:r>
        <w:t xml:space="preserve">客户端选择的工作室只是请求参数。入口必须检查成员身份，剥离外部伪造的内部头，再签发短时、限定目标实例的内部身份断言；下游验证签名、受众、时效和工作室一致性。实例内的固定 account 配置可作为第二道拒绝边界。不得仅信任 </w:t>
      </w:r>
      <w:r>
        <w:rPr>
          <w:rFonts w:ascii="Consolas" w:hAnsi="Consolas"/>
          <w:sz w:val="20"/>
        </w:rPr>
        <w:t>X-Studio-Id</w:t>
      </w:r>
      <w:r>
        <w:t xml:space="preserve"> 或旧调试 Bearer。</w:t>
      </w:r>
    </w:p>
    <w:p>
      <w:r>
        <w:t>多浏览器标签页可能同时打开不同工作室，不能用“会话里一个可变 currentStudio”决定所有写入。每个页面和后台作业都绑定明确工作室；切换时只改变当前页面上下文。会话撤销、成员退出和工作室停用必须有明确生效上限，建议请求即时校验，缓存最长 60 秒；发布操作执行前再次校验。</w:t>
      </w:r>
    </w:p>
    <w:p>
      <w:pPr>
        <w:pStyle w:val="Heading2"/>
      </w:pPr>
      <w:r>
        <w:t>5 3 角色与兼容策略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角色</w:t>
            </w:r>
          </w:p>
        </w:tc>
        <w:tc>
          <w:tcPr>
            <w:tcW w:type="dxa" w:w="3742"/>
            <w:vAlign w:val="center"/>
            <w:tcMar>
              <w:top w:w="90" w:type="dxa"/>
              <w:bottom w:w="90" w:type="dxa"/>
              <w:left w:w="100" w:type="dxa"/>
              <w:right w:w="100" w:type="dxa"/>
            </w:tcMar>
            <w:shd w:fill="DDEBF7"/>
          </w:tcPr>
          <w:p>
            <w:pPr>
              <w:keepNext/>
              <w:spacing w:after="0" w:line="264" w:lineRule="auto"/>
            </w:pPr>
            <w:r>
              <w:rPr>
                <w:b/>
                <w:sz w:val="20"/>
              </w:rPr>
              <w:t>建议权限</w:t>
            </w:r>
          </w:p>
        </w:tc>
        <w:tc>
          <w:tcPr>
            <w:tcW w:type="dxa" w:w="4082"/>
            <w:vAlign w:val="center"/>
            <w:tcMar>
              <w:top w:w="90" w:type="dxa"/>
              <w:bottom w:w="90" w:type="dxa"/>
              <w:left w:w="100" w:type="dxa"/>
              <w:right w:w="100" w:type="dxa"/>
            </w:tcMar>
            <w:shd w:fill="DDEBF7"/>
          </w:tcPr>
          <w:p>
            <w:pPr>
              <w:keepNext/>
              <w:spacing w:after="0" w:line="264" w:lineRule="auto"/>
            </w:pPr>
            <w:r>
              <w:rPr>
                <w:b/>
                <w:sz w:val="20"/>
              </w:rPr>
              <w:t>不默认包含</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平台管理员</w:t>
            </w:r>
          </w:p>
        </w:tc>
        <w:tc>
          <w:tcPr>
            <w:tcW w:type="dxa" w:w="3742"/>
            <w:vAlign w:val="center"/>
            <w:tcMar>
              <w:top w:w="90" w:type="dxa"/>
              <w:bottom w:w="90" w:type="dxa"/>
              <w:left w:w="100" w:type="dxa"/>
              <w:right w:w="100" w:type="dxa"/>
            </w:tcMar>
          </w:tcPr>
          <w:p>
            <w:pPr>
              <w:keepNext w:val="0"/>
              <w:spacing w:after="0" w:line="264" w:lineRule="auto"/>
            </w:pPr>
            <w:r>
              <w:rPr>
                <w:b w:val="0"/>
                <w:sz w:val="20"/>
              </w:rPr>
              <w:t>开通工作室、分配模块与资源、部署和恢复编排</w:t>
            </w:r>
          </w:p>
        </w:tc>
        <w:tc>
          <w:tcPr>
            <w:tcW w:type="dxa" w:w="4082"/>
            <w:vAlign w:val="center"/>
            <w:tcMar>
              <w:top w:w="90" w:type="dxa"/>
              <w:bottom w:w="90" w:type="dxa"/>
              <w:left w:w="100" w:type="dxa"/>
              <w:right w:w="100" w:type="dxa"/>
            </w:tcMar>
          </w:tcPr>
          <w:p>
            <w:pPr>
              <w:keepNext w:val="0"/>
              <w:spacing w:after="0" w:line="264" w:lineRule="auto"/>
            </w:pPr>
            <w:r>
              <w:rPr>
                <w:b w:val="0"/>
                <w:sz w:val="20"/>
              </w:rPr>
              <w:t>所有工作室的业务阅读、第三方平台发布</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工作室管理员</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管理本工作室成员、项目和已授权模块配置</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其他工作室信息、任意主机操作</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项目管理员</w:t>
            </w:r>
          </w:p>
        </w:tc>
        <w:tc>
          <w:tcPr>
            <w:tcW w:type="dxa" w:w="3742"/>
            <w:vAlign w:val="center"/>
            <w:tcMar>
              <w:top w:w="90" w:type="dxa"/>
              <w:bottom w:w="90" w:type="dxa"/>
              <w:left w:w="100" w:type="dxa"/>
              <w:right w:w="100" w:type="dxa"/>
            </w:tcMar>
          </w:tcPr>
          <w:p>
            <w:pPr>
              <w:keepNext w:val="0"/>
              <w:spacing w:after="0" w:line="264" w:lineRule="auto"/>
            </w:pPr>
            <w:r>
              <w:rPr>
                <w:b w:val="0"/>
                <w:sz w:val="20"/>
              </w:rPr>
              <w:t>管理项目成员和配置</w:t>
            </w:r>
          </w:p>
        </w:tc>
        <w:tc>
          <w:tcPr>
            <w:tcW w:type="dxa" w:w="4082"/>
            <w:vAlign w:val="center"/>
            <w:tcMar>
              <w:top w:w="90" w:type="dxa"/>
              <w:bottom w:w="90" w:type="dxa"/>
              <w:left w:w="100" w:type="dxa"/>
              <w:right w:w="100" w:type="dxa"/>
            </w:tcMar>
          </w:tcPr>
          <w:p>
            <w:pPr>
              <w:keepNext w:val="0"/>
              <w:spacing w:after="0" w:line="264" w:lineRule="auto"/>
            </w:pPr>
            <w:r>
              <w:rPr>
                <w:b w:val="0"/>
                <w:sz w:val="20"/>
              </w:rPr>
              <w:t>工作室开通、平台凭据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项目成员</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按工作室策略进行 Bug 协作和人工处理</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任意打包发布和人员授权</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发布负责人</w:t>
            </w:r>
          </w:p>
        </w:tc>
        <w:tc>
          <w:tcPr>
            <w:tcW w:type="dxa" w:w="3742"/>
            <w:vAlign w:val="center"/>
            <w:tcMar>
              <w:top w:w="90" w:type="dxa"/>
              <w:bottom w:w="90" w:type="dxa"/>
              <w:left w:w="100" w:type="dxa"/>
              <w:right w:w="100" w:type="dxa"/>
            </w:tcMar>
          </w:tcPr>
          <w:p>
            <w:pPr>
              <w:keepNext w:val="0"/>
              <w:spacing w:after="0" w:line="264" w:lineRule="auto"/>
            </w:pPr>
            <w:r>
              <w:rPr>
                <w:b w:val="0"/>
                <w:sz w:val="20"/>
              </w:rPr>
              <w:t>指定项目与渠道的构建、上传、最终发布</w:t>
            </w:r>
          </w:p>
        </w:tc>
        <w:tc>
          <w:tcPr>
            <w:tcW w:type="dxa" w:w="4082"/>
            <w:vAlign w:val="center"/>
            <w:tcMar>
              <w:top w:w="90" w:type="dxa"/>
              <w:bottom w:w="90" w:type="dxa"/>
              <w:left w:w="100" w:type="dxa"/>
              <w:right w:w="100" w:type="dxa"/>
            </w:tcMar>
          </w:tcPr>
          <w:p>
            <w:pPr>
              <w:keepNext w:val="0"/>
              <w:spacing w:after="0" w:line="264" w:lineRule="auto"/>
            </w:pPr>
            <w:r>
              <w:rPr>
                <w:b w:val="0"/>
                <w:sz w:val="20"/>
              </w:rPr>
              <w:t>其他项目渠道、密钥明文读取</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服务身份</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指定工作室、项目与操作范围的自动化</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人工验收、平台管理权限</w:t>
            </w:r>
          </w:p>
        </w:tc>
      </w:tr>
    </w:tbl>
    <w:p>
      <w:pPr>
        <w:spacing w:after="20"/>
      </w:pPr>
    </w:p>
    <w:p>
      <w:r>
        <w:t>现有工作室的项目成员协作规则应保持，包括人工标记完成、验收和已有共享管理行为。新增管理与发布权限必须显式迁移并回读，不能在改造中无意收紧现有流程。对新工作室可采用更细角色，但应由已配置策略决定。</w:t>
      </w:r>
    </w:p>
    <w:p>
      <w:r>
        <w:t>启用 Relay、打包或上传，均不改变 QA Hub 是 Bug 生命周期事实源的原则。人工完成不能等待自动执行器；第三方同步失败应记录并可重试，不能阻止本地人工处理。禁用可选模块也不能让已提交 Bug 无法验收。</w:t>
      </w:r>
    </w:p>
    <w:p>
      <w:pPr>
        <w:pStyle w:val="Heading1"/>
      </w:pPr>
      <w:r>
        <w:t>6 功能组件化设计</w:t>
      </w:r>
    </w:p>
    <w:p>
      <w:pPr>
        <w:pStyle w:val="Heading2"/>
      </w:pPr>
      <w:r>
        <w:t>6 1 组件粒度</w:t>
      </w:r>
    </w:p>
    <w:p>
      <w:r>
        <w:t>建议先定义固定、经过发布验证的能力目录，再按工作室启用。首期使用代码内注册的组件与服务端配置，不引入任意第三方插件执行机制。可选组件的配置由服务器持久化，前端菜单、API、后台任务和桌面 MCP 都读取同一个授权结果。</w:t>
      </w:r>
    </w:p>
    <w:p>
      <w:r>
        <w:t>用户提出的“打包上传、单次打包上传、增量上传”在当前代码里存在重叠。本文暂把“单次”定义为人工发起一次流水线，把“自动”定义为由定时或任务完成触发。二者复用执行步骤，但使用不同权限和触发配置。开工时应通过一个实际案例确认产品命名，无需为每个按钮复制执行逻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2551"/>
        <w:gridCol w:w="4139"/>
      </w:tblGrid>
      <w:tr>
        <w:trPr>
          <w:cantSplit/>
          <w:tblHeader/>
        </w:trPr>
        <w:tc>
          <w:tcPr>
            <w:tcW w:type="dxa" w:w="2948"/>
            <w:vAlign w:val="center"/>
            <w:tcMar>
              <w:top w:w="90" w:type="dxa"/>
              <w:bottom w:w="90" w:type="dxa"/>
              <w:left w:w="100" w:type="dxa"/>
              <w:right w:w="100" w:type="dxa"/>
            </w:tcMar>
            <w:shd w:fill="DDEBF7"/>
          </w:tcPr>
          <w:p>
            <w:pPr>
              <w:keepNext/>
              <w:spacing w:after="0" w:line="264" w:lineRule="auto"/>
            </w:pPr>
            <w:r>
              <w:rPr>
                <w:b/>
                <w:sz w:val="20"/>
              </w:rPr>
              <w:t>能力键 建议</w:t>
            </w:r>
          </w:p>
        </w:tc>
        <w:tc>
          <w:tcPr>
            <w:tcW w:type="dxa" w:w="2551"/>
            <w:vAlign w:val="center"/>
            <w:tcMar>
              <w:top w:w="90" w:type="dxa"/>
              <w:bottom w:w="90" w:type="dxa"/>
              <w:left w:w="100" w:type="dxa"/>
              <w:right w:w="100" w:type="dxa"/>
            </w:tcMar>
            <w:shd w:fill="DDEBF7"/>
          </w:tcPr>
          <w:p>
            <w:pPr>
              <w:keepNext/>
              <w:spacing w:after="0" w:line="264" w:lineRule="auto"/>
            </w:pPr>
            <w:r>
              <w:rPr>
                <w:b/>
                <w:sz w:val="20"/>
              </w:rPr>
              <w:t>产品入口或用途</w:t>
            </w:r>
          </w:p>
        </w:tc>
        <w:tc>
          <w:tcPr>
            <w:tcW w:type="dxa" w:w="4139"/>
            <w:vAlign w:val="center"/>
            <w:tcMar>
              <w:top w:w="90" w:type="dxa"/>
              <w:bottom w:w="90" w:type="dxa"/>
              <w:left w:w="100" w:type="dxa"/>
              <w:right w:w="100" w:type="dxa"/>
            </w:tcMar>
            <w:shd w:fill="DDEBF7"/>
          </w:tcPr>
          <w:p>
            <w:pPr>
              <w:keepNext/>
              <w:spacing w:after="0" w:line="264" w:lineRule="auto"/>
            </w:pPr>
            <w:r>
              <w:rPr>
                <w:b/>
                <w:sz w:val="20"/>
              </w:rPr>
              <w:t>依赖与边界</w:t>
            </w:r>
          </w:p>
        </w:tc>
      </w:tr>
      <w:tr>
        <w:trPr>
          <w:cantSplit/>
        </w:trPr>
        <w:tc>
          <w:tcPr>
            <w:tcW w:type="dxa" w:w="2948"/>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qa.core</w:t>
            </w:r>
            <w:r>
              <w:rPr>
                <w:b w:val="0"/>
                <w:sz w:val="20"/>
              </w:rPr>
            </w:r>
          </w:p>
        </w:tc>
        <w:tc>
          <w:tcPr>
            <w:tcW w:type="dxa" w:w="2551"/>
            <w:vAlign w:val="center"/>
            <w:tcMar>
              <w:top w:w="90" w:type="dxa"/>
              <w:bottom w:w="90" w:type="dxa"/>
              <w:left w:w="100" w:type="dxa"/>
              <w:right w:w="100" w:type="dxa"/>
            </w:tcMar>
          </w:tcPr>
          <w:p>
            <w:pPr>
              <w:keepNext w:val="0"/>
              <w:spacing w:after="0" w:line="264" w:lineRule="auto"/>
            </w:pPr>
            <w:r>
              <w:rPr>
                <w:b w:val="0"/>
                <w:sz w:val="20"/>
              </w:rPr>
              <w:t>Bug 上报、详情、人工完成、验收、证据</w:t>
            </w:r>
          </w:p>
        </w:tc>
        <w:tc>
          <w:tcPr>
            <w:tcW w:type="dxa" w:w="4139"/>
            <w:vAlign w:val="center"/>
            <w:tcMar>
              <w:top w:w="90" w:type="dxa"/>
              <w:bottom w:w="90" w:type="dxa"/>
              <w:left w:w="100" w:type="dxa"/>
              <w:right w:w="100" w:type="dxa"/>
            </w:tcMar>
          </w:tcPr>
          <w:p>
            <w:pPr>
              <w:keepNext w:val="0"/>
              <w:spacing w:after="0" w:line="264" w:lineRule="auto"/>
            </w:pPr>
            <w:r>
              <w:rPr>
                <w:b w:val="0"/>
                <w:sz w:val="20"/>
              </w:rPr>
              <w:t>工作室基本能力，单独停用工作室才冻结访问</w:t>
            </w:r>
          </w:p>
        </w:tc>
      </w:tr>
      <w:tr>
        <w:trPr>
          <w:cantSplit/>
        </w:trPr>
        <w:tc>
          <w:tcPr>
            <w:tcW w:type="dxa" w:w="2948"/>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production.tasks</w:t>
            </w:r>
            <w:r>
              <w:rPr>
                <w:b w:val="0"/>
                <w:sz w:val="20"/>
              </w:rPr>
            </w:r>
          </w:p>
        </w:tc>
        <w:tc>
          <w:tcPr>
            <w:tcW w:type="dxa" w:w="2551"/>
            <w:vAlign w:val="center"/>
            <w:tcMar>
              <w:top w:w="90" w:type="dxa"/>
              <w:bottom w:w="90" w:type="dxa"/>
              <w:left w:w="100" w:type="dxa"/>
              <w:right w:w="100" w:type="dxa"/>
            </w:tcMar>
            <w:shd w:fill="F5F7FA"/>
          </w:tcPr>
          <w:p>
            <w:pPr>
              <w:keepNext w:val="0"/>
              <w:spacing w:after="0" w:line="264" w:lineRule="auto"/>
            </w:pPr>
            <w:r>
              <w:rPr>
                <w:b w:val="0"/>
                <w:sz w:val="20"/>
              </w:rPr>
              <w:t>制作任务与任务管理</w:t>
            </w:r>
          </w:p>
        </w:tc>
        <w:tc>
          <w:tcPr>
            <w:tcW w:type="dxa" w:w="4139"/>
            <w:vAlign w:val="center"/>
            <w:tcMar>
              <w:top w:w="90" w:type="dxa"/>
              <w:bottom w:w="90" w:type="dxa"/>
              <w:left w:w="100" w:type="dxa"/>
              <w:right w:w="100" w:type="dxa"/>
            </w:tcMar>
            <w:shd w:fill="F5F7FA"/>
          </w:tcPr>
          <w:p>
            <w:pPr>
              <w:keepNext w:val="0"/>
              <w:spacing w:after="0" w:line="264" w:lineRule="auto"/>
            </w:pPr>
            <w:r>
              <w:rPr>
                <w:b w:val="0"/>
                <w:sz w:val="20"/>
              </w:rPr>
              <w:t>项目成员权限；自动执行另依赖 Relay</w:t>
            </w:r>
          </w:p>
        </w:tc>
      </w:tr>
      <w:tr>
        <w:trPr>
          <w:cantSplit/>
        </w:trPr>
        <w:tc>
          <w:tcPr>
            <w:tcW w:type="dxa" w:w="2948"/>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integration.relay</w:t>
            </w:r>
            <w:r>
              <w:rPr>
                <w:b w:val="0"/>
                <w:sz w:val="20"/>
              </w:rPr>
            </w:r>
          </w:p>
        </w:tc>
        <w:tc>
          <w:tcPr>
            <w:tcW w:type="dxa" w:w="2551"/>
            <w:vAlign w:val="center"/>
            <w:tcMar>
              <w:top w:w="90" w:type="dxa"/>
              <w:bottom w:w="90" w:type="dxa"/>
              <w:left w:w="100" w:type="dxa"/>
              <w:right w:w="100" w:type="dxa"/>
            </w:tcMar>
          </w:tcPr>
          <w:p>
            <w:pPr>
              <w:keepNext w:val="0"/>
              <w:spacing w:after="0" w:line="264" w:lineRule="auto"/>
            </w:pPr>
            <w:r>
              <w:rPr>
                <w:b w:val="0"/>
                <w:sz w:val="20"/>
              </w:rPr>
              <w:t>AI 修复与 Relay 执行</w:t>
            </w:r>
          </w:p>
        </w:tc>
        <w:tc>
          <w:tcPr>
            <w:tcW w:type="dxa" w:w="4139"/>
            <w:vAlign w:val="center"/>
            <w:tcMar>
              <w:top w:w="90" w:type="dxa"/>
              <w:bottom w:w="90" w:type="dxa"/>
              <w:left w:w="100" w:type="dxa"/>
              <w:right w:w="100" w:type="dxa"/>
            </w:tcMar>
          </w:tcPr>
          <w:p>
            <w:pPr>
              <w:keepNext w:val="0"/>
              <w:spacing w:after="0" w:line="264" w:lineRule="auto"/>
            </w:pPr>
            <w:r>
              <w:rPr>
                <w:b w:val="0"/>
                <w:sz w:val="20"/>
              </w:rPr>
              <w:t>配置工作室专属连接与项目映射</w:t>
            </w:r>
          </w:p>
        </w:tc>
      </w:tr>
      <w:tr>
        <w:trPr>
          <w:cantSplit/>
        </w:trPr>
        <w:tc>
          <w:tcPr>
            <w:tcW w:type="dxa" w:w="2948"/>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integration.qingyu</w:t>
            </w:r>
            <w:r>
              <w:rPr>
                <w:b w:val="0"/>
                <w:sz w:val="20"/>
              </w:rPr>
            </w:r>
          </w:p>
        </w:tc>
        <w:tc>
          <w:tcPr>
            <w:tcW w:type="dxa" w:w="2551"/>
            <w:vAlign w:val="center"/>
            <w:tcMar>
              <w:top w:w="90" w:type="dxa"/>
              <w:bottom w:w="90" w:type="dxa"/>
              <w:left w:w="100" w:type="dxa"/>
              <w:right w:w="100" w:type="dxa"/>
            </w:tcMar>
            <w:shd w:fill="F5F7FA"/>
          </w:tcPr>
          <w:p>
            <w:pPr>
              <w:keepNext w:val="0"/>
              <w:spacing w:after="0" w:line="264" w:lineRule="auto"/>
            </w:pPr>
            <w:r>
              <w:rPr>
                <w:b w:val="0"/>
                <w:sz w:val="20"/>
              </w:rPr>
              <w:t>轻语导入和同步</w:t>
            </w:r>
          </w:p>
        </w:tc>
        <w:tc>
          <w:tcPr>
            <w:tcW w:type="dxa" w:w="4139"/>
            <w:vAlign w:val="center"/>
            <w:tcMar>
              <w:top w:w="90" w:type="dxa"/>
              <w:bottom w:w="90" w:type="dxa"/>
              <w:left w:w="100" w:type="dxa"/>
              <w:right w:w="100" w:type="dxa"/>
            </w:tcMar>
            <w:shd w:fill="F5F7FA"/>
          </w:tcPr>
          <w:p>
            <w:pPr>
              <w:keepNext w:val="0"/>
              <w:spacing w:after="0" w:line="264" w:lineRule="auto"/>
            </w:pPr>
            <w:r>
              <w:rPr>
                <w:b w:val="0"/>
                <w:sz w:val="20"/>
              </w:rPr>
              <w:t>配置所属平台与个人或工作室凭据</w:t>
            </w:r>
          </w:p>
        </w:tc>
      </w:tr>
      <w:tr>
        <w:trPr>
          <w:cantSplit/>
        </w:trPr>
        <w:tc>
          <w:tcPr>
            <w:tcW w:type="dxa" w:w="2948"/>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build.single</w:t>
            </w:r>
            <w:r>
              <w:rPr>
                <w:b w:val="0"/>
                <w:sz w:val="20"/>
              </w:rPr>
            </w:r>
          </w:p>
        </w:tc>
        <w:tc>
          <w:tcPr>
            <w:tcW w:type="dxa" w:w="2551"/>
            <w:vAlign w:val="center"/>
            <w:tcMar>
              <w:top w:w="90" w:type="dxa"/>
              <w:bottom w:w="90" w:type="dxa"/>
              <w:left w:w="100" w:type="dxa"/>
              <w:right w:w="100" w:type="dxa"/>
            </w:tcMar>
          </w:tcPr>
          <w:p>
            <w:pPr>
              <w:keepNext w:val="0"/>
              <w:spacing w:after="0" w:line="264" w:lineRule="auto"/>
            </w:pPr>
            <w:r>
              <w:rPr>
                <w:b w:val="0"/>
                <w:sz w:val="20"/>
              </w:rPr>
              <w:t>单次打包</w:t>
            </w:r>
          </w:p>
        </w:tc>
        <w:tc>
          <w:tcPr>
            <w:tcW w:type="dxa" w:w="4139"/>
            <w:vAlign w:val="center"/>
            <w:tcMar>
              <w:top w:w="90" w:type="dxa"/>
              <w:bottom w:w="90" w:type="dxa"/>
              <w:left w:w="100" w:type="dxa"/>
              <w:right w:w="100" w:type="dxa"/>
            </w:tcMar>
          </w:tcPr>
          <w:p>
            <w:pPr>
              <w:keepNext w:val="0"/>
              <w:spacing w:after="0" w:line="264" w:lineRule="auto"/>
            </w:pPr>
            <w:r>
              <w:rPr>
                <w:b w:val="0"/>
                <w:sz w:val="20"/>
              </w:rPr>
              <w:t>构建适配器、项目和执行配额</w:t>
            </w:r>
          </w:p>
        </w:tc>
      </w:tr>
      <w:tr>
        <w:trPr>
          <w:cantSplit/>
        </w:trPr>
        <w:tc>
          <w:tcPr>
            <w:tcW w:type="dxa" w:w="2948"/>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package.download</w:t>
            </w:r>
            <w:r>
              <w:rPr>
                <w:b w:val="0"/>
                <w:sz w:val="20"/>
              </w:rPr>
            </w:r>
          </w:p>
        </w:tc>
        <w:tc>
          <w:tcPr>
            <w:tcW w:type="dxa" w:w="2551"/>
            <w:vAlign w:val="center"/>
            <w:tcMar>
              <w:top w:w="90" w:type="dxa"/>
              <w:bottom w:w="90" w:type="dxa"/>
              <w:left w:w="100" w:type="dxa"/>
              <w:right w:w="100" w:type="dxa"/>
            </w:tcMar>
            <w:shd w:fill="F5F7FA"/>
          </w:tcPr>
          <w:p>
            <w:pPr>
              <w:keepNext w:val="0"/>
              <w:spacing w:after="0" w:line="264" w:lineRule="auto"/>
            </w:pPr>
            <w:r>
              <w:rPr>
                <w:b w:val="0"/>
                <w:sz w:val="20"/>
              </w:rPr>
              <w:t>查看和下载本项目产物</w:t>
            </w:r>
          </w:p>
        </w:tc>
        <w:tc>
          <w:tcPr>
            <w:tcW w:type="dxa" w:w="4139"/>
            <w:vAlign w:val="center"/>
            <w:tcMar>
              <w:top w:w="90" w:type="dxa"/>
              <w:bottom w:w="90" w:type="dxa"/>
              <w:left w:w="100" w:type="dxa"/>
              <w:right w:w="100" w:type="dxa"/>
            </w:tcMar>
            <w:shd w:fill="F5F7FA"/>
          </w:tcPr>
          <w:p>
            <w:pPr>
              <w:keepNext w:val="0"/>
              <w:spacing w:after="0" w:line="264" w:lineRule="auto"/>
            </w:pPr>
            <w:r>
              <w:rPr>
                <w:b w:val="0"/>
                <w:sz w:val="20"/>
              </w:rPr>
              <w:t>产物授权，与是否允许发起构建分开</w:t>
            </w:r>
          </w:p>
        </w:tc>
      </w:tr>
      <w:tr>
        <w:trPr>
          <w:cantSplit/>
        </w:trPr>
        <w:tc>
          <w:tcPr>
            <w:tcW w:type="dxa" w:w="2948"/>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upload.existing</w:t>
            </w:r>
            <w:r>
              <w:rPr>
                <w:b w:val="0"/>
                <w:sz w:val="20"/>
              </w:rPr>
            </w:r>
          </w:p>
        </w:tc>
        <w:tc>
          <w:tcPr>
            <w:tcW w:type="dxa" w:w="2551"/>
            <w:vAlign w:val="center"/>
            <w:tcMar>
              <w:top w:w="90" w:type="dxa"/>
              <w:bottom w:w="90" w:type="dxa"/>
              <w:left w:w="100" w:type="dxa"/>
              <w:right w:w="100" w:type="dxa"/>
            </w:tcMar>
          </w:tcPr>
          <w:p>
            <w:pPr>
              <w:keepNext w:val="0"/>
              <w:spacing w:after="0" w:line="264" w:lineRule="auto"/>
            </w:pPr>
            <w:r>
              <w:rPr>
                <w:b w:val="0"/>
                <w:sz w:val="20"/>
              </w:rPr>
              <w:t>上传已有包</w:t>
            </w:r>
          </w:p>
        </w:tc>
        <w:tc>
          <w:tcPr>
            <w:tcW w:type="dxa" w:w="4139"/>
            <w:vAlign w:val="center"/>
            <w:tcMar>
              <w:top w:w="90" w:type="dxa"/>
              <w:bottom w:w="90" w:type="dxa"/>
              <w:left w:w="100" w:type="dxa"/>
              <w:right w:w="100" w:type="dxa"/>
            </w:tcMar>
          </w:tcPr>
          <w:p>
            <w:pPr>
              <w:keepNext w:val="0"/>
              <w:spacing w:after="0" w:line="264" w:lineRule="auto"/>
            </w:pPr>
            <w:r>
              <w:rPr>
                <w:b w:val="0"/>
                <w:sz w:val="20"/>
              </w:rPr>
              <w:t>上传适配器和经过授权的来源</w:t>
            </w:r>
          </w:p>
        </w:tc>
      </w:tr>
      <w:tr>
        <w:trPr>
          <w:cantSplit/>
        </w:trPr>
        <w:tc>
          <w:tcPr>
            <w:tcW w:type="dxa" w:w="2948"/>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upload.incremental</w:t>
            </w:r>
            <w:r>
              <w:rPr>
                <w:b w:val="0"/>
                <w:sz w:val="20"/>
              </w:rPr>
            </w:r>
          </w:p>
        </w:tc>
        <w:tc>
          <w:tcPr>
            <w:tcW w:type="dxa" w:w="2551"/>
            <w:vAlign w:val="center"/>
            <w:tcMar>
              <w:top w:w="90" w:type="dxa"/>
              <w:bottom w:w="90" w:type="dxa"/>
              <w:left w:w="100" w:type="dxa"/>
              <w:right w:w="100" w:type="dxa"/>
            </w:tcMar>
            <w:shd w:fill="F5F7FA"/>
          </w:tcPr>
          <w:p>
            <w:pPr>
              <w:keepNext w:val="0"/>
              <w:spacing w:after="0" w:line="264" w:lineRule="auto"/>
            </w:pPr>
            <w:r>
              <w:rPr>
                <w:b w:val="0"/>
                <w:sz w:val="20"/>
              </w:rPr>
              <w:t>上传已有增量包</w:t>
            </w:r>
          </w:p>
        </w:tc>
        <w:tc>
          <w:tcPr>
            <w:tcW w:type="dxa" w:w="4139"/>
            <w:vAlign w:val="center"/>
            <w:tcMar>
              <w:top w:w="90" w:type="dxa"/>
              <w:bottom w:w="90" w:type="dxa"/>
              <w:left w:w="100" w:type="dxa"/>
              <w:right w:w="100" w:type="dxa"/>
            </w:tcMar>
            <w:shd w:fill="F5F7FA"/>
          </w:tcPr>
          <w:p>
            <w:pPr>
              <w:keepNext w:val="0"/>
              <w:spacing w:after="0" w:line="264" w:lineRule="auto"/>
            </w:pPr>
            <w:r>
              <w:rPr>
                <w:b w:val="0"/>
                <w:sz w:val="20"/>
              </w:rPr>
              <w:t>增量格式兼容校验，不等于进行增量构建</w:t>
            </w:r>
          </w:p>
        </w:tc>
      </w:tr>
      <w:tr>
        <w:trPr>
          <w:cantSplit/>
        </w:trPr>
        <w:tc>
          <w:tcPr>
            <w:tcW w:type="dxa" w:w="2948"/>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build_upload.single</w:t>
            </w:r>
            <w:r>
              <w:rPr>
                <w:b w:val="0"/>
                <w:sz w:val="20"/>
              </w:rPr>
            </w:r>
          </w:p>
        </w:tc>
        <w:tc>
          <w:tcPr>
            <w:tcW w:type="dxa" w:w="2551"/>
            <w:vAlign w:val="center"/>
            <w:tcMar>
              <w:top w:w="90" w:type="dxa"/>
              <w:bottom w:w="90" w:type="dxa"/>
              <w:left w:w="100" w:type="dxa"/>
              <w:right w:w="100" w:type="dxa"/>
            </w:tcMar>
          </w:tcPr>
          <w:p>
            <w:pPr>
              <w:keepNext w:val="0"/>
              <w:spacing w:after="0" w:line="264" w:lineRule="auto"/>
            </w:pPr>
            <w:r>
              <w:rPr>
                <w:b w:val="0"/>
                <w:sz w:val="20"/>
              </w:rPr>
              <w:t>单次打包后上传</w:t>
            </w:r>
          </w:p>
        </w:tc>
        <w:tc>
          <w:tcPr>
            <w:tcW w:type="dxa" w:w="4139"/>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build.single</w:t>
            </w:r>
            <w:r>
              <w:rPr>
                <w:b w:val="0"/>
                <w:sz w:val="20"/>
              </w:rPr>
              <w:t xml:space="preserve"> 和对应上传能力；绑定本次产物</w:t>
            </w:r>
          </w:p>
        </w:tc>
      </w:tr>
      <w:tr>
        <w:trPr>
          <w:cantSplit/>
        </w:trPr>
        <w:tc>
          <w:tcPr>
            <w:tcW w:type="dxa" w:w="2948"/>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build_upload.automatic</w:t>
            </w:r>
            <w:r>
              <w:rPr>
                <w:b w:val="0"/>
                <w:sz w:val="20"/>
              </w:rPr>
            </w:r>
          </w:p>
        </w:tc>
        <w:tc>
          <w:tcPr>
            <w:tcW w:type="dxa" w:w="2551"/>
            <w:vAlign w:val="center"/>
            <w:tcMar>
              <w:top w:w="90" w:type="dxa"/>
              <w:bottom w:w="90" w:type="dxa"/>
              <w:left w:w="100" w:type="dxa"/>
              <w:right w:w="100" w:type="dxa"/>
            </w:tcMar>
            <w:shd w:fill="F5F7FA"/>
          </w:tcPr>
          <w:p>
            <w:pPr>
              <w:keepNext w:val="0"/>
              <w:spacing w:after="0" w:line="264" w:lineRule="auto"/>
            </w:pPr>
            <w:r>
              <w:rPr>
                <w:b w:val="0"/>
                <w:sz w:val="20"/>
              </w:rPr>
              <w:t>定时或事件驱动打包上传</w:t>
            </w:r>
          </w:p>
        </w:tc>
        <w:tc>
          <w:tcPr>
            <w:tcW w:type="dxa" w:w="4139"/>
            <w:vAlign w:val="center"/>
            <w:tcMar>
              <w:top w:w="90" w:type="dxa"/>
              <w:bottom w:w="90" w:type="dxa"/>
              <w:left w:w="100" w:type="dxa"/>
              <w:right w:w="100" w:type="dxa"/>
            </w:tcMar>
            <w:shd w:fill="F5F7FA"/>
          </w:tcPr>
          <w:p>
            <w:pPr>
              <w:keepNext w:val="0"/>
              <w:spacing w:after="0" w:line="264" w:lineRule="auto"/>
            </w:pPr>
            <w:r>
              <w:rPr>
                <w:b w:val="0"/>
                <w:sz w:val="20"/>
              </w:rPr>
              <w:t>单次流水线能力、触发规则、去重与配额</w:t>
            </w:r>
          </w:p>
        </w:tc>
      </w:tr>
      <w:tr>
        <w:trPr>
          <w:cantSplit/>
        </w:trPr>
        <w:tc>
          <w:tcPr>
            <w:tcW w:type="dxa" w:w="2948"/>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build.incremental</w:t>
            </w:r>
            <w:r>
              <w:rPr>
                <w:b w:val="0"/>
                <w:sz w:val="20"/>
              </w:rPr>
            </w:r>
          </w:p>
        </w:tc>
        <w:tc>
          <w:tcPr>
            <w:tcW w:type="dxa" w:w="2551"/>
            <w:vAlign w:val="center"/>
            <w:tcMar>
              <w:top w:w="90" w:type="dxa"/>
              <w:bottom w:w="90" w:type="dxa"/>
              <w:left w:w="100" w:type="dxa"/>
              <w:right w:w="100" w:type="dxa"/>
            </w:tcMar>
          </w:tcPr>
          <w:p>
            <w:pPr>
              <w:keepNext w:val="0"/>
              <w:spacing w:after="0" w:line="264" w:lineRule="auto"/>
            </w:pPr>
            <w:r>
              <w:rPr>
                <w:b w:val="0"/>
                <w:sz w:val="20"/>
              </w:rPr>
              <w:t>真正的增量构建</w:t>
            </w:r>
          </w:p>
        </w:tc>
        <w:tc>
          <w:tcPr>
            <w:tcW w:type="dxa" w:w="4139"/>
            <w:vAlign w:val="center"/>
            <w:tcMar>
              <w:top w:w="90" w:type="dxa"/>
              <w:bottom w:w="90" w:type="dxa"/>
              <w:left w:w="100" w:type="dxa"/>
              <w:right w:w="100" w:type="dxa"/>
            </w:tcMar>
          </w:tcPr>
          <w:p>
            <w:pPr>
              <w:keepNext w:val="0"/>
              <w:spacing w:after="0" w:line="264" w:lineRule="auto"/>
            </w:pPr>
            <w:r>
              <w:rPr>
                <w:b w:val="0"/>
                <w:sz w:val="20"/>
              </w:rPr>
              <w:t>执行器支持、可信基线与兼容性证据</w:t>
            </w:r>
          </w:p>
        </w:tc>
      </w:tr>
    </w:tbl>
    <w:p>
      <w:pPr>
        <w:spacing w:after="20"/>
      </w:pPr>
    </w:p>
    <w:p>
      <w:r>
        <w:t>Android、Windows、iOS 是构建或上传适配器声明的支持平台，不应把每一种平台都做成全局硬编码分支。当前自动打包上传路径存在 Android 约束，已有 iOS ZIP 上传应作为独立能力保留，不能因显示 iOS 选项就表示具备 iOS 构建机。</w:t>
      </w:r>
    </w:p>
    <w:p>
      <w:pPr>
        <w:pStyle w:val="Heading2"/>
      </w:pPr>
      <w:r>
        <w:t>6 2 三种工作室配置示例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515"/>
        <w:gridCol w:w="2438"/>
        <w:gridCol w:w="2268"/>
      </w:tblGrid>
      <w:tr>
        <w:trPr>
          <w:cantSplit/>
          <w:tblHeader/>
        </w:trPr>
        <w:tc>
          <w:tcPr>
            <w:tcW w:type="dxa" w:w="1417"/>
            <w:vAlign w:val="center"/>
            <w:tcMar>
              <w:top w:w="90" w:type="dxa"/>
              <w:bottom w:w="90" w:type="dxa"/>
              <w:left w:w="100" w:type="dxa"/>
              <w:right w:w="100" w:type="dxa"/>
            </w:tcMar>
            <w:shd w:fill="DDEBF7"/>
          </w:tcPr>
          <w:p>
            <w:pPr>
              <w:keepNext/>
              <w:spacing w:after="0" w:line="264" w:lineRule="auto"/>
            </w:pPr>
            <w:r>
              <w:rPr>
                <w:b/>
                <w:sz w:val="20"/>
              </w:rPr>
              <w:t>能力</w:t>
            </w:r>
          </w:p>
        </w:tc>
        <w:tc>
          <w:tcPr>
            <w:tcW w:type="dxa" w:w="3515"/>
            <w:vAlign w:val="center"/>
            <w:tcMar>
              <w:top w:w="90" w:type="dxa"/>
              <w:bottom w:w="90" w:type="dxa"/>
              <w:left w:w="100" w:type="dxa"/>
              <w:right w:w="100" w:type="dxa"/>
            </w:tcMar>
            <w:shd w:fill="DDEBF7"/>
          </w:tcPr>
          <w:p>
            <w:pPr>
              <w:keepNext/>
              <w:spacing w:after="0" w:line="264" w:lineRule="auto"/>
            </w:pPr>
            <w:r>
              <w:rPr>
                <w:b/>
                <w:sz w:val="20"/>
              </w:rPr>
              <w:t>A 现有完整协作</w:t>
            </w:r>
          </w:p>
        </w:tc>
        <w:tc>
          <w:tcPr>
            <w:tcW w:type="dxa" w:w="2438"/>
            <w:vAlign w:val="center"/>
            <w:tcMar>
              <w:top w:w="90" w:type="dxa"/>
              <w:bottom w:w="90" w:type="dxa"/>
              <w:left w:w="100" w:type="dxa"/>
              <w:right w:w="100" w:type="dxa"/>
            </w:tcMar>
            <w:shd w:fill="DDEBF7"/>
          </w:tcPr>
          <w:p>
            <w:pPr>
              <w:keepNext/>
              <w:spacing w:after="0" w:line="264" w:lineRule="auto"/>
            </w:pPr>
            <w:r>
              <w:rPr>
                <w:b/>
                <w:sz w:val="20"/>
              </w:rPr>
              <w:t>B 只做 QA</w:t>
            </w:r>
          </w:p>
        </w:tc>
        <w:tc>
          <w:tcPr>
            <w:tcW w:type="dxa" w:w="2268"/>
            <w:vAlign w:val="center"/>
            <w:tcMar>
              <w:top w:w="90" w:type="dxa"/>
              <w:bottom w:w="90" w:type="dxa"/>
              <w:left w:w="100" w:type="dxa"/>
              <w:right w:w="100" w:type="dxa"/>
            </w:tcMar>
            <w:shd w:fill="DDEBF7"/>
          </w:tcPr>
          <w:p>
            <w:pPr>
              <w:keepNext/>
              <w:spacing w:after="0" w:line="264" w:lineRule="auto"/>
            </w:pPr>
            <w:r>
              <w:rPr>
                <w:b/>
                <w:sz w:val="20"/>
              </w:rPr>
              <w:t>C QA 与手动发布</w:t>
            </w:r>
          </w:p>
        </w:tc>
      </w:tr>
      <w:tr>
        <w:trPr>
          <w:cantSplit/>
        </w:trPr>
        <w:tc>
          <w:tcPr>
            <w:tcW w:type="dxa" w:w="1417"/>
            <w:vAlign w:val="center"/>
            <w:tcMar>
              <w:top w:w="90" w:type="dxa"/>
              <w:bottom w:w="90" w:type="dxa"/>
              <w:left w:w="100" w:type="dxa"/>
              <w:right w:w="100" w:type="dxa"/>
            </w:tcMar>
          </w:tcPr>
          <w:p>
            <w:pPr>
              <w:keepNext w:val="0"/>
              <w:spacing w:after="0" w:line="264" w:lineRule="auto"/>
            </w:pPr>
            <w:r>
              <w:rPr>
                <w:b w:val="0"/>
                <w:sz w:val="20"/>
              </w:rPr>
              <w:t>Bug 与人工验收</w:t>
            </w:r>
          </w:p>
        </w:tc>
        <w:tc>
          <w:tcPr>
            <w:tcW w:type="dxa" w:w="3515"/>
            <w:vAlign w:val="center"/>
            <w:tcMar>
              <w:top w:w="90" w:type="dxa"/>
              <w:bottom w:w="90" w:type="dxa"/>
              <w:left w:w="100" w:type="dxa"/>
              <w:right w:w="100" w:type="dxa"/>
            </w:tcMar>
          </w:tcPr>
          <w:p>
            <w:pPr>
              <w:keepNext w:val="0"/>
              <w:spacing w:after="0" w:line="264" w:lineRule="auto"/>
            </w:pPr>
            <w:r>
              <w:rPr>
                <w:b w:val="0"/>
                <w:sz w:val="20"/>
              </w:rPr>
              <w:t>开</w:t>
            </w:r>
          </w:p>
        </w:tc>
        <w:tc>
          <w:tcPr>
            <w:tcW w:type="dxa" w:w="2438"/>
            <w:vAlign w:val="center"/>
            <w:tcMar>
              <w:top w:w="90" w:type="dxa"/>
              <w:bottom w:w="90" w:type="dxa"/>
              <w:left w:w="100" w:type="dxa"/>
              <w:right w:w="100" w:type="dxa"/>
            </w:tcMar>
          </w:tcPr>
          <w:p>
            <w:pPr>
              <w:keepNext w:val="0"/>
              <w:spacing w:after="0" w:line="264" w:lineRule="auto"/>
            </w:pPr>
            <w:r>
              <w:rPr>
                <w:b w:val="0"/>
                <w:sz w:val="20"/>
              </w:rPr>
              <w:t>开</w:t>
            </w:r>
          </w:p>
        </w:tc>
        <w:tc>
          <w:tcPr>
            <w:tcW w:type="dxa" w:w="2268"/>
            <w:vAlign w:val="center"/>
            <w:tcMar>
              <w:top w:w="90" w:type="dxa"/>
              <w:bottom w:w="90" w:type="dxa"/>
              <w:left w:w="100" w:type="dxa"/>
              <w:right w:w="100" w:type="dxa"/>
            </w:tcMar>
          </w:tcPr>
          <w:p>
            <w:pPr>
              <w:keepNext w:val="0"/>
              <w:spacing w:after="0" w:line="264" w:lineRule="auto"/>
            </w:pPr>
            <w:r>
              <w:rPr>
                <w:b w:val="0"/>
                <w:sz w:val="20"/>
              </w:rPr>
              <w:t>开</w:t>
            </w:r>
          </w:p>
        </w:tc>
      </w:tr>
      <w:tr>
        <w:trPr>
          <w:cantSplit/>
        </w:trPr>
        <w:tc>
          <w:tcPr>
            <w:tcW w:type="dxa" w:w="1417"/>
            <w:vAlign w:val="center"/>
            <w:tcMar>
              <w:top w:w="90" w:type="dxa"/>
              <w:bottom w:w="90" w:type="dxa"/>
              <w:left w:w="100" w:type="dxa"/>
              <w:right w:w="100" w:type="dxa"/>
            </w:tcMar>
            <w:shd w:fill="F5F7FA"/>
          </w:tcPr>
          <w:p>
            <w:pPr>
              <w:keepNext w:val="0"/>
              <w:spacing w:after="0" w:line="264" w:lineRule="auto"/>
            </w:pPr>
            <w:r>
              <w:rPr>
                <w:b w:val="0"/>
                <w:sz w:val="20"/>
              </w:rPr>
              <w:t>制作任务和 Relay</w:t>
            </w:r>
          </w:p>
        </w:tc>
        <w:tc>
          <w:tcPr>
            <w:tcW w:type="dxa" w:w="3515"/>
            <w:vAlign w:val="center"/>
            <w:tcMar>
              <w:top w:w="90" w:type="dxa"/>
              <w:bottom w:w="90" w:type="dxa"/>
              <w:left w:w="100" w:type="dxa"/>
              <w:right w:w="100" w:type="dxa"/>
            </w:tcMar>
            <w:shd w:fill="F5F7FA"/>
          </w:tcPr>
          <w:p>
            <w:pPr>
              <w:keepNext w:val="0"/>
              <w:spacing w:after="0" w:line="264" w:lineRule="auto"/>
            </w:pPr>
            <w:r>
              <w:rPr>
                <w:b w:val="0"/>
                <w:sz w:val="20"/>
              </w:rPr>
              <w:t>按现有配置</w:t>
            </w:r>
          </w:p>
        </w:tc>
        <w:tc>
          <w:tcPr>
            <w:tcW w:type="dxa" w:w="2438"/>
            <w:vAlign w:val="center"/>
            <w:tcMar>
              <w:top w:w="90" w:type="dxa"/>
              <w:bottom w:w="90" w:type="dxa"/>
              <w:left w:w="100" w:type="dxa"/>
              <w:right w:w="100" w:type="dxa"/>
            </w:tcMar>
            <w:shd w:fill="F5F7FA"/>
          </w:tcPr>
          <w:p>
            <w:pPr>
              <w:keepNext w:val="0"/>
              <w:spacing w:after="0" w:line="264" w:lineRule="auto"/>
            </w:pPr>
            <w:r>
              <w:rPr>
                <w:b w:val="0"/>
                <w:sz w:val="20"/>
              </w:rPr>
              <w:t>关</w:t>
            </w:r>
          </w:p>
        </w:tc>
        <w:tc>
          <w:tcPr>
            <w:tcW w:type="dxa" w:w="2268"/>
            <w:vAlign w:val="center"/>
            <w:tcMar>
              <w:top w:w="90" w:type="dxa"/>
              <w:bottom w:w="90" w:type="dxa"/>
              <w:left w:w="100" w:type="dxa"/>
              <w:right w:w="100" w:type="dxa"/>
            </w:tcMar>
            <w:shd w:fill="F5F7FA"/>
          </w:tcPr>
          <w:p>
            <w:pPr>
              <w:keepNext w:val="0"/>
              <w:spacing w:after="0" w:line="264" w:lineRule="auto"/>
            </w:pPr>
            <w:r>
              <w:rPr>
                <w:b w:val="0"/>
                <w:sz w:val="20"/>
              </w:rPr>
              <w:t>关</w:t>
            </w:r>
          </w:p>
        </w:tc>
      </w:tr>
      <w:tr>
        <w:trPr>
          <w:cantSplit/>
        </w:trPr>
        <w:tc>
          <w:tcPr>
            <w:tcW w:type="dxa" w:w="1417"/>
            <w:vAlign w:val="center"/>
            <w:tcMar>
              <w:top w:w="90" w:type="dxa"/>
              <w:bottom w:w="90" w:type="dxa"/>
              <w:left w:w="100" w:type="dxa"/>
              <w:right w:w="100" w:type="dxa"/>
            </w:tcMar>
          </w:tcPr>
          <w:p>
            <w:pPr>
              <w:keepNext w:val="0"/>
              <w:spacing w:after="0" w:line="264" w:lineRule="auto"/>
            </w:pPr>
            <w:r>
              <w:rPr>
                <w:b w:val="0"/>
                <w:sz w:val="20"/>
              </w:rPr>
              <w:t>单次打包</w:t>
            </w:r>
          </w:p>
        </w:tc>
        <w:tc>
          <w:tcPr>
            <w:tcW w:type="dxa" w:w="3515"/>
            <w:vAlign w:val="center"/>
            <w:tcMar>
              <w:top w:w="90" w:type="dxa"/>
              <w:bottom w:w="90" w:type="dxa"/>
              <w:left w:w="100" w:type="dxa"/>
              <w:right w:w="100" w:type="dxa"/>
            </w:tcMar>
          </w:tcPr>
          <w:p>
            <w:pPr>
              <w:keepNext w:val="0"/>
              <w:spacing w:after="0" w:line="264" w:lineRule="auto"/>
            </w:pPr>
            <w:r>
              <w:rPr>
                <w:b w:val="0"/>
                <w:sz w:val="20"/>
              </w:rPr>
              <w:t>开</w:t>
            </w:r>
          </w:p>
        </w:tc>
        <w:tc>
          <w:tcPr>
            <w:tcW w:type="dxa" w:w="2438"/>
            <w:vAlign w:val="center"/>
            <w:tcMar>
              <w:top w:w="90" w:type="dxa"/>
              <w:bottom w:w="90" w:type="dxa"/>
              <w:left w:w="100" w:type="dxa"/>
              <w:right w:w="100" w:type="dxa"/>
            </w:tcMar>
          </w:tcPr>
          <w:p>
            <w:pPr>
              <w:keepNext w:val="0"/>
              <w:spacing w:after="0" w:line="264" w:lineRule="auto"/>
            </w:pPr>
            <w:r>
              <w:rPr>
                <w:b w:val="0"/>
                <w:sz w:val="20"/>
              </w:rPr>
              <w:t>关</w:t>
            </w:r>
          </w:p>
        </w:tc>
        <w:tc>
          <w:tcPr>
            <w:tcW w:type="dxa" w:w="2268"/>
            <w:vAlign w:val="center"/>
            <w:tcMar>
              <w:top w:w="90" w:type="dxa"/>
              <w:bottom w:w="90" w:type="dxa"/>
              <w:left w:w="100" w:type="dxa"/>
              <w:right w:w="100" w:type="dxa"/>
            </w:tcMar>
          </w:tcPr>
          <w:p>
            <w:pPr>
              <w:keepNext w:val="0"/>
              <w:spacing w:after="0" w:line="264" w:lineRule="auto"/>
            </w:pPr>
            <w:r>
              <w:rPr>
                <w:b w:val="0"/>
                <w:sz w:val="20"/>
              </w:rPr>
              <w:t>开</w:t>
            </w:r>
          </w:p>
        </w:tc>
      </w:tr>
      <w:tr>
        <w:trPr>
          <w:cantSplit/>
        </w:trPr>
        <w:tc>
          <w:tcPr>
            <w:tcW w:type="dxa" w:w="1417"/>
            <w:vAlign w:val="center"/>
            <w:tcMar>
              <w:top w:w="90" w:type="dxa"/>
              <w:bottom w:w="90" w:type="dxa"/>
              <w:left w:w="100" w:type="dxa"/>
              <w:right w:w="100" w:type="dxa"/>
            </w:tcMar>
            <w:shd w:fill="F5F7FA"/>
          </w:tcPr>
          <w:p>
            <w:pPr>
              <w:keepNext w:val="0"/>
              <w:spacing w:after="0" w:line="264" w:lineRule="auto"/>
            </w:pPr>
            <w:r>
              <w:rPr>
                <w:b w:val="0"/>
                <w:sz w:val="20"/>
              </w:rPr>
              <w:t>已有包或增量包上传</w:t>
            </w:r>
          </w:p>
        </w:tc>
        <w:tc>
          <w:tcPr>
            <w:tcW w:type="dxa" w:w="3515"/>
            <w:vAlign w:val="center"/>
            <w:tcMar>
              <w:top w:w="90" w:type="dxa"/>
              <w:bottom w:w="90" w:type="dxa"/>
              <w:left w:w="100" w:type="dxa"/>
              <w:right w:w="100" w:type="dxa"/>
            </w:tcMar>
            <w:shd w:fill="F5F7FA"/>
          </w:tcPr>
          <w:p>
            <w:pPr>
              <w:keepNext w:val="0"/>
              <w:spacing w:after="0" w:line="264" w:lineRule="auto"/>
            </w:pPr>
            <w:r>
              <w:rPr>
                <w:b w:val="0"/>
                <w:sz w:val="20"/>
              </w:rPr>
              <w:t>开</w:t>
            </w:r>
          </w:p>
        </w:tc>
        <w:tc>
          <w:tcPr>
            <w:tcW w:type="dxa" w:w="2438"/>
            <w:vAlign w:val="center"/>
            <w:tcMar>
              <w:top w:w="90" w:type="dxa"/>
              <w:bottom w:w="90" w:type="dxa"/>
              <w:left w:w="100" w:type="dxa"/>
              <w:right w:w="100" w:type="dxa"/>
            </w:tcMar>
            <w:shd w:fill="F5F7FA"/>
          </w:tcPr>
          <w:p>
            <w:pPr>
              <w:keepNext w:val="0"/>
              <w:spacing w:after="0" w:line="264" w:lineRule="auto"/>
            </w:pPr>
            <w:r>
              <w:rPr>
                <w:b w:val="0"/>
                <w:sz w:val="20"/>
              </w:rPr>
              <w:t>关</w:t>
            </w:r>
          </w:p>
        </w:tc>
        <w:tc>
          <w:tcPr>
            <w:tcW w:type="dxa" w:w="2268"/>
            <w:vAlign w:val="center"/>
            <w:tcMar>
              <w:top w:w="90" w:type="dxa"/>
              <w:bottom w:w="90" w:type="dxa"/>
              <w:left w:w="100" w:type="dxa"/>
              <w:right w:w="100" w:type="dxa"/>
            </w:tcMar>
            <w:shd w:fill="F5F7FA"/>
          </w:tcPr>
          <w:p>
            <w:pPr>
              <w:keepNext w:val="0"/>
              <w:spacing w:after="0" w:line="264" w:lineRule="auto"/>
            </w:pPr>
            <w:r>
              <w:rPr>
                <w:b w:val="0"/>
                <w:sz w:val="20"/>
              </w:rPr>
              <w:t>开</w:t>
            </w:r>
          </w:p>
        </w:tc>
      </w:tr>
      <w:tr>
        <w:trPr>
          <w:cantSplit/>
        </w:trPr>
        <w:tc>
          <w:tcPr>
            <w:tcW w:type="dxa" w:w="1417"/>
            <w:vAlign w:val="center"/>
            <w:tcMar>
              <w:top w:w="90" w:type="dxa"/>
              <w:bottom w:w="90" w:type="dxa"/>
              <w:left w:w="100" w:type="dxa"/>
              <w:right w:w="100" w:type="dxa"/>
            </w:tcMar>
          </w:tcPr>
          <w:p>
            <w:pPr>
              <w:keepNext w:val="0"/>
              <w:spacing w:after="0" w:line="264" w:lineRule="auto"/>
            </w:pPr>
            <w:r>
              <w:rPr>
                <w:b w:val="0"/>
                <w:sz w:val="20"/>
              </w:rPr>
              <w:t>单次打包后上传</w:t>
            </w:r>
          </w:p>
        </w:tc>
        <w:tc>
          <w:tcPr>
            <w:tcW w:type="dxa" w:w="3515"/>
            <w:vAlign w:val="center"/>
            <w:tcMar>
              <w:top w:w="90" w:type="dxa"/>
              <w:bottom w:w="90" w:type="dxa"/>
              <w:left w:w="100" w:type="dxa"/>
              <w:right w:w="100" w:type="dxa"/>
            </w:tcMar>
          </w:tcPr>
          <w:p>
            <w:pPr>
              <w:keepNext w:val="0"/>
              <w:spacing w:after="0" w:line="264" w:lineRule="auto"/>
            </w:pPr>
            <w:r>
              <w:rPr>
                <w:b w:val="0"/>
                <w:sz w:val="20"/>
              </w:rPr>
              <w:t>开</w:t>
            </w:r>
          </w:p>
        </w:tc>
        <w:tc>
          <w:tcPr>
            <w:tcW w:type="dxa" w:w="2438"/>
            <w:vAlign w:val="center"/>
            <w:tcMar>
              <w:top w:w="90" w:type="dxa"/>
              <w:bottom w:w="90" w:type="dxa"/>
              <w:left w:w="100" w:type="dxa"/>
              <w:right w:w="100" w:type="dxa"/>
            </w:tcMar>
          </w:tcPr>
          <w:p>
            <w:pPr>
              <w:keepNext w:val="0"/>
              <w:spacing w:after="0" w:line="264" w:lineRule="auto"/>
            </w:pPr>
            <w:r>
              <w:rPr>
                <w:b w:val="0"/>
                <w:sz w:val="20"/>
              </w:rPr>
              <w:t>关</w:t>
            </w:r>
          </w:p>
        </w:tc>
        <w:tc>
          <w:tcPr>
            <w:tcW w:type="dxa" w:w="2268"/>
            <w:vAlign w:val="center"/>
            <w:tcMar>
              <w:top w:w="90" w:type="dxa"/>
              <w:bottom w:w="90" w:type="dxa"/>
              <w:left w:w="100" w:type="dxa"/>
              <w:right w:w="100" w:type="dxa"/>
            </w:tcMar>
          </w:tcPr>
          <w:p>
            <w:pPr>
              <w:keepNext w:val="0"/>
              <w:spacing w:after="0" w:line="264" w:lineRule="auto"/>
            </w:pPr>
            <w:r>
              <w:rPr>
                <w:b w:val="0"/>
                <w:sz w:val="20"/>
              </w:rPr>
              <w:t>开</w:t>
            </w:r>
          </w:p>
        </w:tc>
      </w:tr>
      <w:tr>
        <w:trPr>
          <w:cantSplit/>
        </w:trPr>
        <w:tc>
          <w:tcPr>
            <w:tcW w:type="dxa" w:w="1417"/>
            <w:vAlign w:val="center"/>
            <w:tcMar>
              <w:top w:w="90" w:type="dxa"/>
              <w:bottom w:w="90" w:type="dxa"/>
              <w:left w:w="100" w:type="dxa"/>
              <w:right w:w="100" w:type="dxa"/>
            </w:tcMar>
            <w:shd w:fill="F5F7FA"/>
          </w:tcPr>
          <w:p>
            <w:pPr>
              <w:keepNext w:val="0"/>
              <w:spacing w:after="0" w:line="264" w:lineRule="auto"/>
            </w:pPr>
            <w:r>
              <w:rPr>
                <w:b w:val="0"/>
                <w:sz w:val="20"/>
              </w:rPr>
              <w:t>自动触发打包上传</w:t>
            </w:r>
          </w:p>
        </w:tc>
        <w:tc>
          <w:tcPr>
            <w:tcW w:type="dxa" w:w="3515"/>
            <w:vAlign w:val="center"/>
            <w:tcMar>
              <w:top w:w="90" w:type="dxa"/>
              <w:bottom w:w="90" w:type="dxa"/>
              <w:left w:w="100" w:type="dxa"/>
              <w:right w:w="100" w:type="dxa"/>
            </w:tcMar>
            <w:shd w:fill="F5F7FA"/>
          </w:tcPr>
          <w:p>
            <w:pPr>
              <w:keepNext w:val="0"/>
              <w:spacing w:after="0" w:line="264" w:lineRule="auto"/>
            </w:pPr>
            <w:r>
              <w:rPr>
                <w:b w:val="0"/>
                <w:sz w:val="20"/>
              </w:rPr>
              <w:t>另行配置</w:t>
            </w:r>
          </w:p>
        </w:tc>
        <w:tc>
          <w:tcPr>
            <w:tcW w:type="dxa" w:w="2438"/>
            <w:vAlign w:val="center"/>
            <w:tcMar>
              <w:top w:w="90" w:type="dxa"/>
              <w:bottom w:w="90" w:type="dxa"/>
              <w:left w:w="100" w:type="dxa"/>
              <w:right w:w="100" w:type="dxa"/>
            </w:tcMar>
            <w:shd w:fill="F5F7FA"/>
          </w:tcPr>
          <w:p>
            <w:pPr>
              <w:keepNext w:val="0"/>
              <w:spacing w:after="0" w:line="264" w:lineRule="auto"/>
            </w:pPr>
            <w:r>
              <w:rPr>
                <w:b w:val="0"/>
                <w:sz w:val="20"/>
              </w:rPr>
              <w:t>关</w:t>
            </w:r>
          </w:p>
        </w:tc>
        <w:tc>
          <w:tcPr>
            <w:tcW w:type="dxa" w:w="2268"/>
            <w:vAlign w:val="center"/>
            <w:tcMar>
              <w:top w:w="90" w:type="dxa"/>
              <w:bottom w:w="90" w:type="dxa"/>
              <w:left w:w="100" w:type="dxa"/>
              <w:right w:w="100" w:type="dxa"/>
            </w:tcMar>
            <w:shd w:fill="F5F7FA"/>
          </w:tcPr>
          <w:p>
            <w:pPr>
              <w:keepNext w:val="0"/>
              <w:spacing w:after="0" w:line="264" w:lineRule="auto"/>
            </w:pPr>
            <w:r>
              <w:rPr>
                <w:b w:val="0"/>
                <w:sz w:val="20"/>
              </w:rPr>
              <w:t>关</w:t>
            </w:r>
          </w:p>
        </w:tc>
      </w:tr>
      <w:tr>
        <w:trPr>
          <w:cantSplit/>
        </w:trPr>
        <w:tc>
          <w:tcPr>
            <w:tcW w:type="dxa" w:w="1417"/>
            <w:vAlign w:val="center"/>
            <w:tcMar>
              <w:top w:w="90" w:type="dxa"/>
              <w:bottom w:w="90" w:type="dxa"/>
              <w:left w:w="100" w:type="dxa"/>
              <w:right w:w="100" w:type="dxa"/>
            </w:tcMar>
          </w:tcPr>
          <w:p>
            <w:pPr>
              <w:keepNext w:val="0"/>
              <w:spacing w:after="0" w:line="264" w:lineRule="auto"/>
            </w:pPr>
            <w:r>
              <w:rPr>
                <w:b w:val="0"/>
                <w:sz w:val="20"/>
              </w:rPr>
              <w:t>轻语</w:t>
            </w:r>
          </w:p>
        </w:tc>
        <w:tc>
          <w:tcPr>
            <w:tcW w:type="dxa" w:w="3515"/>
            <w:vAlign w:val="center"/>
            <w:tcMar>
              <w:top w:w="90" w:type="dxa"/>
              <w:bottom w:w="90" w:type="dxa"/>
              <w:left w:w="100" w:type="dxa"/>
              <w:right w:w="100" w:type="dxa"/>
            </w:tcMar>
          </w:tcPr>
          <w:p>
            <w:pPr>
              <w:keepNext w:val="0"/>
              <w:spacing w:after="0" w:line="264" w:lineRule="auto"/>
            </w:pPr>
            <w:r>
              <w:rPr>
                <w:b w:val="0"/>
                <w:sz w:val="20"/>
              </w:rPr>
              <w:t>按现有配置</w:t>
            </w:r>
          </w:p>
        </w:tc>
        <w:tc>
          <w:tcPr>
            <w:tcW w:type="dxa" w:w="2438"/>
            <w:vAlign w:val="center"/>
            <w:tcMar>
              <w:top w:w="90" w:type="dxa"/>
              <w:bottom w:w="90" w:type="dxa"/>
              <w:left w:w="100" w:type="dxa"/>
              <w:right w:w="100" w:type="dxa"/>
            </w:tcMar>
          </w:tcPr>
          <w:p>
            <w:pPr>
              <w:keepNext w:val="0"/>
              <w:spacing w:after="0" w:line="264" w:lineRule="auto"/>
            </w:pPr>
            <w:r>
              <w:rPr>
                <w:b w:val="0"/>
                <w:sz w:val="20"/>
              </w:rPr>
              <w:t>按需</w:t>
            </w:r>
          </w:p>
        </w:tc>
        <w:tc>
          <w:tcPr>
            <w:tcW w:type="dxa" w:w="2268"/>
            <w:vAlign w:val="center"/>
            <w:tcMar>
              <w:top w:w="90" w:type="dxa"/>
              <w:bottom w:w="90" w:type="dxa"/>
              <w:left w:w="100" w:type="dxa"/>
              <w:right w:w="100" w:type="dxa"/>
            </w:tcMar>
          </w:tcPr>
          <w:p>
            <w:pPr>
              <w:keepNext w:val="0"/>
              <w:spacing w:after="0" w:line="264" w:lineRule="auto"/>
            </w:pPr>
            <w:r>
              <w:rPr>
                <w:b w:val="0"/>
                <w:sz w:val="20"/>
              </w:rPr>
              <w:t>按需</w:t>
            </w:r>
          </w:p>
        </w:tc>
      </w:tr>
    </w:tbl>
    <w:p>
      <w:pPr>
        <w:spacing w:after="20"/>
      </w:pPr>
    </w:p>
    <w:p>
      <w:r>
        <w:t>A 的“开”表示迁移目标，需要从真实运行配置确认。源码中存在页面不证明该工作室已完成该能力的生产开通。新工作室默认只启用基础能力，不能自动继承 A 的平台账号、产品 ID、仓库和渠道。</w:t>
      </w:r>
    </w:p>
    <w:p>
      <w:pPr>
        <w:pStyle w:val="Heading2"/>
      </w:pPr>
      <w:r>
        <w:t>6 3 配置结构与生效规则</w:t>
      </w:r>
    </w:p>
    <w:p>
      <w:r>
        <w:t xml:space="preserve">建议 </w:t>
      </w:r>
      <w:r>
        <w:rPr>
          <w:rFonts w:ascii="Consolas" w:hAnsi="Consolas"/>
          <w:sz w:val="20"/>
        </w:rPr>
        <w:t>feature_catalog</w:t>
      </w:r>
      <w:r>
        <w:t xml:space="preserve"> 记录能力键、版本、依赖、支持平台、客户端最低版本和配置 schema；</w:t>
      </w:r>
      <w:r>
        <w:rPr>
          <w:rFonts w:ascii="Consolas" w:hAnsi="Consolas"/>
          <w:sz w:val="20"/>
        </w:rPr>
        <w:t>studio_features</w:t>
      </w:r>
      <w:r>
        <w:t xml:space="preserve"> 记录工作室授权、管理员启停、配置、修订号与变更人；</w:t>
      </w:r>
      <w:r>
        <w:rPr>
          <w:rFonts w:ascii="Consolas" w:hAnsi="Consolas"/>
          <w:sz w:val="20"/>
        </w:rPr>
        <w:t>project_feature_overrides</w:t>
      </w:r>
      <w:r>
        <w:t xml:space="preserve"> 只允许项目在工作室授权范围内进一步收紧。</w:t>
      </w:r>
    </w:p>
    <w:p>
      <w:r>
        <w:t>有效能力等于平台授权、工作室启用、项目允许、用户权限和运行条件同时满足。前端隐藏入口只是显示结果，后台必须再次执行相同校验。配置缺失、未知功能键或无法验证的旧配置默认拒绝新操作，并返回可理解的原因。</w:t>
      </w:r>
    </w:p>
    <w:p>
      <w:r>
        <w:t>建议配置示例：</w:t>
      </w:r>
    </w:p>
    <w:p>
      <w:pPr>
        <w:spacing w:line="259" w:lineRule="auto" w:after="160"/>
      </w:pPr>
      <w:r>
        <w:rPr>
          <w:sz w:val="19"/>
        </w:rPr>
        <w:t>{</w:t>
        <w:br/>
      </w:r>
      <w:r>
        <w:rPr>
          <w:sz w:val="19"/>
        </w:rPr>
        <w:t xml:space="preserve">  "accountId": "&lt;工作室UUID&gt;",</w:t>
        <w:br/>
      </w:r>
      <w:r>
        <w:rPr>
          <w:sz w:val="19"/>
        </w:rPr>
        <w:t xml:space="preserve">  "revision": 8,</w:t>
        <w:br/>
      </w:r>
      <w:r>
        <w:rPr>
          <w:sz w:val="19"/>
        </w:rPr>
        <w:t xml:space="preserve">  "features": {</w:t>
        <w:br/>
      </w:r>
      <w:r>
        <w:rPr>
          <w:sz w:val="19"/>
        </w:rPr>
        <w:t xml:space="preserve">    "qa.core": { "enabled": true },</w:t>
        <w:br/>
      </w:r>
      <w:r>
        <w:rPr>
          <w:sz w:val="19"/>
        </w:rPr>
        <w:t xml:space="preserve">    "build.single": { "enabled": true },</w:t>
        <w:br/>
      </w:r>
      <w:r>
        <w:rPr>
          <w:sz w:val="19"/>
        </w:rPr>
        <w:t xml:space="preserve">    "upload.incremental": { "enabled": true },</w:t>
        <w:br/>
      </w:r>
      <w:r>
        <w:rPr>
          <w:sz w:val="19"/>
        </w:rPr>
        <w:t xml:space="preserve">    "build_upload.single": { "enabled": true },</w:t>
        <w:br/>
      </w:r>
      <w:r>
        <w:rPr>
          <w:sz w:val="19"/>
        </w:rPr>
        <w:t xml:space="preserve">    "build_upload.automatic": { "enabled": false }</w:t>
        <w:br/>
      </w:r>
      <w:r>
        <w:rPr>
          <w:sz w:val="19"/>
        </w:rPr>
        <w:t xml:space="preserve">  },</w:t>
        <w:br/>
      </w:r>
      <w:r>
        <w:rPr>
          <w:sz w:val="19"/>
        </w:rPr>
        <w:t xml:space="preserve">  "limits": { "activeBuilds": 1, "activeUploads": 1 },</w:t>
        <w:br/>
      </w:r>
      <w:r>
        <w:rPr>
          <w:sz w:val="19"/>
        </w:rPr>
        <w:t xml:space="preserve">  "integrations": ["&lt;集成配置ID&gt;"]</w:t>
        <w:br/>
      </w:r>
      <w:r>
        <w:rPr>
          <w:sz w:val="19"/>
        </w:rPr>
        <w:t>}</w:t>
      </w:r>
    </w:p>
    <w:p>
      <w:r>
        <w:t>运行中关闭模块，应停止接收新作业；已排队作业在派发前重查配置并进入“配置已停用”的暂停状态。已经执行的构建允许安全结束并保存产物，最终对外发布必须重查发布权限和模块状态；正在进行的不可逆发布记录真实结果，不伪造取消成功。历史记录仍按基础访问权限可读。</w:t>
      </w:r>
    </w:p>
    <w:p>
      <w:r>
        <w:t xml:space="preserve">每次修改保存 </w:t>
      </w:r>
      <w:r>
        <w:rPr>
          <w:rFonts w:ascii="Consolas" w:hAnsi="Consolas"/>
          <w:sz w:val="20"/>
        </w:rPr>
        <w:t>expectedVersion</w:t>
      </w:r>
      <w:r>
        <w:t>、幂等键、修改前后差异和审计。配置更新推送修订号，客户端和服务端缓存失效；前端直接访问旧路由、MCP 或重放任务都不能绕过开关。先保存配置草稿，校验依赖与连接，再原子启用新修订。</w:t>
      </w:r>
    </w:p>
    <w:p>
      <w:pPr>
        <w:pStyle w:val="Heading1"/>
      </w:pPr>
      <w:r>
        <w:t>7 数据模型与存储改造</w:t>
      </w:r>
    </w:p>
    <w:p>
      <w:pPr>
        <w:pStyle w:val="Heading2"/>
      </w:pPr>
      <w:r>
        <w:t>7 1 控制目录和业务库职责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数据位置</w:t>
            </w:r>
          </w:p>
        </w:tc>
        <w:tc>
          <w:tcPr>
            <w:tcW w:type="dxa" w:w="3742"/>
            <w:vAlign w:val="center"/>
            <w:tcMar>
              <w:top w:w="90" w:type="dxa"/>
              <w:bottom w:w="90" w:type="dxa"/>
              <w:left w:w="100" w:type="dxa"/>
              <w:right w:w="100" w:type="dxa"/>
            </w:tcMar>
            <w:shd w:fill="DDEBF7"/>
          </w:tcPr>
          <w:p>
            <w:pPr>
              <w:keepNext/>
              <w:spacing w:after="0" w:line="264" w:lineRule="auto"/>
            </w:pPr>
            <w:r>
              <w:rPr>
                <w:b/>
                <w:sz w:val="20"/>
              </w:rPr>
              <w:t>建议数据对象</w:t>
            </w:r>
          </w:p>
        </w:tc>
        <w:tc>
          <w:tcPr>
            <w:tcW w:type="dxa" w:w="4082"/>
            <w:vAlign w:val="center"/>
            <w:tcMar>
              <w:top w:w="90" w:type="dxa"/>
              <w:bottom w:w="90" w:type="dxa"/>
              <w:left w:w="100" w:type="dxa"/>
              <w:right w:w="100" w:type="dxa"/>
            </w:tcMar>
            <w:shd w:fill="DDEBF7"/>
          </w:tcPr>
          <w:p>
            <w:pPr>
              <w:keepNext/>
              <w:spacing w:after="0" w:line="264" w:lineRule="auto"/>
            </w:pPr>
            <w:r>
              <w:rPr>
                <w:b/>
                <w:sz w:val="20"/>
              </w:rPr>
              <w:t>设计要求</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控制目录</w:t>
            </w:r>
          </w:p>
        </w:tc>
        <w:tc>
          <w:tcPr>
            <w:tcW w:type="dxa" w:w="374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studios</w:t>
            </w:r>
            <w:r>
              <w:rPr>
                <w:b w:val="0"/>
                <w:sz w:val="20"/>
              </w:rPr>
              <w:t>、</w:t>
            </w:r>
            <w:r>
              <w:rPr>
                <w:rFonts w:ascii="Consolas" w:hAnsi="Consolas"/>
                <w:b w:val="0"/>
                <w:sz w:val="20"/>
              </w:rPr>
              <w:t>studio_instances</w:t>
            </w:r>
            <w:r>
              <w:rPr>
                <w:b w:val="0"/>
                <w:sz w:val="20"/>
              </w:rPr>
            </w:r>
          </w:p>
        </w:tc>
        <w:tc>
          <w:tcPr>
            <w:tcW w:type="dxa" w:w="4082"/>
            <w:vAlign w:val="center"/>
            <w:tcMar>
              <w:top w:w="90" w:type="dxa"/>
              <w:bottom w:w="90" w:type="dxa"/>
              <w:left w:w="100" w:type="dxa"/>
              <w:right w:w="100" w:type="dxa"/>
            </w:tcMar>
          </w:tcPr>
          <w:p>
            <w:pPr>
              <w:keepNext w:val="0"/>
              <w:spacing w:after="0" w:line="264" w:lineRule="auto"/>
            </w:pPr>
            <w:r>
              <w:rPr>
                <w:b w:val="0"/>
                <w:sz w:val="20"/>
              </w:rPr>
              <w:t>ID、状态、实例地址、部署和 schema 版本；路径只允许管理员配置</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控制目录</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principals</w:t>
            </w:r>
            <w:r>
              <w:rPr>
                <w:b w:val="0"/>
                <w:sz w:val="20"/>
              </w:rPr>
              <w:t>、</w:t>
            </w:r>
            <w:r>
              <w:rPr>
                <w:rFonts w:ascii="Consolas" w:hAnsi="Consolas"/>
                <w:b w:val="0"/>
                <w:sz w:val="20"/>
              </w:rPr>
              <w:t>studio_memberships</w:t>
            </w:r>
            <w:r>
              <w:rPr>
                <w:b w:val="0"/>
                <w:sz w:val="20"/>
              </w:rPr>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可验证身份与工作室成员关系；保留本地用户映射</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控制目录</w:t>
            </w:r>
          </w:p>
        </w:tc>
        <w:tc>
          <w:tcPr>
            <w:tcW w:type="dxa" w:w="374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studio_features</w:t>
            </w:r>
            <w:r>
              <w:rPr>
                <w:b w:val="0"/>
                <w:sz w:val="20"/>
              </w:rPr>
              <w:t>、</w:t>
            </w:r>
            <w:r>
              <w:rPr>
                <w:rFonts w:ascii="Consolas" w:hAnsi="Consolas"/>
                <w:b w:val="0"/>
                <w:sz w:val="20"/>
              </w:rPr>
              <w:t>feature_catalog</w:t>
            </w:r>
            <w:r>
              <w:rPr>
                <w:b w:val="0"/>
                <w:sz w:val="20"/>
              </w:rPr>
            </w:r>
          </w:p>
        </w:tc>
        <w:tc>
          <w:tcPr>
            <w:tcW w:type="dxa" w:w="4082"/>
            <w:vAlign w:val="center"/>
            <w:tcMar>
              <w:top w:w="90" w:type="dxa"/>
              <w:bottom w:w="90" w:type="dxa"/>
              <w:left w:w="100" w:type="dxa"/>
              <w:right w:w="100" w:type="dxa"/>
            </w:tcMar>
          </w:tcPr>
          <w:p>
            <w:pPr>
              <w:keepNext w:val="0"/>
              <w:spacing w:after="0" w:line="264" w:lineRule="auto"/>
            </w:pPr>
            <w:r>
              <w:rPr>
                <w:b w:val="0"/>
                <w:sz w:val="20"/>
              </w:rPr>
              <w:t>功能授权、配置版本和支持条件</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业务库</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 xml:space="preserve">现有 </w:t>
            </w:r>
            <w:r>
              <w:rPr>
                <w:rFonts w:ascii="Consolas" w:hAnsi="Consolas"/>
                <w:b w:val="0"/>
                <w:sz w:val="20"/>
              </w:rPr>
              <w:t>accounts</w:t>
            </w:r>
            <w:r>
              <w:rPr>
                <w:b w:val="0"/>
                <w:sz w:val="20"/>
              </w:rPr>
              <w:t>、</w:t>
            </w:r>
            <w:r>
              <w:rPr>
                <w:rFonts w:ascii="Consolas" w:hAnsi="Consolas"/>
                <w:b w:val="0"/>
                <w:sz w:val="20"/>
              </w:rPr>
              <w:t>users</w:t>
            </w:r>
            <w:r>
              <w:rPr>
                <w:b w:val="0"/>
                <w:sz w:val="20"/>
              </w:rPr>
              <w:t>、</w:t>
            </w:r>
            <w:r>
              <w:rPr>
                <w:rFonts w:ascii="Consolas" w:hAnsi="Consolas"/>
                <w:b w:val="0"/>
                <w:sz w:val="20"/>
              </w:rPr>
              <w:t>projects</w:t>
            </w:r>
            <w:r>
              <w:rPr>
                <w:b w:val="0"/>
                <w:sz w:val="20"/>
              </w:rPr>
              <w:t xml:space="preserve"> 与 Bug 表</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保留 ID、外键、版本和审计；业务仍归本工作室</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业务库</w:t>
            </w:r>
          </w:p>
        </w:tc>
        <w:tc>
          <w:tcPr>
            <w:tcW w:type="dxa" w:w="374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integration_configs</w:t>
            </w:r>
            <w:r>
              <w:rPr>
                <w:b w:val="0"/>
                <w:sz w:val="20"/>
              </w:rPr>
              <w:t>、</w:t>
            </w:r>
            <w:r>
              <w:rPr>
                <w:rFonts w:ascii="Consolas" w:hAnsi="Consolas"/>
                <w:b w:val="0"/>
                <w:sz w:val="20"/>
              </w:rPr>
              <w:t>project_integrations</w:t>
            </w:r>
            <w:r>
              <w:rPr>
                <w:b w:val="0"/>
                <w:sz w:val="20"/>
              </w:rPr>
            </w:r>
          </w:p>
        </w:tc>
        <w:tc>
          <w:tcPr>
            <w:tcW w:type="dxa" w:w="4082"/>
            <w:vAlign w:val="center"/>
            <w:tcMar>
              <w:top w:w="90" w:type="dxa"/>
              <w:bottom w:w="90" w:type="dxa"/>
              <w:left w:w="100" w:type="dxa"/>
              <w:right w:w="100" w:type="dxa"/>
            </w:tcMar>
          </w:tcPr>
          <w:p>
            <w:pPr>
              <w:keepNext w:val="0"/>
              <w:spacing w:after="0" w:line="264" w:lineRule="auto"/>
            </w:pPr>
            <w:r>
              <w:rPr>
                <w:b w:val="0"/>
                <w:sz w:val="20"/>
              </w:rPr>
              <w:t xml:space="preserve">类型、项目、非敏感参数与 </w:t>
            </w:r>
            <w:r>
              <w:rPr>
                <w:rFonts w:ascii="Consolas" w:hAnsi="Consolas"/>
                <w:b w:val="0"/>
                <w:sz w:val="20"/>
              </w:rPr>
              <w:t>secretRef</w:t>
            </w:r>
            <w:r>
              <w:rPr>
                <w:b w:val="0"/>
                <w:sz w:val="20"/>
              </w:rPr>
              <w:t>；不保存可返回的密钥明文</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队列与任务存储</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上传命令、流水线、执行回执</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显式工作室、项目、连接、渠道、操作者和配置修订</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文件与产物目录</w:t>
            </w:r>
          </w:p>
        </w:tc>
        <w:tc>
          <w:tcPr>
            <w:tcW w:type="dxa" w:w="3742"/>
            <w:vAlign w:val="center"/>
            <w:tcMar>
              <w:top w:w="90" w:type="dxa"/>
              <w:bottom w:w="90" w:type="dxa"/>
              <w:left w:w="100" w:type="dxa"/>
              <w:right w:w="100" w:type="dxa"/>
            </w:tcMar>
          </w:tcPr>
          <w:p>
            <w:pPr>
              <w:keepNext w:val="0"/>
              <w:spacing w:after="0" w:line="264" w:lineRule="auto"/>
            </w:pPr>
            <w:r>
              <w:rPr>
                <w:b w:val="0"/>
                <w:sz w:val="20"/>
              </w:rPr>
              <w:t>附件、隔离区、构建包、日志、收据</w:t>
            </w:r>
          </w:p>
        </w:tc>
        <w:tc>
          <w:tcPr>
            <w:tcW w:type="dxa" w:w="4082"/>
            <w:vAlign w:val="center"/>
            <w:tcMar>
              <w:top w:w="90" w:type="dxa"/>
              <w:bottom w:w="90" w:type="dxa"/>
              <w:left w:w="100" w:type="dxa"/>
              <w:right w:w="100" w:type="dxa"/>
            </w:tcMar>
          </w:tcPr>
          <w:p>
            <w:pPr>
              <w:keepNext w:val="0"/>
              <w:spacing w:after="0" w:line="264" w:lineRule="auto"/>
            </w:pPr>
            <w:r>
              <w:rPr>
                <w:b w:val="0"/>
                <w:sz w:val="20"/>
              </w:rPr>
              <w:t>根目录独立；所有读取先验证对象归属</w:t>
            </w:r>
          </w:p>
        </w:tc>
      </w:tr>
    </w:tbl>
    <w:p>
      <w:pPr>
        <w:spacing w:after="20"/>
      </w:pPr>
    </w:p>
    <w:p>
      <w:r>
        <w:t xml:space="preserve">跨控制目录和业务库的开通无法依靠一个普通 SQLite 事务原子完成。应使用可恢复的开通流程：预留工作室 ID → 创建目录与空库 → 创建本地管理员映射 → 验证健康 → 发布路由。阶段记录幂等回执，失败保持 </w:t>
      </w:r>
      <w:r>
        <w:rPr>
          <w:rFonts w:ascii="Consolas" w:hAnsi="Consolas"/>
          <w:sz w:val="20"/>
        </w:rPr>
        <w:t>provisioning_failed</w:t>
      </w:r>
      <w:r>
        <w:t xml:space="preserve">，业务入口只接纳全部完成的 </w:t>
      </w:r>
      <w:r>
        <w:rPr>
          <w:rFonts w:ascii="Consolas" w:hAnsi="Consolas"/>
          <w:sz w:val="20"/>
        </w:rPr>
        <w:t>active</w:t>
      </w:r>
      <w:r>
        <w:t xml:space="preserve"> 实例。</w:t>
      </w:r>
    </w:p>
    <w:p>
      <w:pPr>
        <w:pStyle w:val="Heading2"/>
      </w:pPr>
      <w:r>
        <w:t>7 2 需要保留或新增的约束</w:t>
      </w:r>
    </w:p>
    <w:p>
      <w:r>
        <w:t xml:space="preserve">同名项目和同名人员允许出现在不同工作室。业务外键继续携带 </w:t>
      </w:r>
      <w:r>
        <w:rPr>
          <w:rFonts w:ascii="Consolas" w:hAnsi="Consolas"/>
          <w:sz w:val="20"/>
        </w:rPr>
        <w:t>account_id</w:t>
      </w:r>
      <w:r>
        <w:t xml:space="preserve">；Bug 编号继续按工作室和项目边界生成，不能因界面文案改名重排历史编号。以 </w:t>
      </w:r>
      <w:r>
        <w:rPr>
          <w:rFonts w:ascii="Consolas" w:hAnsi="Consolas"/>
          <w:sz w:val="20"/>
        </w:rPr>
        <w:t>LOCAL-123</w:t>
      </w:r>
      <w:r>
        <w:t xml:space="preserve"> 这类短编号读取时，必须同时提供已授权工作室与项目。</w:t>
      </w:r>
    </w:p>
    <w:p>
      <w:r>
        <w:t xml:space="preserve">新增幂等键至少限定 </w:t>
      </w:r>
      <w:r>
        <w:rPr>
          <w:rFonts w:ascii="Consolas" w:hAnsi="Consolas"/>
          <w:sz w:val="20"/>
        </w:rPr>
        <w:t>accountId + projectId + actorId + operation + clientRequestId</w:t>
      </w:r>
      <w:r>
        <w:t xml:space="preserve">，并保存请求摘要。对同一键的不同请求返回冲突，不能覆盖旧结果。外部任务号、构建号和渠道号的唯一性必须包含对应 </w:t>
      </w:r>
      <w:r>
        <w:rPr>
          <w:rFonts w:ascii="Consolas" w:hAnsi="Consolas"/>
          <w:sz w:val="20"/>
        </w:rPr>
        <w:t>integrationId</w:t>
      </w:r>
      <w:r>
        <w:t>，不能假设所有 Jenkins 都只有一个编号空间。</w:t>
      </w:r>
    </w:p>
    <w:p>
      <w:r>
        <w:t>即使使用独立数据库，队列和收据也要写工作室 ID，方便恢复、导出和回调核对。迁移旧队列时由注册项明确赋予现有工作室归属；无法证明项目归属的旧任务保持只读并人工确认，不能默认归到第一个项目。</w:t>
      </w:r>
    </w:p>
    <w:p>
      <w:pPr>
        <w:pStyle w:val="Heading2"/>
      </w:pPr>
      <w:r>
        <w:t>7 3 附件与下载</w:t>
      </w:r>
    </w:p>
    <w:p>
      <w:r>
        <w:t>当前附件文件以 SHA-256 地址存放，数据库记录已有账号与项目约束。新方案继续使用哈希校验，但每工作室独立根目录；首期不做跨工作室物理去重，以降低删除、恢复和存在性泄露的复杂度。</w:t>
      </w:r>
    </w:p>
    <w:p>
      <w:r>
        <w:t>附件下载、缩略图、Poco 数据、日志、二维码、构建包和 MCP materialize 都要从已授权对象获得文件地址。不要通过公开静态目录或可猜测的“最新包”路径绕过业务授权。需要分享时生成限定对象、短时有效、可撤销的下载授权；响应、代理与 CDN 缓存必须避免跨工作室复用。</w:t>
      </w:r>
    </w:p>
    <w:p>
      <w:pPr>
        <w:pStyle w:val="Heading1"/>
      </w:pPr>
      <w:r>
        <w:t>8 打包上传与执行器改造</w:t>
      </w:r>
    </w:p>
    <w:p>
      <w:pPr>
        <w:pStyle w:val="Heading2"/>
      </w:pPr>
      <w:r>
        <w:t>8 1 适配器边界</w:t>
      </w:r>
    </w:p>
    <w:p>
      <w:r>
        <w:t xml:space="preserve">建议定义 </w:t>
      </w:r>
      <w:r>
        <w:rPr>
          <w:rFonts w:ascii="Consolas" w:hAnsi="Consolas"/>
          <w:sz w:val="20"/>
        </w:rPr>
        <w:t>BuildProvider</w:t>
      </w:r>
      <w:r>
        <w:t>、</w:t>
      </w:r>
      <w:r>
        <w:rPr>
          <w:rFonts w:ascii="Consolas" w:hAnsi="Consolas"/>
          <w:sz w:val="20"/>
        </w:rPr>
        <w:t>UploadProvider</w:t>
      </w:r>
      <w:r>
        <w:t xml:space="preserve"> 和 </w:t>
      </w:r>
      <w:r>
        <w:rPr>
          <w:rFonts w:ascii="Consolas" w:hAnsi="Consolas"/>
          <w:sz w:val="20"/>
        </w:rPr>
        <w:t>ArtifactStore</w:t>
      </w:r>
      <w:r>
        <w:t>。构建接口覆盖预检、提交、查询、取消、获取产物清单；上传接口覆盖目标验证、提交、状态、恢复、测试结论与最终发布；产物接口提供按工作室授权的稳定产物定位与校验。</w:t>
      </w:r>
    </w:p>
    <w:p>
      <w:r>
        <w:t>现有 Jenkins 和 OZDQP 上传器作为首个适配实现。</w:t>
      </w:r>
      <w:r>
        <w:rPr>
          <w:rFonts w:ascii="Consolas" w:hAnsi="Consolas"/>
          <w:sz w:val="20"/>
        </w:rPr>
        <w:t>productId</w:t>
      </w:r>
      <w:r>
        <w:t>、</w:t>
      </w:r>
      <w:r>
        <w:rPr>
          <w:rFonts w:ascii="Consolas" w:hAnsi="Consolas"/>
          <w:sz w:val="20"/>
        </w:rPr>
        <w:t>channelId</w:t>
      </w:r>
      <w:r>
        <w:t>、构建预设、下载地址、支持平台与身份来源由配置决定。普通用户只从服务器允许的项目和目标中选择；不能提交任意 Jenkins URL、脚本、服务器路径或外部下载地址。</w:t>
      </w:r>
    </w:p>
    <w:p>
      <w:r>
        <w:t>新增上传目标要验证服务器网络访问范围、TLS、凭据权限、产物格式和回执能力。工作室管理员配置外部连接不等于获得访问本机内部任意地址的权限；连接测试使用受控地址范围，避免通过适配器访问其他工作室服务。</w:t>
      </w:r>
    </w:p>
    <w:p>
      <w:r>
        <w:t>凭据需要区分工作室共享连接与个人外部登录。现有凭据文件与源码中的认证配置应做一次清单检查，迁移为受 ACL 保护的密钥引用或加密文件；对外响应只返回是否已配置、权限范围和轮换时间。密钥轮换保留操作审计，备份需要配套密钥恢复演练，不能只备份无法解密的密文。</w:t>
      </w:r>
    </w:p>
    <w:p>
      <w:pPr>
        <w:pStyle w:val="Heading2"/>
      </w:pPr>
      <w:r>
        <w:t>8 2 每次任务绑定的事实</w:t>
      </w:r>
    </w:p>
    <w:p>
      <w:r>
        <w:t xml:space="preserve">每个作业创建时固化 </w:t>
      </w:r>
      <w:r>
        <w:rPr>
          <w:rFonts w:ascii="Consolas" w:hAnsi="Consolas"/>
          <w:sz w:val="20"/>
        </w:rPr>
        <w:t>accountId</w:t>
      </w:r>
      <w:r>
        <w:t>、</w:t>
      </w:r>
      <w:r>
        <w:rPr>
          <w:rFonts w:ascii="Consolas" w:hAnsi="Consolas"/>
          <w:sz w:val="20"/>
        </w:rPr>
        <w:t>projectId</w:t>
      </w:r>
      <w:r>
        <w:t>、</w:t>
      </w:r>
      <w:r>
        <w:rPr>
          <w:rFonts w:ascii="Consolas" w:hAnsi="Consolas"/>
          <w:sz w:val="20"/>
        </w:rPr>
        <w:t>actorId</w:t>
      </w:r>
      <w:r>
        <w:t>、</w:t>
      </w:r>
      <w:r>
        <w:rPr>
          <w:rFonts w:ascii="Consolas" w:hAnsi="Consolas"/>
          <w:sz w:val="20"/>
        </w:rPr>
        <w:t>integrationId</w:t>
      </w:r>
      <w:r>
        <w:t>、源代码提交、平台、渠道、构建参数、模块修订、执行器要求和幂等 ID。后台从作业事实恢复上下文，不读取页面当前工作室或一个全局“当前账号”。</w:t>
      </w:r>
    </w:p>
    <w:p>
      <w:r>
        <w:t xml:space="preserve">打包后上传必须绑定本次构建的不可变产物。建议使用 </w:t>
      </w:r>
      <w:r>
        <w:rPr>
          <w:rFonts w:ascii="Consolas" w:hAnsi="Consolas"/>
          <w:sz w:val="20"/>
        </w:rPr>
        <w:t>buildId</w:t>
      </w:r>
      <w:r>
        <w:t>、源提交、工具链指纹、产物 SHA-256 与 Manifest 摘要，保存到流水线回执。现有对共享 ZIP 的更新时间和头信息核验可以作为兼容保护，但跨工作室后应逐步改为每次构建唯一产物地址。</w:t>
      </w:r>
    </w:p>
    <w:p>
      <w:r>
        <w:t>上传任务在进入最终发布前再次核对外部身份与目标。凭据轮换导致账号变化时暂停并显示原因，不能换成工作室当前默认账号继续。重试从原回执恢复，不能悄悄下载“最新包”并发布成原版本。</w:t>
      </w:r>
    </w:p>
    <w:p>
      <w:pPr>
        <w:pStyle w:val="Heading2"/>
      </w:pPr>
      <w:r>
        <w:t>8 3 队列与互不干扰</w:t>
      </w:r>
    </w:p>
    <w:p>
      <w:r>
        <w:t>工作室分别拥有业务队列，调度层限制各工作室的并发数、排队数、存储与带宽；对共享执行资源采用轮转或加权公平调度，避免一个工作室持续占满全部执行槽。界面只展示本工作室队列和等待原因，不显示其他工作室的项目名称。</w:t>
      </w:r>
    </w:p>
    <w:p>
      <w:r>
        <w:t xml:space="preserve">资源互斥键要区分逻辑任务隔离与真实发布冲突。工作室独立平台账号时，可使用 </w:t>
      </w:r>
      <w:r>
        <w:rPr>
          <w:rFonts w:ascii="Consolas" w:hAnsi="Consolas"/>
          <w:sz w:val="20"/>
        </w:rPr>
        <w:t>accountId + integrationId + projectId + target</w:t>
      </w:r>
      <w:r>
        <w:t>；若两个连接实际写入同一外部账号、产品和渠道，即使来自不同工作室，也必须通过全局规范化目标锁防止覆盖，并明确管理授权。简单给原锁前面加工作室 ID 可能放开真实冲突。</w:t>
      </w:r>
    </w:p>
    <w:p>
      <w:r>
        <w:t>当前共享 Jenkins 或全局 ZIP 来源在未完成改造前仍需串行保护。只有工作区、产物路径、外部目标和执行器都已分离，才可以增加并发。任务离开页面后继续执行，但取消、重试和恢复必须验证它原有的归属。</w:t>
      </w:r>
    </w:p>
    <w:p>
      <w:pPr>
        <w:pStyle w:val="Heading2"/>
      </w:pPr>
      <w:r>
        <w:t>8 4 增量构建的特殊要求</w:t>
      </w:r>
    </w:p>
    <w:p>
      <w:r>
        <w:t>“上传已有增量 ZIP”只负责传输与发布；“增量构建”还要保证生成内容正确。若将来提供 Unity 增量构建模块，应由构建适配器声明支持情况，并验证源提交、构建工具版本、基础 Player、Manifest 与依赖闭包。缺乏可信基线时明确回退完整构建，不能仅按文件夹裁剪资源。</w:t>
      </w:r>
    </w:p>
    <w:p>
      <w:r>
        <w:t>不能因上传功能可用就宣称 Unity 增量构建可用或达到固定耗时。本次未验证其他仓库的最新构建状态；该能力必须单独完成真实构建、产物校验和运行加载验收后才能对工作室开放。</w:t>
      </w:r>
    </w:p>
    <w:p>
      <w:pPr>
        <w:pStyle w:val="Heading2"/>
      </w:pPr>
      <w:r>
        <w:t>8 5 外部故障和人工接管</w:t>
      </w:r>
    </w:p>
    <w:p>
      <w:r>
        <w:t>Relay、Jenkins、上传平台或轻语超时，不应占用主业务数据库事务。使用持久 outbox、可恢复回执、超时和重试，回调通过工作室专属密钥校验来源与任务关联。重复、延迟、乱序和工作室停用后的回调必须有确定处理规则。</w:t>
      </w:r>
    </w:p>
    <w:p>
      <w:r>
        <w:t>外部完成只能更新其对应任务事实。Relay 完成不能自动关闭 QA Bug；人工接管后的旧回调不得覆盖新人工修复轮次。人工关闭本地问题时，外部同步失败作为独立状态保留和重试。</w:t>
      </w:r>
    </w:p>
    <w:p>
      <w:pPr>
        <w:pStyle w:val="Heading1"/>
      </w:pPr>
      <w:r>
        <w:t>9 各端代码改造清单</w:t>
      </w:r>
    </w:p>
    <w:p>
      <w:pPr>
        <w:pStyle w:val="Heading2"/>
      </w:pPr>
      <w:r>
        <w:t>9 1 API 与存储</w:t>
      </w:r>
    </w:p>
    <w:p>
      <w:r/>
      <w:r>
        <w:rPr>
          <w:rFonts w:ascii="Consolas" w:hAnsi="Consolas"/>
          <w:sz w:val="20"/>
        </w:rPr>
        <w:t>main.ts</w:t>
      </w:r>
      <w:r>
        <w:t xml:space="preserve"> 将 </w:t>
      </w:r>
      <w:r>
        <w:rPr>
          <w:rFonts w:ascii="Consolas" w:hAnsi="Consolas"/>
          <w:sz w:val="20"/>
        </w:rPr>
        <w:t>MOBILE_SCOPE</w:t>
      </w:r>
      <w:r>
        <w:t>、人员种子、集成连接、目录和服务参数变为实例配置，新增配置校验与工作室一致性检查。</w:t>
      </w:r>
      <w:r>
        <w:rPr>
          <w:rFonts w:ascii="Consolas" w:hAnsi="Consolas"/>
          <w:sz w:val="20"/>
        </w:rPr>
        <w:t>app.ts</w:t>
      </w:r>
      <w:r>
        <w:t xml:space="preserve"> 逐步替换“认证后转换为统一调试令牌”的路由桥接，改为显式上下文和权限校验，并接入统一功能检查。</w:t>
      </w:r>
    </w:p>
    <w:p>
      <w:r/>
      <w:r>
        <w:rPr>
          <w:rFonts w:ascii="Consolas" w:hAnsi="Consolas"/>
          <w:sz w:val="20"/>
        </w:rPr>
        <w:t>sqlite-mobile-*.ts</w:t>
      </w:r>
      <w:r>
        <w:t xml:space="preserve"> 保留已有存储实现，明确实例绑定账号与路由项目选择的区别；涉及多个项目的创建、附件、验收与通知路径逐项校验，不能只修改列表查询。</w:t>
      </w:r>
      <w:r>
        <w:rPr>
          <w:rFonts w:ascii="Consolas" w:hAnsi="Consolas"/>
          <w:sz w:val="20"/>
        </w:rPr>
        <w:t>packages/domain</w:t>
      </w:r>
      <w:r>
        <w:t xml:space="preserve"> 保持业务状态机，只补充工作室上下文与策略入口。</w:t>
      </w:r>
    </w:p>
    <w:p>
      <w:r/>
      <w:r>
        <w:rPr>
          <w:rFonts w:ascii="Consolas" w:hAnsi="Consolas"/>
          <w:sz w:val="20"/>
        </w:rPr>
        <w:t>increment-upload.ts</w:t>
      </w:r>
      <w:r>
        <w:t xml:space="preserve"> 补齐队列 schema 迁移、作用域读取、审计和配额；</w:t>
      </w:r>
      <w:r>
        <w:rPr>
          <w:rFonts w:ascii="Consolas" w:hAnsi="Consolas"/>
          <w:sz w:val="20"/>
        </w:rPr>
        <w:t>jenkins-builds.ts</w:t>
      </w:r>
      <w:r>
        <w:t xml:space="preserve"> 与 </w:t>
      </w:r>
      <w:r>
        <w:rPr>
          <w:rFonts w:ascii="Consolas" w:hAnsi="Consolas"/>
          <w:sz w:val="20"/>
        </w:rPr>
        <w:t>uploader-host.ts</w:t>
      </w:r>
      <w:r>
        <w:t xml:space="preserve"> 配置化并实现适配器。</w:t>
      </w:r>
      <w:r>
        <w:rPr>
          <w:rFonts w:ascii="Consolas" w:hAnsi="Consolas"/>
          <w:sz w:val="20"/>
        </w:rPr>
        <w:t>production-tasks.ts</w:t>
      </w:r>
      <w:r>
        <w:t xml:space="preserve"> 的批次文件、附件文件、连接配置与回调身份都需要纳入工作室注册和恢复清单。</w:t>
      </w:r>
    </w:p>
    <w:p>
      <w:pPr>
        <w:pStyle w:val="Heading2"/>
      </w:pPr>
      <w:r>
        <w:t>9 2 Web</w:t>
      </w:r>
    </w:p>
    <w:p>
      <w:r/>
      <w:r>
        <w:rPr>
          <w:rFonts w:ascii="Consolas" w:hAnsi="Consolas"/>
          <w:sz w:val="20"/>
        </w:rPr>
        <w:t>AuthGate.tsx</w:t>
      </w:r>
      <w:r>
        <w:t xml:space="preserve"> 接入正式登录与邀请；</w:t>
      </w:r>
      <w:r>
        <w:rPr>
          <w:rFonts w:ascii="Consolas" w:hAnsi="Consolas"/>
          <w:sz w:val="20"/>
        </w:rPr>
        <w:t>App.tsx</w:t>
      </w:r>
      <w:r>
        <w:t xml:space="preserve"> 增加工作室选择及作用域容器，菜单依据服务端能力生成。新增工作室管理、功能管理与连接配置页面。</w:t>
      </w:r>
      <w:r>
        <w:rPr>
          <w:rFonts w:ascii="Consolas" w:hAnsi="Consolas"/>
          <w:sz w:val="20"/>
        </w:rPr>
        <w:t>PackagingPage.tsx</w:t>
      </w:r>
      <w:r>
        <w:t>、</w:t>
      </w:r>
      <w:r>
        <w:rPr>
          <w:rFonts w:ascii="Consolas" w:hAnsi="Consolas"/>
          <w:sz w:val="20"/>
        </w:rPr>
        <w:t>UploadIncrementPage.tsx</w:t>
      </w:r>
      <w:r>
        <w:t>、</w:t>
      </w:r>
      <w:r>
        <w:rPr>
          <w:rFonts w:ascii="Consolas" w:hAnsi="Consolas"/>
          <w:sz w:val="20"/>
        </w:rPr>
        <w:t>BuildUploadControls.tsx</w:t>
      </w:r>
      <w:r>
        <w:t xml:space="preserve"> 接收项目与能力上下文，取消固定目标假设。</w:t>
      </w:r>
    </w:p>
    <w:p>
      <w:r>
        <w:t xml:space="preserve">Web 的草稿、筛选、当前页、任务监控和缓存 key 建议包含 </w:t>
      </w:r>
      <w:r>
        <w:rPr>
          <w:rFonts w:ascii="Consolas" w:hAnsi="Consolas"/>
          <w:sz w:val="20"/>
        </w:rPr>
        <w:t>serverOrigin + accountId + projectId + actorId</w:t>
      </w:r>
      <w:r>
        <w:t xml:space="preserve">。当前上传草稿按 </w:t>
      </w:r>
      <w:r>
        <w:rPr>
          <w:rFonts w:ascii="Consolas" w:hAnsi="Consolas"/>
          <w:sz w:val="20"/>
        </w:rPr>
        <w:t>userId</w:t>
      </w:r>
      <w:r>
        <w:t xml:space="preserve"> 保存，需要增加作用域。切换时使用请求代次或取消信号，使旧响应无法覆盖新工作室页面；已选择的修复人与验收人草稿也必须继续遵守已有防刷新覆盖规则。</w:t>
      </w:r>
    </w:p>
    <w:p>
      <w:pPr>
        <w:pStyle w:val="Heading2"/>
      </w:pPr>
      <w:r>
        <w:t>9 3 Windows 与 MCP</w:t>
      </w:r>
    </w:p>
    <w:p>
      <w:r>
        <w:t>统一 EXE 保持共用页面，新增工作室会话与服务入口兼容信息。通知订阅和历史按服务器、工作室和用户隔离；通知点击进入原工作室时先验证权限。托盘、下载队列、外部链接、IPC 和本地 MCP 不能只依赖最后打开的页面。</w:t>
      </w:r>
    </w:p>
    <w:p>
      <w:r>
        <w:t>MCP 提供列出已授权工作室和读取当前上下文的能力。查询与修改命令显式绑定工作室和项目，写操作返回所属工作室与审计回执。多个工作室存在同一短 Bug 编号时拒绝模糊匹配。禁用模块后，对应工具返回明确不可用原因，不能继续走隐藏的原入口。</w:t>
      </w:r>
    </w:p>
    <w:p>
      <w:r>
        <w:t>客户端更新应保留原服务器配置、已验证会话、草稿和回退目录，处理新旧服务器的能力协商。普通 QA 客户端更新包可统一分发；客户项目构建包必须按工作室授权，二者不要共用无鉴权下载目录。</w:t>
      </w:r>
    </w:p>
    <w:p>
      <w:pPr>
        <w:pStyle w:val="Heading2"/>
      </w:pPr>
      <w:r>
        <w:t>9 4 Android</w:t>
      </w:r>
    </w:p>
    <w:p>
      <w:r/>
      <w:r>
        <w:rPr>
          <w:rFonts w:ascii="Consolas" w:hAnsi="Consolas"/>
          <w:sz w:val="20"/>
        </w:rPr>
        <w:t>ScopedRepository.kt</w:t>
      </w:r>
      <w:r>
        <w:t xml:space="preserve"> 已有账号、项目、操作者、安装和会话作用域，可以复用。需要检查登录选择、</w:t>
      </w:r>
      <w:r>
        <w:rPr>
          <w:rFonts w:ascii="Consolas" w:hAnsi="Consolas"/>
          <w:sz w:val="20"/>
        </w:rPr>
        <w:t>QaRuntimeConfig</w:t>
      </w:r>
      <w:r>
        <w:t>、</w:t>
      </w:r>
      <w:r>
        <w:rPr>
          <w:rFonts w:ascii="Consolas" w:hAnsi="Consolas"/>
          <w:sz w:val="20"/>
        </w:rPr>
        <w:t>MainActivity</w:t>
      </w:r>
      <w:r>
        <w:t>、草稿偏好、采集草稿与离线队列的入口是否全部遵守此边界，并增加服务器实例 ID，避免连接不同服务时本地 ID 冲突。</w:t>
      </w:r>
    </w:p>
    <w:p>
      <w:r>
        <w:t>离线草稿和附件操作保持原始工作室归属。切换工作室或原权限撤销时暂停上传，不能把旧草稿自动提交到新工作室。切换不是清空数据；默认保留未同步内容并提供明确恢复入口。旧 APK 无法识别多工作室授权时限制在原工作室，不能默认为新工作室。</w:t>
      </w:r>
    </w:p>
    <w:p>
      <w:pPr>
        <w:pStyle w:val="Heading2"/>
      </w:pPr>
      <w:r>
        <w:t>9 5 契约与脚本</w:t>
      </w:r>
    </w:p>
    <w:p>
      <w:r/>
      <w:r>
        <w:rPr>
          <w:rFonts w:ascii="Consolas" w:hAnsi="Consolas"/>
          <w:sz w:val="20"/>
        </w:rPr>
        <w:t>packages/contracts</w:t>
      </w:r>
      <w:r>
        <w:t>、</w:t>
      </w:r>
      <w:r>
        <w:rPr>
          <w:rFonts w:ascii="Consolas" w:hAnsi="Consolas"/>
          <w:sz w:val="20"/>
        </w:rPr>
        <w:t>packages/upload-contract</w:t>
      </w:r>
      <w:r>
        <w:t>、Web API 类型、桌面桥接类型与 Android 网络模型同步新增上下文、模块配置和兼容错误。新增工作室开通、暂停、状态检查、备份和恢复脚本，所有脚本以注册工作室 ID 解析路径并输出审计结果。</w:t>
      </w:r>
    </w:p>
    <w:p>
      <w:r>
        <w:t xml:space="preserve">建议增加 </w:t>
      </w:r>
      <w:r>
        <w:rPr>
          <w:rFonts w:ascii="Consolas" w:hAnsi="Consolas"/>
          <w:sz w:val="20"/>
        </w:rPr>
        <w:t>studio-context</w:t>
      </w:r>
      <w:r>
        <w:t>、</w:t>
      </w:r>
      <w:r>
        <w:rPr>
          <w:rFonts w:ascii="Consolas" w:hAnsi="Consolas"/>
          <w:sz w:val="20"/>
        </w:rPr>
        <w:t>feature-registry</w:t>
      </w:r>
      <w:r>
        <w:t>、</w:t>
      </w:r>
      <w:r>
        <w:rPr>
          <w:rFonts w:ascii="Consolas" w:hAnsi="Consolas"/>
          <w:sz w:val="20"/>
        </w:rPr>
        <w:t>integration-adapters</w:t>
      </w:r>
      <w:r>
        <w:t xml:space="preserve"> 等共享包，具体拆包以依赖边界为准。首次不拆成大量微服务，也不同时全面更换数据库、前端框架和执行器。</w:t>
      </w:r>
    </w:p>
    <w:p>
      <w:pPr>
        <w:pStyle w:val="Heading1"/>
      </w:pPr>
      <w:r>
        <w:t>10 建议接口与错误语义</w:t>
      </w:r>
    </w:p>
    <w:p>
      <w:r>
        <w:t xml:space="preserve">接口仅示意，正式实现应更新 OpenAPI 与兼容测试。统一入口可以采用工作室前缀，实例内部继续使用原 </w:t>
      </w:r>
      <w:r>
        <w:rPr>
          <w:rFonts w:ascii="Consolas" w:hAnsi="Consolas"/>
          <w:sz w:val="20"/>
        </w:rPr>
        <w:t>/api/v1</w:t>
      </w:r>
      <w:r>
        <w:t xml:space="preserve"> 路由；所有写操作服务端验证上下文，不把路径 ID 当授权。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1984"/>
        <w:gridCol w:w="3628"/>
      </w:tblGrid>
      <w:tr>
        <w:trPr>
          <w:cantSplit/>
          <w:tblHeader/>
        </w:trPr>
        <w:tc>
          <w:tcPr>
            <w:tcW w:type="dxa" w:w="4025"/>
            <w:vAlign w:val="center"/>
            <w:tcMar>
              <w:top w:w="90" w:type="dxa"/>
              <w:bottom w:w="90" w:type="dxa"/>
              <w:left w:w="100" w:type="dxa"/>
              <w:right w:w="100" w:type="dxa"/>
            </w:tcMar>
            <w:shd w:fill="DDEBF7"/>
          </w:tcPr>
          <w:p>
            <w:pPr>
              <w:keepNext/>
              <w:spacing w:after="0" w:line="264" w:lineRule="auto"/>
            </w:pPr>
            <w:r>
              <w:rPr>
                <w:b/>
                <w:sz w:val="20"/>
              </w:rPr>
              <w:t>方法与入口</w:t>
            </w:r>
          </w:p>
        </w:tc>
        <w:tc>
          <w:tcPr>
            <w:tcW w:type="dxa" w:w="1984"/>
            <w:vAlign w:val="center"/>
            <w:tcMar>
              <w:top w:w="90" w:type="dxa"/>
              <w:bottom w:w="90" w:type="dxa"/>
              <w:left w:w="100" w:type="dxa"/>
              <w:right w:w="100" w:type="dxa"/>
            </w:tcMar>
            <w:shd w:fill="DDEBF7"/>
          </w:tcPr>
          <w:p>
            <w:pPr>
              <w:keepNext/>
              <w:spacing w:after="0" w:line="264" w:lineRule="auto"/>
            </w:pPr>
            <w:r>
              <w:rPr>
                <w:b/>
                <w:sz w:val="20"/>
              </w:rPr>
              <w:t>用途</w:t>
            </w:r>
          </w:p>
        </w:tc>
        <w:tc>
          <w:tcPr>
            <w:tcW w:type="dxa" w:w="3628"/>
            <w:vAlign w:val="center"/>
            <w:tcMar>
              <w:top w:w="90" w:type="dxa"/>
              <w:bottom w:w="90" w:type="dxa"/>
              <w:left w:w="100" w:type="dxa"/>
              <w:right w:w="100" w:type="dxa"/>
            </w:tcMar>
            <w:shd w:fill="DDEBF7"/>
          </w:tcPr>
          <w:p>
            <w:pPr>
              <w:keepNext/>
              <w:spacing w:after="0" w:line="264" w:lineRule="auto"/>
            </w:pPr>
            <w:r>
              <w:rPr>
                <w:b/>
                <w:sz w:val="20"/>
              </w:rPr>
              <w:t>主要检查</w:t>
            </w:r>
          </w:p>
        </w:tc>
      </w:tr>
      <w:tr>
        <w:trPr>
          <w:cantSplit/>
        </w:trPr>
        <w:tc>
          <w:tcPr>
            <w:tcW w:type="dxa" w:w="4025"/>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GET /api/v1/me/studios</w:t>
            </w:r>
            <w:r>
              <w:rPr>
                <w:b w:val="0"/>
                <w:sz w:val="20"/>
              </w:rPr>
            </w:r>
          </w:p>
        </w:tc>
        <w:tc>
          <w:tcPr>
            <w:tcW w:type="dxa" w:w="1984"/>
            <w:vAlign w:val="center"/>
            <w:tcMar>
              <w:top w:w="90" w:type="dxa"/>
              <w:bottom w:w="90" w:type="dxa"/>
              <w:left w:w="100" w:type="dxa"/>
              <w:right w:w="100" w:type="dxa"/>
            </w:tcMar>
          </w:tcPr>
          <w:p>
            <w:pPr>
              <w:keepNext w:val="0"/>
              <w:spacing w:after="0" w:line="264" w:lineRule="auto"/>
            </w:pPr>
            <w:r>
              <w:rPr>
                <w:b w:val="0"/>
                <w:sz w:val="20"/>
              </w:rPr>
              <w:t>列出已加入工作室</w:t>
            </w:r>
          </w:p>
        </w:tc>
        <w:tc>
          <w:tcPr>
            <w:tcW w:type="dxa" w:w="3628"/>
            <w:vAlign w:val="center"/>
            <w:tcMar>
              <w:top w:w="90" w:type="dxa"/>
              <w:bottom w:w="90" w:type="dxa"/>
              <w:left w:w="100" w:type="dxa"/>
              <w:right w:w="100" w:type="dxa"/>
            </w:tcMar>
          </w:tcPr>
          <w:p>
            <w:pPr>
              <w:keepNext w:val="0"/>
              <w:spacing w:after="0" w:line="264" w:lineRule="auto"/>
            </w:pPr>
            <w:r>
              <w:rPr>
                <w:b w:val="0"/>
                <w:sz w:val="20"/>
              </w:rPr>
              <w:t>已验证登录主体，过滤停用与撤销关系</w:t>
            </w:r>
          </w:p>
        </w:tc>
      </w:tr>
      <w:tr>
        <w:trPr>
          <w:cantSplit/>
        </w:trPr>
        <w:tc>
          <w:tcPr>
            <w:tcW w:type="dxa" w:w="4025"/>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POST /api/v1/admin/studios</w:t>
            </w:r>
            <w:r>
              <w:rPr>
                <w:b w:val="0"/>
                <w:sz w:val="20"/>
              </w:rPr>
            </w:r>
          </w:p>
        </w:tc>
        <w:tc>
          <w:tcPr>
            <w:tcW w:type="dxa" w:w="1984"/>
            <w:vAlign w:val="center"/>
            <w:tcMar>
              <w:top w:w="90" w:type="dxa"/>
              <w:bottom w:w="90" w:type="dxa"/>
              <w:left w:w="100" w:type="dxa"/>
              <w:right w:w="100" w:type="dxa"/>
            </w:tcMar>
            <w:shd w:fill="F5F7FA"/>
          </w:tcPr>
          <w:p>
            <w:pPr>
              <w:keepNext w:val="0"/>
              <w:spacing w:after="0" w:line="264" w:lineRule="auto"/>
            </w:pPr>
            <w:r>
              <w:rPr>
                <w:b w:val="0"/>
                <w:sz w:val="20"/>
              </w:rPr>
              <w:t>开通工作室</w:t>
            </w:r>
          </w:p>
        </w:tc>
        <w:tc>
          <w:tcPr>
            <w:tcW w:type="dxa" w:w="3628"/>
            <w:vAlign w:val="center"/>
            <w:tcMar>
              <w:top w:w="90" w:type="dxa"/>
              <w:bottom w:w="90" w:type="dxa"/>
              <w:left w:w="100" w:type="dxa"/>
              <w:right w:w="100" w:type="dxa"/>
            </w:tcMar>
            <w:shd w:fill="F5F7FA"/>
          </w:tcPr>
          <w:p>
            <w:pPr>
              <w:keepNext w:val="0"/>
              <w:spacing w:after="0" w:line="264" w:lineRule="auto"/>
            </w:pPr>
            <w:r>
              <w:rPr>
                <w:b w:val="0"/>
                <w:sz w:val="20"/>
              </w:rPr>
              <w:t>平台管理权、幂等回执、配置校验</w:t>
            </w:r>
          </w:p>
        </w:tc>
      </w:tr>
      <w:tr>
        <w:trPr>
          <w:cantSplit/>
        </w:trPr>
        <w:tc>
          <w:tcPr>
            <w:tcW w:type="dxa" w:w="4025"/>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GET /s/{accountId}/api/v1/context</w:t>
            </w:r>
            <w:r>
              <w:rPr>
                <w:b w:val="0"/>
                <w:sz w:val="20"/>
              </w:rPr>
            </w:r>
          </w:p>
        </w:tc>
        <w:tc>
          <w:tcPr>
            <w:tcW w:type="dxa" w:w="1984"/>
            <w:vAlign w:val="center"/>
            <w:tcMar>
              <w:top w:w="90" w:type="dxa"/>
              <w:bottom w:w="90" w:type="dxa"/>
              <w:left w:w="100" w:type="dxa"/>
              <w:right w:w="100" w:type="dxa"/>
            </w:tcMar>
          </w:tcPr>
          <w:p>
            <w:pPr>
              <w:keepNext w:val="0"/>
              <w:spacing w:after="0" w:line="264" w:lineRule="auto"/>
            </w:pPr>
            <w:r>
              <w:rPr>
                <w:b w:val="0"/>
                <w:sz w:val="20"/>
              </w:rPr>
              <w:t>返回成员、项目和有效模块</w:t>
            </w:r>
          </w:p>
        </w:tc>
        <w:tc>
          <w:tcPr>
            <w:tcW w:type="dxa" w:w="3628"/>
            <w:vAlign w:val="center"/>
            <w:tcMar>
              <w:top w:w="90" w:type="dxa"/>
              <w:bottom w:w="90" w:type="dxa"/>
              <w:left w:w="100" w:type="dxa"/>
              <w:right w:w="100" w:type="dxa"/>
            </w:tcMar>
          </w:tcPr>
          <w:p>
            <w:pPr>
              <w:keepNext w:val="0"/>
              <w:spacing w:after="0" w:line="264" w:lineRule="auto"/>
            </w:pPr>
            <w:r>
              <w:rPr>
                <w:b w:val="0"/>
                <w:sz w:val="20"/>
              </w:rPr>
              <w:t>身份映射、工作室状态、实例匹配</w:t>
            </w:r>
          </w:p>
        </w:tc>
      </w:tr>
      <w:tr>
        <w:trPr>
          <w:cantSplit/>
        </w:trPr>
        <w:tc>
          <w:tcPr>
            <w:tcW w:type="dxa" w:w="4025"/>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PATCH /api/v1/admin/studios/{id}/features</w:t>
            </w:r>
            <w:r>
              <w:rPr>
                <w:b w:val="0"/>
                <w:sz w:val="20"/>
              </w:rPr>
            </w:r>
          </w:p>
        </w:tc>
        <w:tc>
          <w:tcPr>
            <w:tcW w:type="dxa" w:w="1984"/>
            <w:vAlign w:val="center"/>
            <w:tcMar>
              <w:top w:w="90" w:type="dxa"/>
              <w:bottom w:w="90" w:type="dxa"/>
              <w:left w:w="100" w:type="dxa"/>
              <w:right w:w="100" w:type="dxa"/>
            </w:tcMar>
            <w:shd w:fill="F5F7FA"/>
          </w:tcPr>
          <w:p>
            <w:pPr>
              <w:keepNext w:val="0"/>
              <w:spacing w:after="0" w:line="264" w:lineRule="auto"/>
            </w:pPr>
            <w:r>
              <w:rPr>
                <w:b w:val="0"/>
                <w:sz w:val="20"/>
              </w:rPr>
              <w:t>保存模块配置</w:t>
            </w:r>
          </w:p>
        </w:tc>
        <w:tc>
          <w:tcPr>
            <w:tcW w:type="dxa" w:w="3628"/>
            <w:vAlign w:val="center"/>
            <w:tcMar>
              <w:top w:w="90" w:type="dxa"/>
              <w:bottom w:w="90" w:type="dxa"/>
              <w:left w:w="100" w:type="dxa"/>
              <w:right w:w="100" w:type="dxa"/>
            </w:tcMar>
            <w:shd w:fill="F5F7FA"/>
          </w:tcPr>
          <w:p>
            <w:pPr>
              <w:keepNext w:val="0"/>
              <w:spacing w:after="0" w:line="264" w:lineRule="auto"/>
            </w:pPr>
            <w:r>
              <w:rPr>
                <w:b w:val="0"/>
                <w:sz w:val="20"/>
              </w:rPr>
              <w:t>管理权、依赖检查、</w:t>
            </w:r>
            <w:r>
              <w:rPr>
                <w:rFonts w:ascii="Consolas" w:hAnsi="Consolas"/>
                <w:b w:val="0"/>
                <w:sz w:val="20"/>
              </w:rPr>
              <w:t>expectedVersion</w:t>
            </w:r>
            <w:r>
              <w:rPr>
                <w:b w:val="0"/>
                <w:sz w:val="20"/>
              </w:rPr>
            </w:r>
          </w:p>
        </w:tc>
      </w:tr>
      <w:tr>
        <w:trPr>
          <w:cantSplit/>
        </w:trPr>
        <w:tc>
          <w:tcPr>
            <w:tcW w:type="dxa" w:w="4025"/>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POST /s/{id}/api/v1/projects/{projectId}/builds</w:t>
            </w:r>
            <w:r>
              <w:rPr>
                <w:b w:val="0"/>
                <w:sz w:val="20"/>
              </w:rPr>
            </w:r>
          </w:p>
        </w:tc>
        <w:tc>
          <w:tcPr>
            <w:tcW w:type="dxa" w:w="1984"/>
            <w:vAlign w:val="center"/>
            <w:tcMar>
              <w:top w:w="90" w:type="dxa"/>
              <w:bottom w:w="90" w:type="dxa"/>
              <w:left w:w="100" w:type="dxa"/>
              <w:right w:w="100" w:type="dxa"/>
            </w:tcMar>
          </w:tcPr>
          <w:p>
            <w:pPr>
              <w:keepNext w:val="0"/>
              <w:spacing w:after="0" w:line="264" w:lineRule="auto"/>
            </w:pPr>
            <w:r>
              <w:rPr>
                <w:b w:val="0"/>
                <w:sz w:val="20"/>
              </w:rPr>
              <w:t>创建单次构建</w:t>
            </w:r>
          </w:p>
        </w:tc>
        <w:tc>
          <w:tcPr>
            <w:tcW w:type="dxa" w:w="3628"/>
            <w:vAlign w:val="center"/>
            <w:tcMar>
              <w:top w:w="90" w:type="dxa"/>
              <w:bottom w:w="90" w:type="dxa"/>
              <w:left w:w="100" w:type="dxa"/>
              <w:right w:w="100" w:type="dxa"/>
            </w:tcMar>
          </w:tcPr>
          <w:p>
            <w:pPr>
              <w:keepNext w:val="0"/>
              <w:spacing w:after="0" w:line="264" w:lineRule="auto"/>
            </w:pPr>
            <w:r>
              <w:rPr>
                <w:b w:val="0"/>
                <w:sz w:val="20"/>
              </w:rPr>
              <w:t>项目归属、能力、构建权、配额</w:t>
            </w:r>
          </w:p>
        </w:tc>
      </w:tr>
      <w:tr>
        <w:trPr>
          <w:cantSplit/>
        </w:trPr>
        <w:tc>
          <w:tcPr>
            <w:tcW w:type="dxa" w:w="4025"/>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POST /s/{id}/api/v1/projects/{projectId}/pipelines</w:t>
            </w:r>
            <w:r>
              <w:rPr>
                <w:b w:val="0"/>
                <w:sz w:val="20"/>
              </w:rPr>
            </w:r>
          </w:p>
        </w:tc>
        <w:tc>
          <w:tcPr>
            <w:tcW w:type="dxa" w:w="1984"/>
            <w:vAlign w:val="center"/>
            <w:tcMar>
              <w:top w:w="90" w:type="dxa"/>
              <w:bottom w:w="90" w:type="dxa"/>
              <w:left w:w="100" w:type="dxa"/>
              <w:right w:w="100" w:type="dxa"/>
            </w:tcMar>
            <w:shd w:fill="F5F7FA"/>
          </w:tcPr>
          <w:p>
            <w:pPr>
              <w:keepNext w:val="0"/>
              <w:spacing w:after="0" w:line="264" w:lineRule="auto"/>
            </w:pPr>
            <w:r>
              <w:rPr>
                <w:b w:val="0"/>
                <w:sz w:val="20"/>
              </w:rPr>
              <w:t>打包后上传</w:t>
            </w:r>
          </w:p>
        </w:tc>
        <w:tc>
          <w:tcPr>
            <w:tcW w:type="dxa" w:w="3628"/>
            <w:vAlign w:val="center"/>
            <w:tcMar>
              <w:top w:w="90" w:type="dxa"/>
              <w:bottom w:w="90" w:type="dxa"/>
              <w:left w:w="100" w:type="dxa"/>
              <w:right w:w="100" w:type="dxa"/>
            </w:tcMar>
            <w:shd w:fill="F5F7FA"/>
          </w:tcPr>
          <w:p>
            <w:pPr>
              <w:keepNext w:val="0"/>
              <w:spacing w:after="0" w:line="264" w:lineRule="auto"/>
            </w:pPr>
            <w:r>
              <w:rPr>
                <w:b w:val="0"/>
                <w:sz w:val="20"/>
              </w:rPr>
              <w:t>流水线权限、源提交、目标与配置快照</w:t>
            </w:r>
          </w:p>
        </w:tc>
      </w:tr>
      <w:tr>
        <w:trPr>
          <w:cantSplit/>
        </w:trPr>
        <w:tc>
          <w:tcPr>
            <w:tcW w:type="dxa" w:w="4025"/>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GET /s/{id}/api/v1/artifacts/{artifactId}</w:t>
            </w:r>
            <w:r>
              <w:rPr>
                <w:b w:val="0"/>
                <w:sz w:val="20"/>
              </w:rPr>
            </w:r>
          </w:p>
        </w:tc>
        <w:tc>
          <w:tcPr>
            <w:tcW w:type="dxa" w:w="1984"/>
            <w:vAlign w:val="center"/>
            <w:tcMar>
              <w:top w:w="90" w:type="dxa"/>
              <w:bottom w:w="90" w:type="dxa"/>
              <w:left w:w="100" w:type="dxa"/>
              <w:right w:w="100" w:type="dxa"/>
            </w:tcMar>
          </w:tcPr>
          <w:p>
            <w:pPr>
              <w:keepNext w:val="0"/>
              <w:spacing w:after="0" w:line="264" w:lineRule="auto"/>
            </w:pPr>
            <w:r>
              <w:rPr>
                <w:b w:val="0"/>
                <w:sz w:val="20"/>
              </w:rPr>
              <w:t>下载构建产物</w:t>
            </w:r>
          </w:p>
        </w:tc>
        <w:tc>
          <w:tcPr>
            <w:tcW w:type="dxa" w:w="3628"/>
            <w:vAlign w:val="center"/>
            <w:tcMar>
              <w:top w:w="90" w:type="dxa"/>
              <w:bottom w:w="90" w:type="dxa"/>
              <w:left w:w="100" w:type="dxa"/>
              <w:right w:w="100" w:type="dxa"/>
            </w:tcMar>
          </w:tcPr>
          <w:p>
            <w:pPr>
              <w:keepNext w:val="0"/>
              <w:spacing w:after="0" w:line="264" w:lineRule="auto"/>
            </w:pPr>
            <w:r>
              <w:rPr>
                <w:b w:val="0"/>
                <w:sz w:val="20"/>
              </w:rPr>
              <w:t>工作室及项目归属、下载权限</w:t>
            </w:r>
          </w:p>
        </w:tc>
      </w:tr>
    </w:tbl>
    <w:p>
      <w:pPr>
        <w:spacing w:after="20"/>
      </w:pPr>
    </w:p>
    <w:p>
      <w:r>
        <w:t xml:space="preserve">未登录返回 401；缺少权限或能力返回 403；跨工作室对象可统一返回 404，避免暴露存在性；配置版本冲突返回 409；请求配额返回 429 并给出重试信息；依赖不可用返回 503。具体业务状态使用稳定错误码，例如 </w:t>
      </w:r>
      <w:r>
        <w:rPr>
          <w:rFonts w:ascii="Consolas" w:hAnsi="Consolas"/>
          <w:sz w:val="20"/>
        </w:rPr>
        <w:t>FEATURE_DISABLED</w:t>
      </w:r>
      <w:r>
        <w:t>、</w:t>
      </w:r>
      <w:r>
        <w:rPr>
          <w:rFonts w:ascii="Consolas" w:hAnsi="Consolas"/>
          <w:sz w:val="20"/>
        </w:rPr>
        <w:t>STUDIO_SUSPENDED</w:t>
      </w:r>
      <w:r>
        <w:t>、</w:t>
      </w:r>
      <w:r>
        <w:rPr>
          <w:rFonts w:ascii="Consolas" w:hAnsi="Consolas"/>
          <w:sz w:val="20"/>
        </w:rPr>
        <w:t>INTEGRATION_NOT_CONFIGURED</w:t>
      </w:r>
      <w:r>
        <w:t>。</w:t>
      </w:r>
    </w:p>
    <w:p>
      <w:r>
        <w:t>后台恢复和回调也使用同一套作用域检查。对外响应不返回密钥、内部绝对路径、其他工作室标识或原始上游认证错误内容。</w:t>
      </w:r>
    </w:p>
    <w:p>
      <w:pPr>
        <w:pStyle w:val="Heading1"/>
      </w:pPr>
      <w:r>
        <w:t>11 迁移与上线步骤</w:t>
      </w:r>
    </w:p>
    <w:p>
      <w:pPr>
        <w:pStyle w:val="Heading2"/>
      </w:pPr>
      <w:r>
        <w:t>11 1 准备与演练</w:t>
      </w:r>
    </w:p>
    <w:p>
      <w:pPr>
        <w:pStyle w:val="ListNumber"/>
        <w:numPr>
          <w:ilvl w:val="0"/>
          <w:numId w:val="11"/>
        </w:numPr>
      </w:pPr>
      <w:r>
        <w:t>盘点真实数据根、当前账号和项目 ID、全部用户映射、活动任务、上传凭据路径、构建集成、下载入口和客户端版本，生成只读清单。</w:t>
      </w:r>
    </w:p>
    <w:p>
      <w:pPr>
        <w:pStyle w:val="ListNumber"/>
        <w:numPr>
          <w:ilvl w:val="0"/>
          <w:numId w:val="11"/>
        </w:numPr>
      </w:pPr>
      <w:r>
        <w:t>使用现有在线备份与异盘校验流程，获得主库和附件清单一致的恢复点。同时补充上传队列、任务收据、制作任务文件、集成配置与密钥恢复依赖。</w:t>
      </w:r>
    </w:p>
    <w:p>
      <w:pPr>
        <w:pStyle w:val="ListNumber"/>
        <w:numPr>
          <w:ilvl w:val="0"/>
          <w:numId w:val="11"/>
        </w:numPr>
      </w:pPr>
      <w:r>
        <w:t>将恢复点还原到全新演练目录，禁止让演练实例连接真实上传和发布目标。对比表记录数、ID、版本、外键、附件 SHA-256 和活动作业状态。</w:t>
      </w:r>
    </w:p>
    <w:p>
      <w:pPr>
        <w:pStyle w:val="ListNumber"/>
        <w:numPr>
          <w:ilvl w:val="0"/>
          <w:numId w:val="11"/>
        </w:numPr>
      </w:pPr>
      <w:r>
        <w:t>在演练环境执行新增迁移与配置化启动；现有工作室保持原 ID 和功能行为。准备第二个空白工作室和独立测试连接，执行跨工作室验收。</w:t>
      </w:r>
    </w:p>
    <w:p>
      <w:r>
        <w:t>当前主库备份成功不等于完整打包上传服务可以恢复。新增队列与任务文件属于独立状态源，需要明确各自一致性点；无法同时原子快照时，暂停相关任务派发，记录水位和未完成命令，再备份并通过回执在恢复后对账。</w:t>
      </w:r>
    </w:p>
    <w:p>
      <w:pPr>
        <w:pStyle w:val="Heading2"/>
      </w:pPr>
      <w:r>
        <w:t>11 2 灰度接入</w:t>
      </w:r>
    </w:p>
    <w:p>
      <w:r>
        <w:t>先部署新入口与控制目录，不改变原工作室的数据位置。将现有账号注册为工作室 A，验证原功能和正式身份映射；再创建空白工作室 B，只启用 QA 基础模块。B 通过隔离验收后，逐项开通打包、已有包上传、单次流水线，最后才启用自动触发。</w:t>
      </w:r>
    </w:p>
    <w:p>
      <w:r>
        <w:t>切换窗口停止新增打包派发和对外发布，等待运行中任务到安全点；同时短时限制可能影响迁移一致性的业务写入。记录备份水位和路由版本，按实例切换并进行读回。不强行关闭日常客户端，也不删除工作区、历史附件或未同步草稿。</w:t>
      </w:r>
    </w:p>
    <w:p>
      <w:pPr>
        <w:pStyle w:val="Heading2"/>
      </w:pPr>
      <w:r>
        <w:t>11 3 旧客户端兼容</w:t>
      </w:r>
    </w:p>
    <w:p>
      <w:r>
        <w:t>旧入口和旧客户端只能绑定现有工作室 A，不提供隐式跨工作室能力。服务器按最低客户端版本决定是否允许登录和写入；兼容期结束前推动正常自更新或用户重启。多工作室身份、能力和队列字段优先做增量契约变更，避免全员同时断开。</w:t>
      </w:r>
    </w:p>
    <w:p>
      <w:r>
        <w:t>现有姓名登录如需短期保留，应限制在明确的旧工作室与受控网络，并给出退场日期；在新的外部入口关闭该方式。不能用“仍在局域网”作为新工作室身份隔离的长期替代。</w:t>
      </w:r>
    </w:p>
    <w:p>
      <w:pPr>
        <w:pStyle w:val="Heading2"/>
      </w:pPr>
      <w:r>
        <w:t>11 4 回滚</w:t>
      </w:r>
    </w:p>
    <w:p>
      <w:r>
        <w:t>为代码、配置、实例路由和数据库迁移分别定义回滚方式。新 schema 尽量采用兼容扩展，先验证旧程序能否读写再允许安装包回退。新版本已经产生新业务记录后，不能直接用旧数据库覆盖，以免丢失他人的新写入。</w:t>
      </w:r>
    </w:p>
    <w:p>
      <w:r>
        <w:t>某工作室失败时，优先只暂停该实例的新操作，回退其应用与配置，保留故障库和任务证据。确需数据库恢复时，在新目录恢复并对账，核对恢复点之后的新写入和外部发布，再切换该工作室路由。禁止为了恢复 B 而回滚 A 的数据。</w:t>
      </w:r>
    </w:p>
    <w:p>
      <w:r>
        <w:t>外部平台发布通常不能随本地数据库回滚。恢复后先读取外部版本与幂等回执，已发布任务不得重新创建版本或重复推送。恢复演练必须覆盖这一情形。</w:t>
      </w:r>
    </w:p>
    <w:p>
      <w:pPr>
        <w:pStyle w:val="Heading1"/>
      </w:pPr>
      <w:r>
        <w:t>12 运维与资源要求</w:t>
      </w:r>
    </w:p>
    <w:p>
      <w:r>
        <w:t>按工作室监控 API 错误率、业务请求耗时、队列等待、执行耗时、磁盘与附件增长、上传带宽、失败重试、备份新鲜度和恢复结果。指标标签使用内部 ID，工作室用户仅查看自身指标。主机级故障由平台运维查看。</w:t>
      </w:r>
    </w:p>
    <w:p>
      <w:r>
        <w:t>资源起点可设为每工作室 1 个活动构建和 1 个活动上传，但这是调度试点值，不是本机容量结论。先测当前工作室基线，再增加第二个工作室负载，测量数据库等待、API p95、磁盘响应和实际构建时长，据此决定 VM 内存、并发和带宽限制。</w:t>
      </w:r>
    </w:p>
    <w:p>
      <w:r>
        <w:t>备份建议仍以 15 分钟作为业务库恢复点目标，扩展到每工作室验证。RPO 是可接受的数据丢失时间，RTO 是恢复服务耗时；文件、队列、配置与密钥也必须满足各自恢复承诺。可暂以单工作室恢复 60 分钟为演练目标，实测前不作为对外保证。</w:t>
      </w:r>
    </w:p>
    <w:p>
      <w:r>
        <w:t>仅采用每工作室独立实例不需要立即切换 PostgreSQL。若需要多节点 API、高并发写入或更复杂跨实例管理，再评估 PostgreSQL。共享库采用行级策略时，还需注意表所有者和特权角色可绕过部分行安全规则，应用不能用特权账号处理普通租户请求。</w:t>
      </w:r>
      <w:hyperlink r:id="rId12">
        <w:r>
          <w:rPr>
            <w:color w:val="1F4E79"/>
          </w:rPr>
          <w:t>PostgreSQL 行安全策略</w:t>
        </w:r>
      </w:hyperlink>
      <w:r/>
    </w:p>
    <w:p>
      <w:r>
        <w:t>工作室退出时，先停止新任务和自动触发，撤销访问与外部凭据，保留原任务和审计，按约定导出业务数据、附件及产物清单。停用不等于物理删除；保留期限和实际清理需单独确定，并覆盖在线文件、备份与客户端未同步草稿。单个工作室导出不得包含其他工作室数据或平台级密钥。</w:t>
      </w:r>
    </w:p>
    <w:p>
      <w:pPr>
        <w:pStyle w:val="Heading1"/>
      </w:pPr>
      <w:r>
        <w:t>13 实施阶段与工作量</w:t>
      </w:r>
    </w:p>
    <w:p>
      <w:r>
        <w:t>以下是基于现有代码耦合程度的工程估算，不是排期承诺。人日包含开发、评审、联调和测试参与，但不含采购、域名审批、外部平台账号办理、构建授权和新增平台适配。参考人员为 2 名开发与 1 名测试，运维阶段参与。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72"/>
        <w:gridCol w:w="2665"/>
        <w:gridCol w:w="1474"/>
      </w:tblGrid>
      <w:tr>
        <w:trPr>
          <w:cantSplit/>
          <w:tblHeader/>
        </w:trPr>
        <w:tc>
          <w:tcPr>
            <w:tcW w:type="dxa" w:w="1928"/>
            <w:vAlign w:val="center"/>
            <w:tcMar>
              <w:top w:w="90" w:type="dxa"/>
              <w:bottom w:w="90" w:type="dxa"/>
              <w:left w:w="100" w:type="dxa"/>
              <w:right w:w="100" w:type="dxa"/>
            </w:tcMar>
            <w:shd w:fill="DDEBF7"/>
          </w:tcPr>
          <w:p>
            <w:pPr>
              <w:keepNext/>
              <w:spacing w:after="0" w:line="264" w:lineRule="auto"/>
            </w:pPr>
            <w:r>
              <w:rPr>
                <w:b/>
                <w:sz w:val="20"/>
              </w:rPr>
              <w:t>阶段</w:t>
            </w:r>
          </w:p>
        </w:tc>
        <w:tc>
          <w:tcPr>
            <w:tcW w:type="dxa" w:w="3572"/>
            <w:vAlign w:val="center"/>
            <w:tcMar>
              <w:top w:w="90" w:type="dxa"/>
              <w:bottom w:w="90" w:type="dxa"/>
              <w:left w:w="100" w:type="dxa"/>
              <w:right w:w="100" w:type="dxa"/>
            </w:tcMar>
            <w:shd w:fill="DDEBF7"/>
          </w:tcPr>
          <w:p>
            <w:pPr>
              <w:keepNext/>
              <w:spacing w:after="0" w:line="264" w:lineRule="auto"/>
            </w:pPr>
            <w:r>
              <w:rPr>
                <w:b/>
                <w:sz w:val="20"/>
              </w:rPr>
              <w:t>主要交付</w:t>
            </w:r>
          </w:p>
        </w:tc>
        <w:tc>
          <w:tcPr>
            <w:tcW w:type="dxa" w:w="2665"/>
            <w:vAlign w:val="center"/>
            <w:tcMar>
              <w:top w:w="90" w:type="dxa"/>
              <w:bottom w:w="90" w:type="dxa"/>
              <w:left w:w="100" w:type="dxa"/>
              <w:right w:w="100" w:type="dxa"/>
            </w:tcMar>
            <w:shd w:fill="DDEBF7"/>
          </w:tcPr>
          <w:p>
            <w:pPr>
              <w:keepNext/>
              <w:spacing w:after="0" w:line="264" w:lineRule="auto"/>
            </w:pPr>
            <w:r>
              <w:rPr>
                <w:b/>
                <w:sz w:val="20"/>
              </w:rPr>
              <w:t>依赖</w:t>
            </w:r>
          </w:p>
        </w:tc>
        <w:tc>
          <w:tcPr>
            <w:tcW w:type="dxa" w:w="1474"/>
            <w:vAlign w:val="center"/>
            <w:tcMar>
              <w:top w:w="90" w:type="dxa"/>
              <w:bottom w:w="90" w:type="dxa"/>
              <w:left w:w="100" w:type="dxa"/>
              <w:right w:w="100" w:type="dxa"/>
            </w:tcMar>
            <w:shd w:fill="DDEBF7"/>
          </w:tcPr>
          <w:p>
            <w:pPr>
              <w:keepNext/>
              <w:spacing w:after="0" w:line="264" w:lineRule="auto"/>
            </w:pPr>
            <w:r>
              <w:rPr>
                <w:b/>
                <w:sz w:val="20"/>
              </w:rPr>
              <w:t>估算人日</w:t>
            </w:r>
          </w:p>
        </w:tc>
      </w:tr>
      <w:tr>
        <w:trPr>
          <w:cantSplit/>
        </w:trPr>
        <w:tc>
          <w:tcPr>
            <w:tcW w:type="dxa" w:w="1928"/>
            <w:vAlign w:val="center"/>
            <w:tcMar>
              <w:top w:w="90" w:type="dxa"/>
              <w:bottom w:w="90" w:type="dxa"/>
              <w:left w:w="100" w:type="dxa"/>
              <w:right w:w="100" w:type="dxa"/>
            </w:tcMar>
          </w:tcPr>
          <w:p>
            <w:pPr>
              <w:keepNext w:val="0"/>
              <w:spacing w:after="0" w:line="264" w:lineRule="auto"/>
            </w:pPr>
            <w:r>
              <w:rPr>
                <w:b w:val="0"/>
                <w:sz w:val="20"/>
              </w:rPr>
              <w:t>P0 盘点与设计冻结</w:t>
            </w:r>
          </w:p>
        </w:tc>
        <w:tc>
          <w:tcPr>
            <w:tcW w:type="dxa" w:w="3572"/>
            <w:vAlign w:val="center"/>
            <w:tcMar>
              <w:top w:w="90" w:type="dxa"/>
              <w:bottom w:w="90" w:type="dxa"/>
              <w:left w:w="100" w:type="dxa"/>
              <w:right w:w="100" w:type="dxa"/>
            </w:tcMar>
          </w:tcPr>
          <w:p>
            <w:pPr>
              <w:keepNext w:val="0"/>
              <w:spacing w:after="0" w:line="264" w:lineRule="auto"/>
            </w:pPr>
            <w:r>
              <w:rPr>
                <w:b w:val="0"/>
                <w:sz w:val="20"/>
              </w:rPr>
              <w:t>身份映射、边界、真实目标清单、隔离用例</w:t>
            </w:r>
          </w:p>
        </w:tc>
        <w:tc>
          <w:tcPr>
            <w:tcW w:type="dxa" w:w="2665"/>
            <w:vAlign w:val="center"/>
            <w:tcMar>
              <w:top w:w="90" w:type="dxa"/>
              <w:bottom w:w="90" w:type="dxa"/>
              <w:left w:w="100" w:type="dxa"/>
              <w:right w:w="100" w:type="dxa"/>
            </w:tcMar>
          </w:tcPr>
          <w:p>
            <w:pPr>
              <w:keepNext w:val="0"/>
              <w:spacing w:after="0" w:line="264" w:lineRule="auto"/>
            </w:pPr>
            <w:r>
              <w:rPr>
                <w:b w:val="0"/>
                <w:sz w:val="20"/>
              </w:rPr>
              <w:t>访问现有配置与代表性工作室需求</w:t>
            </w:r>
          </w:p>
        </w:tc>
        <w:tc>
          <w:tcPr>
            <w:tcW w:type="dxa" w:w="1474"/>
            <w:vAlign w:val="center"/>
            <w:tcMar>
              <w:top w:w="90" w:type="dxa"/>
              <w:bottom w:w="90" w:type="dxa"/>
              <w:left w:w="100" w:type="dxa"/>
              <w:right w:w="100" w:type="dxa"/>
            </w:tcMar>
          </w:tcPr>
          <w:p>
            <w:pPr>
              <w:keepNext w:val="0"/>
              <w:spacing w:after="0" w:line="264" w:lineRule="auto"/>
            </w:pPr>
            <w:r>
              <w:rPr>
                <w:b w:val="0"/>
                <w:sz w:val="20"/>
              </w:rPr>
              <w:t>4 至 6</w:t>
            </w:r>
          </w:p>
        </w:tc>
      </w:tr>
      <w:tr>
        <w:trPr>
          <w:cantSplit/>
        </w:trPr>
        <w:tc>
          <w:tcPr>
            <w:tcW w:type="dxa" w:w="1928"/>
            <w:vAlign w:val="center"/>
            <w:tcMar>
              <w:top w:w="90" w:type="dxa"/>
              <w:bottom w:w="90" w:type="dxa"/>
              <w:left w:w="100" w:type="dxa"/>
              <w:right w:w="100" w:type="dxa"/>
            </w:tcMar>
            <w:shd w:fill="F5F7FA"/>
          </w:tcPr>
          <w:p>
            <w:pPr>
              <w:keepNext w:val="0"/>
              <w:spacing w:after="0" w:line="264" w:lineRule="auto"/>
            </w:pPr>
            <w:r>
              <w:rPr>
                <w:b w:val="0"/>
                <w:sz w:val="20"/>
              </w:rPr>
              <w:t>P1 工作室运行基础</w:t>
            </w:r>
          </w:p>
        </w:tc>
        <w:tc>
          <w:tcPr>
            <w:tcW w:type="dxa" w:w="3572"/>
            <w:vAlign w:val="center"/>
            <w:tcMar>
              <w:top w:w="90" w:type="dxa"/>
              <w:bottom w:w="90" w:type="dxa"/>
              <w:left w:w="100" w:type="dxa"/>
              <w:right w:w="100" w:type="dxa"/>
            </w:tcMar>
            <w:shd w:fill="F5F7FA"/>
          </w:tcPr>
          <w:p>
            <w:pPr>
              <w:keepNext w:val="0"/>
              <w:spacing w:after="0" w:line="264" w:lineRule="auto"/>
            </w:pPr>
            <w:r>
              <w:rPr>
                <w:b w:val="0"/>
                <w:sz w:val="20"/>
              </w:rPr>
              <w:t>注册目录、实例配置、独立目录与库、入口路由</w:t>
            </w:r>
          </w:p>
        </w:tc>
        <w:tc>
          <w:tcPr>
            <w:tcW w:type="dxa" w:w="2665"/>
            <w:vAlign w:val="center"/>
            <w:tcMar>
              <w:top w:w="90" w:type="dxa"/>
              <w:bottom w:w="90" w:type="dxa"/>
              <w:left w:w="100" w:type="dxa"/>
              <w:right w:w="100" w:type="dxa"/>
            </w:tcMar>
            <w:shd w:fill="F5F7FA"/>
          </w:tcPr>
          <w:p>
            <w:pPr>
              <w:keepNext w:val="0"/>
              <w:spacing w:after="0" w:line="264" w:lineRule="auto"/>
            </w:pPr>
            <w:r>
              <w:rPr>
                <w:b w:val="0"/>
                <w:sz w:val="20"/>
              </w:rPr>
              <w:t>P0</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8 至 12</w:t>
            </w:r>
          </w:p>
        </w:tc>
      </w:tr>
      <w:tr>
        <w:trPr>
          <w:cantSplit/>
        </w:trPr>
        <w:tc>
          <w:tcPr>
            <w:tcW w:type="dxa" w:w="1928"/>
            <w:vAlign w:val="center"/>
            <w:tcMar>
              <w:top w:w="90" w:type="dxa"/>
              <w:bottom w:w="90" w:type="dxa"/>
              <w:left w:w="100" w:type="dxa"/>
              <w:right w:w="100" w:type="dxa"/>
            </w:tcMar>
          </w:tcPr>
          <w:p>
            <w:pPr>
              <w:keepNext w:val="0"/>
              <w:spacing w:after="0" w:line="264" w:lineRule="auto"/>
            </w:pPr>
            <w:r>
              <w:rPr>
                <w:b w:val="0"/>
                <w:sz w:val="20"/>
              </w:rPr>
              <w:t>P2 身份与权限</w:t>
            </w:r>
          </w:p>
        </w:tc>
        <w:tc>
          <w:tcPr>
            <w:tcW w:type="dxa" w:w="3572"/>
            <w:vAlign w:val="center"/>
            <w:tcMar>
              <w:top w:w="90" w:type="dxa"/>
              <w:bottom w:w="90" w:type="dxa"/>
              <w:left w:w="100" w:type="dxa"/>
              <w:right w:w="100" w:type="dxa"/>
            </w:tcMar>
          </w:tcPr>
          <w:p>
            <w:pPr>
              <w:keepNext w:val="0"/>
              <w:spacing w:after="0" w:line="264" w:lineRule="auto"/>
            </w:pPr>
            <w:r>
              <w:rPr>
                <w:b w:val="0"/>
                <w:sz w:val="20"/>
              </w:rPr>
              <w:t>邀请、登录、成员映射、上下文、管理员边界</w:t>
            </w:r>
          </w:p>
        </w:tc>
        <w:tc>
          <w:tcPr>
            <w:tcW w:type="dxa" w:w="2665"/>
            <w:vAlign w:val="center"/>
            <w:tcMar>
              <w:top w:w="90" w:type="dxa"/>
              <w:bottom w:w="90" w:type="dxa"/>
              <w:left w:w="100" w:type="dxa"/>
              <w:right w:w="100" w:type="dxa"/>
            </w:tcMar>
          </w:tcPr>
          <w:p>
            <w:pPr>
              <w:keepNext w:val="0"/>
              <w:spacing w:after="0" w:line="264" w:lineRule="auto"/>
            </w:pPr>
            <w:r>
              <w:rPr>
                <w:b w:val="0"/>
                <w:sz w:val="20"/>
              </w:rPr>
              <w:t>P0 P1</w:t>
            </w:r>
          </w:p>
        </w:tc>
        <w:tc>
          <w:tcPr>
            <w:tcW w:type="dxa" w:w="1474"/>
            <w:vAlign w:val="center"/>
            <w:tcMar>
              <w:top w:w="90" w:type="dxa"/>
              <w:bottom w:w="90" w:type="dxa"/>
              <w:left w:w="100" w:type="dxa"/>
              <w:right w:w="100" w:type="dxa"/>
            </w:tcMar>
          </w:tcPr>
          <w:p>
            <w:pPr>
              <w:keepNext w:val="0"/>
              <w:spacing w:after="0" w:line="264" w:lineRule="auto"/>
            </w:pPr>
            <w:r>
              <w:rPr>
                <w:b w:val="0"/>
                <w:sz w:val="20"/>
              </w:rPr>
              <w:t>9 至 14</w:t>
            </w:r>
          </w:p>
        </w:tc>
      </w:tr>
      <w:tr>
        <w:trPr>
          <w:cantSplit/>
        </w:trPr>
        <w:tc>
          <w:tcPr>
            <w:tcW w:type="dxa" w:w="1928"/>
            <w:vAlign w:val="center"/>
            <w:tcMar>
              <w:top w:w="90" w:type="dxa"/>
              <w:bottom w:w="90" w:type="dxa"/>
              <w:left w:w="100" w:type="dxa"/>
              <w:right w:w="100" w:type="dxa"/>
            </w:tcMar>
            <w:shd w:fill="F5F7FA"/>
          </w:tcPr>
          <w:p>
            <w:pPr>
              <w:keepNext w:val="0"/>
              <w:spacing w:after="0" w:line="264" w:lineRule="auto"/>
            </w:pPr>
            <w:r>
              <w:rPr>
                <w:b w:val="0"/>
                <w:sz w:val="20"/>
              </w:rPr>
              <w:t>P3 模块与管理端</w:t>
            </w:r>
          </w:p>
        </w:tc>
        <w:tc>
          <w:tcPr>
            <w:tcW w:type="dxa" w:w="3572"/>
            <w:vAlign w:val="center"/>
            <w:tcMar>
              <w:top w:w="90" w:type="dxa"/>
              <w:bottom w:w="90" w:type="dxa"/>
              <w:left w:w="100" w:type="dxa"/>
              <w:right w:w="100" w:type="dxa"/>
            </w:tcMar>
            <w:shd w:fill="F5F7FA"/>
          </w:tcPr>
          <w:p>
            <w:pPr>
              <w:keepNext w:val="0"/>
              <w:spacing w:after="0" w:line="264" w:lineRule="auto"/>
            </w:pPr>
            <w:r>
              <w:rPr>
                <w:b w:val="0"/>
                <w:sz w:val="20"/>
              </w:rPr>
              <w:t>能力目录、依赖检查、开关、菜单与 API 约束</w:t>
            </w:r>
          </w:p>
        </w:tc>
        <w:tc>
          <w:tcPr>
            <w:tcW w:type="dxa" w:w="2665"/>
            <w:vAlign w:val="center"/>
            <w:tcMar>
              <w:top w:w="90" w:type="dxa"/>
              <w:bottom w:w="90" w:type="dxa"/>
              <w:left w:w="100" w:type="dxa"/>
              <w:right w:w="100" w:type="dxa"/>
            </w:tcMar>
            <w:shd w:fill="F5F7FA"/>
          </w:tcPr>
          <w:p>
            <w:pPr>
              <w:keepNext w:val="0"/>
              <w:spacing w:after="0" w:line="264" w:lineRule="auto"/>
            </w:pPr>
            <w:r>
              <w:rPr>
                <w:b w:val="0"/>
                <w:sz w:val="20"/>
              </w:rPr>
              <w:t>P1 P2</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6 至 9</w:t>
            </w:r>
          </w:p>
        </w:tc>
      </w:tr>
      <w:tr>
        <w:trPr>
          <w:cantSplit/>
        </w:trPr>
        <w:tc>
          <w:tcPr>
            <w:tcW w:type="dxa" w:w="1928"/>
            <w:vAlign w:val="center"/>
            <w:tcMar>
              <w:top w:w="90" w:type="dxa"/>
              <w:bottom w:w="90" w:type="dxa"/>
              <w:left w:w="100" w:type="dxa"/>
              <w:right w:w="100" w:type="dxa"/>
            </w:tcMar>
          </w:tcPr>
          <w:p>
            <w:pPr>
              <w:keepNext w:val="0"/>
              <w:spacing w:after="0" w:line="264" w:lineRule="auto"/>
            </w:pPr>
            <w:r>
              <w:rPr>
                <w:b w:val="0"/>
                <w:sz w:val="20"/>
              </w:rPr>
              <w:t>P4 打包上传适配</w:t>
            </w:r>
          </w:p>
        </w:tc>
        <w:tc>
          <w:tcPr>
            <w:tcW w:type="dxa" w:w="3572"/>
            <w:vAlign w:val="center"/>
            <w:tcMar>
              <w:top w:w="90" w:type="dxa"/>
              <w:bottom w:w="90" w:type="dxa"/>
              <w:left w:w="100" w:type="dxa"/>
              <w:right w:w="100" w:type="dxa"/>
            </w:tcMar>
          </w:tcPr>
          <w:p>
            <w:pPr>
              <w:keepNext w:val="0"/>
              <w:spacing w:after="0" w:line="264" w:lineRule="auto"/>
            </w:pPr>
            <w:r>
              <w:rPr>
                <w:b w:val="0"/>
                <w:sz w:val="20"/>
              </w:rPr>
              <w:t>配置化、队列与产物隔离、凭据和目标锁</w:t>
            </w:r>
          </w:p>
        </w:tc>
        <w:tc>
          <w:tcPr>
            <w:tcW w:type="dxa" w:w="2665"/>
            <w:vAlign w:val="center"/>
            <w:tcMar>
              <w:top w:w="90" w:type="dxa"/>
              <w:bottom w:w="90" w:type="dxa"/>
              <w:left w:w="100" w:type="dxa"/>
              <w:right w:w="100" w:type="dxa"/>
            </w:tcMar>
          </w:tcPr>
          <w:p>
            <w:pPr>
              <w:keepNext w:val="0"/>
              <w:spacing w:after="0" w:line="264" w:lineRule="auto"/>
            </w:pPr>
            <w:r>
              <w:rPr>
                <w:b w:val="0"/>
                <w:sz w:val="20"/>
              </w:rPr>
              <w:t>P1 P2 P3</w:t>
            </w:r>
          </w:p>
        </w:tc>
        <w:tc>
          <w:tcPr>
            <w:tcW w:type="dxa" w:w="1474"/>
            <w:vAlign w:val="center"/>
            <w:tcMar>
              <w:top w:w="90" w:type="dxa"/>
              <w:bottom w:w="90" w:type="dxa"/>
              <w:left w:w="100" w:type="dxa"/>
              <w:right w:w="100" w:type="dxa"/>
            </w:tcMar>
          </w:tcPr>
          <w:p>
            <w:pPr>
              <w:keepNext w:val="0"/>
              <w:spacing w:after="0" w:line="264" w:lineRule="auto"/>
            </w:pPr>
            <w:r>
              <w:rPr>
                <w:b w:val="0"/>
                <w:sz w:val="20"/>
              </w:rPr>
              <w:t>10 至 16</w:t>
            </w:r>
          </w:p>
        </w:tc>
      </w:tr>
      <w:tr>
        <w:trPr>
          <w:cantSplit/>
        </w:trPr>
        <w:tc>
          <w:tcPr>
            <w:tcW w:type="dxa" w:w="1928"/>
            <w:vAlign w:val="center"/>
            <w:tcMar>
              <w:top w:w="90" w:type="dxa"/>
              <w:bottom w:w="90" w:type="dxa"/>
              <w:left w:w="100" w:type="dxa"/>
              <w:right w:w="100" w:type="dxa"/>
            </w:tcMar>
            <w:shd w:fill="F5F7FA"/>
          </w:tcPr>
          <w:p>
            <w:pPr>
              <w:keepNext w:val="0"/>
              <w:spacing w:after="0" w:line="264" w:lineRule="auto"/>
            </w:pPr>
            <w:r>
              <w:rPr>
                <w:b w:val="0"/>
                <w:sz w:val="20"/>
              </w:rPr>
              <w:t>P5 客户端与集成收口</w:t>
            </w:r>
          </w:p>
        </w:tc>
        <w:tc>
          <w:tcPr>
            <w:tcW w:type="dxa" w:w="3572"/>
            <w:vAlign w:val="center"/>
            <w:tcMar>
              <w:top w:w="90" w:type="dxa"/>
              <w:bottom w:w="90" w:type="dxa"/>
              <w:left w:w="100" w:type="dxa"/>
              <w:right w:w="100" w:type="dxa"/>
            </w:tcMar>
            <w:shd w:fill="F5F7FA"/>
          </w:tcPr>
          <w:p>
            <w:pPr>
              <w:keepNext w:val="0"/>
              <w:spacing w:after="0" w:line="264" w:lineRule="auto"/>
            </w:pPr>
            <w:r>
              <w:rPr>
                <w:b w:val="0"/>
                <w:sz w:val="20"/>
              </w:rPr>
              <w:t>Web Windows MCP Android 切换和缓存、Relay 轻语</w:t>
            </w:r>
          </w:p>
        </w:tc>
        <w:tc>
          <w:tcPr>
            <w:tcW w:type="dxa" w:w="2665"/>
            <w:vAlign w:val="center"/>
            <w:tcMar>
              <w:top w:w="90" w:type="dxa"/>
              <w:bottom w:w="90" w:type="dxa"/>
              <w:left w:w="100" w:type="dxa"/>
              <w:right w:w="100" w:type="dxa"/>
            </w:tcMar>
            <w:shd w:fill="F5F7FA"/>
          </w:tcPr>
          <w:p>
            <w:pPr>
              <w:keepNext w:val="0"/>
              <w:spacing w:after="0" w:line="264" w:lineRule="auto"/>
            </w:pPr>
            <w:r>
              <w:rPr>
                <w:b w:val="0"/>
                <w:sz w:val="20"/>
              </w:rPr>
              <w:t>P2 P3 可与 P4 部分并行</w:t>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8 至 12</w:t>
            </w:r>
          </w:p>
        </w:tc>
      </w:tr>
      <w:tr>
        <w:trPr>
          <w:cantSplit/>
        </w:trPr>
        <w:tc>
          <w:tcPr>
            <w:tcW w:type="dxa" w:w="1928"/>
            <w:vAlign w:val="center"/>
            <w:tcMar>
              <w:top w:w="90" w:type="dxa"/>
              <w:bottom w:w="90" w:type="dxa"/>
              <w:left w:w="100" w:type="dxa"/>
              <w:right w:w="100" w:type="dxa"/>
            </w:tcMar>
          </w:tcPr>
          <w:p>
            <w:pPr>
              <w:keepNext w:val="0"/>
              <w:spacing w:after="0" w:line="264" w:lineRule="auto"/>
            </w:pPr>
            <w:r>
              <w:rPr>
                <w:b w:val="0"/>
                <w:sz w:val="20"/>
              </w:rPr>
              <w:t>P6 迁移与验证</w:t>
            </w:r>
          </w:p>
        </w:tc>
        <w:tc>
          <w:tcPr>
            <w:tcW w:type="dxa" w:w="3572"/>
            <w:vAlign w:val="center"/>
            <w:tcMar>
              <w:top w:w="90" w:type="dxa"/>
              <w:bottom w:w="90" w:type="dxa"/>
              <w:left w:w="100" w:type="dxa"/>
              <w:right w:w="100" w:type="dxa"/>
            </w:tcMar>
          </w:tcPr>
          <w:p>
            <w:pPr>
              <w:keepNext w:val="0"/>
              <w:spacing w:after="0" w:line="264" w:lineRule="auto"/>
            </w:pPr>
            <w:r>
              <w:rPr>
                <w:b w:val="0"/>
                <w:sz w:val="20"/>
              </w:rPr>
              <w:t>恢复演练、跨工作室与负载测试、灰度升级</w:t>
            </w:r>
          </w:p>
        </w:tc>
        <w:tc>
          <w:tcPr>
            <w:tcW w:type="dxa" w:w="2665"/>
            <w:vAlign w:val="center"/>
            <w:tcMar>
              <w:top w:w="90" w:type="dxa"/>
              <w:bottom w:w="90" w:type="dxa"/>
              <w:left w:w="100" w:type="dxa"/>
              <w:right w:w="100" w:type="dxa"/>
            </w:tcMar>
          </w:tcPr>
          <w:p>
            <w:pPr>
              <w:keepNext w:val="0"/>
              <w:spacing w:after="0" w:line="264" w:lineRule="auto"/>
            </w:pPr>
            <w:r>
              <w:rPr>
                <w:b w:val="0"/>
                <w:sz w:val="20"/>
              </w:rPr>
              <w:t>前述阶段</w:t>
            </w:r>
          </w:p>
        </w:tc>
        <w:tc>
          <w:tcPr>
            <w:tcW w:type="dxa" w:w="1474"/>
            <w:vAlign w:val="center"/>
            <w:tcMar>
              <w:top w:w="90" w:type="dxa"/>
              <w:bottom w:w="90" w:type="dxa"/>
              <w:left w:w="100" w:type="dxa"/>
              <w:right w:w="100" w:type="dxa"/>
            </w:tcMar>
          </w:tcPr>
          <w:p>
            <w:pPr>
              <w:keepNext w:val="0"/>
              <w:spacing w:after="0" w:line="264" w:lineRule="auto"/>
            </w:pPr>
            <w:r>
              <w:rPr>
                <w:b w:val="0"/>
                <w:sz w:val="20"/>
              </w:rPr>
              <w:t>10 至 16</w:t>
            </w:r>
          </w:p>
        </w:tc>
      </w:tr>
      <w:tr>
        <w:trPr>
          <w:cantSplit/>
        </w:trPr>
        <w:tc>
          <w:tcPr>
            <w:tcW w:type="dxa" w:w="1928"/>
            <w:vAlign w:val="center"/>
            <w:tcMar>
              <w:top w:w="90" w:type="dxa"/>
              <w:bottom w:w="90" w:type="dxa"/>
              <w:left w:w="100" w:type="dxa"/>
              <w:right w:w="100" w:type="dxa"/>
            </w:tcMar>
            <w:shd w:fill="F5F7FA"/>
          </w:tcPr>
          <w:p>
            <w:pPr>
              <w:keepNext w:val="0"/>
              <w:spacing w:after="0" w:line="264" w:lineRule="auto"/>
            </w:pPr>
            <w:r>
              <w:rPr>
                <w:b w:val="0"/>
                <w:sz w:val="20"/>
              </w:rPr>
              <w:t>合计</w:t>
            </w:r>
          </w:p>
        </w:tc>
        <w:tc>
          <w:tcPr>
            <w:tcW w:type="dxa" w:w="3572"/>
            <w:vAlign w:val="center"/>
            <w:tcMar>
              <w:top w:w="90" w:type="dxa"/>
              <w:bottom w:w="90" w:type="dxa"/>
              <w:left w:w="100" w:type="dxa"/>
              <w:right w:w="100" w:type="dxa"/>
            </w:tcMar>
            <w:shd w:fill="F5F7FA"/>
          </w:tcPr>
          <w:p>
            <w:pPr>
              <w:keepNext w:val="0"/>
              <w:spacing w:after="0" w:line="264" w:lineRule="auto"/>
            </w:pPr>
            <w:r>
              <w:rPr>
                <w:b w:val="0"/>
                <w:sz w:val="20"/>
              </w:rPr>
              <w:t>推荐完整首期</w:t>
            </w:r>
          </w:p>
        </w:tc>
        <w:tc>
          <w:tcPr>
            <w:tcW w:type="dxa" w:w="2665"/>
            <w:vAlign w:val="center"/>
            <w:tcMar>
              <w:top w:w="90" w:type="dxa"/>
              <w:bottom w:w="90" w:type="dxa"/>
              <w:left w:w="100" w:type="dxa"/>
              <w:right w:w="100" w:type="dxa"/>
            </w:tcMar>
            <w:shd w:fill="F5F7FA"/>
          </w:tcPr>
          <w:p>
            <w:pPr>
              <w:keepNext w:val="0"/>
              <w:spacing w:after="0" w:line="264" w:lineRule="auto"/>
            </w:pPr>
            <w:r>
              <w:rPr>
                <w:b w:val="0"/>
                <w:sz w:val="20"/>
              </w:rPr>
            </w:r>
          </w:p>
        </w:tc>
        <w:tc>
          <w:tcPr>
            <w:tcW w:type="dxa" w:w="1474"/>
            <w:vAlign w:val="center"/>
            <w:tcMar>
              <w:top w:w="90" w:type="dxa"/>
              <w:bottom w:w="90" w:type="dxa"/>
              <w:left w:w="100" w:type="dxa"/>
              <w:right w:w="100" w:type="dxa"/>
            </w:tcMar>
            <w:shd w:fill="F5F7FA"/>
          </w:tcPr>
          <w:p>
            <w:pPr>
              <w:keepNext w:val="0"/>
              <w:spacing w:after="0" w:line="264" w:lineRule="auto"/>
            </w:pPr>
            <w:r>
              <w:rPr>
                <w:b w:val="0"/>
                <w:sz w:val="20"/>
              </w:rPr>
              <w:t>55 至 85</w:t>
            </w:r>
          </w:p>
        </w:tc>
      </w:tr>
    </w:tbl>
    <w:p>
      <w:pPr>
        <w:spacing w:after="20"/>
      </w:pPr>
    </w:p>
    <w:p>
      <w:r>
        <w:t>建议预留约 20% 处理历史配置、身份认领和第三方联调，总投入约 66 至 102 人日。上述团队可按 8 至 12 周制定初始日历计划；关键链路和外部依赖可能延长日历时间，不能简单把总人日除以人数当作完工日期。</w:t>
      </w:r>
    </w:p>
    <w:p>
      <w:r>
        <w:t>最小试点可先只覆盖两个工作室、Web 与 Windows、正式登录、Bug 与附件隔离、模块开关和备份恢复，暂不向外部工作室开放打包上传、Android 与跨工作室无感登录。估算 25 至 40 人日。该范围仅验证隔离基础，不能代表用户提出的全部可选打包上传需求已经完成。</w:t>
      </w:r>
    </w:p>
    <w:p>
      <w:r>
        <w:t>新增一个完全不同的构建或上传平台，宜另列适配工作包：接口调查、凭据、参数映射、产物归属、状态恢复和真实发布验收。具体时间在取得该平台实际文档和测试环境后再估，不在本方案内承诺统一接入天数。</w:t>
      </w:r>
    </w:p>
    <w:p>
      <w:pPr>
        <w:pStyle w:val="Heading1"/>
      </w:pPr>
      <w:r>
        <w:t>14 验收清单</w:t>
      </w:r>
    </w:p>
    <w:p>
      <w:r>
        <w:t>验收建立 A、B 两个工作室，使用相同显示名、项目短编号、Bug 短编号和外部构建号制造冲突场景。同时创建仅属于 A、仅属于 B、同时属于两者以及已撤销的用户身份。以下用例为上线前必测；本次只编写方案，没有执行这些未来用例。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422"/>
        <w:gridCol w:w="4422"/>
      </w:tblGrid>
      <w:tr>
        <w:trPr>
          <w:cantSplit/>
          <w:tblHeader/>
        </w:trPr>
        <w:tc>
          <w:tcPr>
            <w:tcW w:type="dxa" w:w="794"/>
            <w:vAlign w:val="center"/>
            <w:tcMar>
              <w:top w:w="90" w:type="dxa"/>
              <w:bottom w:w="90" w:type="dxa"/>
              <w:left w:w="100" w:type="dxa"/>
              <w:right w:w="100" w:type="dxa"/>
            </w:tcMar>
            <w:shd w:fill="DDEBF7"/>
          </w:tcPr>
          <w:p>
            <w:pPr>
              <w:keepNext/>
              <w:spacing w:after="0" w:line="264" w:lineRule="auto"/>
              <w:jc w:val="center"/>
            </w:pPr>
            <w:r>
              <w:rPr>
                <w:b/>
                <w:sz w:val="20"/>
              </w:rPr>
              <w:t>编号</w:t>
            </w:r>
          </w:p>
        </w:tc>
        <w:tc>
          <w:tcPr>
            <w:tcW w:type="dxa" w:w="4422"/>
            <w:vAlign w:val="center"/>
            <w:tcMar>
              <w:top w:w="90" w:type="dxa"/>
              <w:bottom w:w="90" w:type="dxa"/>
              <w:left w:w="100" w:type="dxa"/>
              <w:right w:w="100" w:type="dxa"/>
            </w:tcMar>
            <w:shd w:fill="DDEBF7"/>
          </w:tcPr>
          <w:p>
            <w:pPr>
              <w:keepNext/>
              <w:spacing w:after="0" w:line="264" w:lineRule="auto"/>
            </w:pPr>
            <w:r>
              <w:rPr>
                <w:b/>
                <w:sz w:val="20"/>
              </w:rPr>
              <w:t>场景</w:t>
            </w:r>
          </w:p>
        </w:tc>
        <w:tc>
          <w:tcPr>
            <w:tcW w:type="dxa" w:w="4422"/>
            <w:vAlign w:val="center"/>
            <w:tcMar>
              <w:top w:w="90" w:type="dxa"/>
              <w:bottom w:w="90" w:type="dxa"/>
              <w:left w:w="100" w:type="dxa"/>
              <w:right w:w="100" w:type="dxa"/>
            </w:tcMar>
            <w:shd w:fill="DDEBF7"/>
          </w:tcPr>
          <w:p>
            <w:pPr>
              <w:keepNext/>
              <w:spacing w:after="0" w:line="264" w:lineRule="auto"/>
            </w:pPr>
            <w:r>
              <w:rPr>
                <w:b/>
                <w:sz w:val="20"/>
              </w:rPr>
              <w:t>必须观察到的结果</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T01</w:t>
            </w:r>
          </w:p>
        </w:tc>
        <w:tc>
          <w:tcPr>
            <w:tcW w:type="dxa" w:w="4422"/>
            <w:vAlign w:val="center"/>
            <w:tcMar>
              <w:top w:w="90" w:type="dxa"/>
              <w:bottom w:w="90" w:type="dxa"/>
              <w:left w:w="100" w:type="dxa"/>
              <w:right w:w="100" w:type="dxa"/>
            </w:tcMar>
          </w:tcPr>
          <w:p>
            <w:pPr>
              <w:keepNext w:val="0"/>
              <w:spacing w:after="0" w:line="264" w:lineRule="auto"/>
            </w:pPr>
            <w:r>
              <w:rPr>
                <w:b w:val="0"/>
                <w:sz w:val="20"/>
              </w:rPr>
              <w:t>A 用户读取或修改 B 的 Bug ID</w:t>
            </w:r>
          </w:p>
        </w:tc>
        <w:tc>
          <w:tcPr>
            <w:tcW w:type="dxa" w:w="4422"/>
            <w:vAlign w:val="center"/>
            <w:tcMar>
              <w:top w:w="90" w:type="dxa"/>
              <w:bottom w:w="90" w:type="dxa"/>
              <w:left w:w="100" w:type="dxa"/>
              <w:right w:w="100" w:type="dxa"/>
            </w:tcMar>
          </w:tcPr>
          <w:p>
            <w:pPr>
              <w:keepNext w:val="0"/>
              <w:spacing w:after="0" w:line="264" w:lineRule="auto"/>
            </w:pPr>
            <w:r>
              <w:rPr>
                <w:b w:val="0"/>
                <w:sz w:val="20"/>
              </w:rPr>
              <w:t>拒绝且无 B 元数据、无业务写入</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T02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枚举附件、缩略图、Poco、日志和产物 URL</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下载均校验归属，旧链接和缓存不跨工作室</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T03</w:t>
            </w:r>
          </w:p>
        </w:tc>
        <w:tc>
          <w:tcPr>
            <w:tcW w:type="dxa" w:w="4422"/>
            <w:vAlign w:val="center"/>
            <w:tcMar>
              <w:top w:w="90" w:type="dxa"/>
              <w:bottom w:w="90" w:type="dxa"/>
              <w:left w:w="100" w:type="dxa"/>
              <w:right w:w="100" w:type="dxa"/>
            </w:tcMar>
          </w:tcPr>
          <w:p>
            <w:pPr>
              <w:keepNext w:val="0"/>
              <w:spacing w:after="0" w:line="264" w:lineRule="auto"/>
            </w:pPr>
            <w:r>
              <w:rPr>
                <w:b w:val="0"/>
                <w:sz w:val="20"/>
              </w:rPr>
              <w:t>A 与 B 同名用户登录和姓名认领</w:t>
            </w:r>
          </w:p>
        </w:tc>
        <w:tc>
          <w:tcPr>
            <w:tcW w:type="dxa" w:w="4422"/>
            <w:vAlign w:val="center"/>
            <w:tcMar>
              <w:top w:w="90" w:type="dxa"/>
              <w:bottom w:w="90" w:type="dxa"/>
              <w:left w:w="100" w:type="dxa"/>
              <w:right w:w="100" w:type="dxa"/>
            </w:tcMar>
          </w:tcPr>
          <w:p>
            <w:pPr>
              <w:keepNext w:val="0"/>
              <w:spacing w:after="0" w:line="264" w:lineRule="auto"/>
            </w:pPr>
            <w:r>
              <w:rPr>
                <w:b w:val="0"/>
                <w:sz w:val="20"/>
              </w:rPr>
              <w:t>身份映射明确，无自动串号或跨工作室合并</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T04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伪造工作室头、项目 ID 或直连下游端口</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路由与实例均拒绝绕过</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T05</w:t>
            </w:r>
          </w:p>
        </w:tc>
        <w:tc>
          <w:tcPr>
            <w:tcW w:type="dxa" w:w="4422"/>
            <w:vAlign w:val="center"/>
            <w:tcMar>
              <w:top w:w="90" w:type="dxa"/>
              <w:bottom w:w="90" w:type="dxa"/>
              <w:left w:w="100" w:type="dxa"/>
              <w:right w:w="100" w:type="dxa"/>
            </w:tcMar>
          </w:tcPr>
          <w:p>
            <w:pPr>
              <w:keepNext w:val="0"/>
              <w:spacing w:after="0" w:line="264" w:lineRule="auto"/>
            </w:pPr>
            <w:r>
              <w:rPr>
                <w:b w:val="0"/>
                <w:sz w:val="20"/>
              </w:rPr>
              <w:t>切换时慢请求返回、后台轮询完成</w:t>
            </w:r>
          </w:p>
        </w:tc>
        <w:tc>
          <w:tcPr>
            <w:tcW w:type="dxa" w:w="4422"/>
            <w:vAlign w:val="center"/>
            <w:tcMar>
              <w:top w:w="90" w:type="dxa"/>
              <w:bottom w:w="90" w:type="dxa"/>
              <w:left w:w="100" w:type="dxa"/>
              <w:right w:w="100" w:type="dxa"/>
            </w:tcMar>
          </w:tcPr>
          <w:p>
            <w:pPr>
              <w:keepNext w:val="0"/>
              <w:spacing w:after="0" w:line="264" w:lineRule="auto"/>
            </w:pPr>
            <w:r>
              <w:rPr>
                <w:b w:val="0"/>
                <w:sz w:val="20"/>
              </w:rPr>
              <w:t>新页面不会显示旧工作室记录</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T06</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两个标签页分别在 A 与 B 写入</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各自命令保持原页面工作室</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T07</w:t>
            </w:r>
          </w:p>
        </w:tc>
        <w:tc>
          <w:tcPr>
            <w:tcW w:type="dxa" w:w="4422"/>
            <w:vAlign w:val="center"/>
            <w:tcMar>
              <w:top w:w="90" w:type="dxa"/>
              <w:bottom w:w="90" w:type="dxa"/>
              <w:left w:w="100" w:type="dxa"/>
              <w:right w:w="100" w:type="dxa"/>
            </w:tcMar>
          </w:tcPr>
          <w:p>
            <w:pPr>
              <w:keepNext w:val="0"/>
              <w:spacing w:after="0" w:line="264" w:lineRule="auto"/>
            </w:pPr>
            <w:r>
              <w:rPr>
                <w:b w:val="0"/>
                <w:sz w:val="20"/>
              </w:rPr>
              <w:t>同幂等键重复提交或异工作室提交</w:t>
            </w:r>
          </w:p>
        </w:tc>
        <w:tc>
          <w:tcPr>
            <w:tcW w:type="dxa" w:w="4422"/>
            <w:vAlign w:val="center"/>
            <w:tcMar>
              <w:top w:w="90" w:type="dxa"/>
              <w:bottom w:w="90" w:type="dxa"/>
              <w:left w:w="100" w:type="dxa"/>
              <w:right w:w="100" w:type="dxa"/>
            </w:tcMar>
          </w:tcPr>
          <w:p>
            <w:pPr>
              <w:keepNext w:val="0"/>
              <w:spacing w:after="0" w:line="264" w:lineRule="auto"/>
            </w:pPr>
            <w:r>
              <w:rPr>
                <w:b w:val="0"/>
                <w:sz w:val="20"/>
              </w:rPr>
              <w:t>本作用域正确重放，互不覆盖</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T08</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上传列表、打包链、日志和队列位置</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只返回本工作室授权记录</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T09</w:t>
            </w:r>
          </w:p>
        </w:tc>
        <w:tc>
          <w:tcPr>
            <w:tcW w:type="dxa" w:w="4422"/>
            <w:vAlign w:val="center"/>
            <w:tcMar>
              <w:top w:w="90" w:type="dxa"/>
              <w:bottom w:w="90" w:type="dxa"/>
              <w:left w:w="100" w:type="dxa"/>
              <w:right w:w="100" w:type="dxa"/>
            </w:tcMar>
          </w:tcPr>
          <w:p>
            <w:pPr>
              <w:keepNext w:val="0"/>
              <w:spacing w:after="0" w:line="264" w:lineRule="auto"/>
            </w:pPr>
            <w:r>
              <w:rPr>
                <w:b w:val="0"/>
                <w:sz w:val="20"/>
              </w:rPr>
              <w:t>相同渠道不同目标与相同真实外部目标</w:t>
            </w:r>
          </w:p>
        </w:tc>
        <w:tc>
          <w:tcPr>
            <w:tcW w:type="dxa" w:w="4422"/>
            <w:vAlign w:val="center"/>
            <w:tcMar>
              <w:top w:w="90" w:type="dxa"/>
              <w:bottom w:w="90" w:type="dxa"/>
              <w:left w:w="100" w:type="dxa"/>
              <w:right w:w="100" w:type="dxa"/>
            </w:tcMar>
          </w:tcPr>
          <w:p>
            <w:pPr>
              <w:keepNext w:val="0"/>
              <w:spacing w:after="0" w:line="264" w:lineRule="auto"/>
            </w:pPr>
            <w:r>
              <w:rPr>
                <w:b w:val="0"/>
                <w:sz w:val="20"/>
              </w:rPr>
              <w:t>前者可按容量并行，后者互斥防覆盖</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T10</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禁用模块后直接调用 API MCP 和旧页面</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新操作被拒绝，历史可读，人工 QA 可操作</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T11</w:t>
            </w:r>
          </w:p>
        </w:tc>
        <w:tc>
          <w:tcPr>
            <w:tcW w:type="dxa" w:w="4422"/>
            <w:vAlign w:val="center"/>
            <w:tcMar>
              <w:top w:w="90" w:type="dxa"/>
              <w:bottom w:w="90" w:type="dxa"/>
              <w:left w:w="100" w:type="dxa"/>
              <w:right w:w="100" w:type="dxa"/>
            </w:tcMar>
          </w:tcPr>
          <w:p>
            <w:pPr>
              <w:keepNext w:val="0"/>
              <w:spacing w:after="0" w:line="264" w:lineRule="auto"/>
            </w:pPr>
            <w:r>
              <w:rPr>
                <w:b w:val="0"/>
                <w:sz w:val="20"/>
              </w:rPr>
              <w:t>排队和执行中撤销权限或修改凭据</w:t>
            </w:r>
          </w:p>
        </w:tc>
        <w:tc>
          <w:tcPr>
            <w:tcW w:type="dxa" w:w="4422"/>
            <w:vAlign w:val="center"/>
            <w:tcMar>
              <w:top w:w="90" w:type="dxa"/>
              <w:bottom w:w="90" w:type="dxa"/>
              <w:left w:w="100" w:type="dxa"/>
              <w:right w:w="100" w:type="dxa"/>
            </w:tcMar>
          </w:tcPr>
          <w:p>
            <w:pPr>
              <w:keepNext w:val="0"/>
              <w:spacing w:after="0" w:line="264" w:lineRule="auto"/>
            </w:pPr>
            <w:r>
              <w:rPr>
                <w:b w:val="0"/>
                <w:sz w:val="20"/>
              </w:rPr>
              <w:t>派发与最终发布重查；暂停可解释，无错误账号发布</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T12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A 大量排队、上传或磁盘临近额度</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B 获得执行机会；A 不耗尽全机保留空间</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T13</w:t>
            </w:r>
          </w:p>
        </w:tc>
        <w:tc>
          <w:tcPr>
            <w:tcW w:type="dxa" w:w="4422"/>
            <w:vAlign w:val="center"/>
            <w:tcMar>
              <w:top w:w="90" w:type="dxa"/>
              <w:bottom w:w="90" w:type="dxa"/>
              <w:left w:w="100" w:type="dxa"/>
              <w:right w:w="100" w:type="dxa"/>
            </w:tcMar>
          </w:tcPr>
          <w:p>
            <w:pPr>
              <w:keepNext w:val="0"/>
              <w:spacing w:after="0" w:line="264" w:lineRule="auto"/>
            </w:pPr>
            <w:r>
              <w:rPr>
                <w:b w:val="0"/>
                <w:sz w:val="20"/>
              </w:rPr>
              <w:t>Relay 或轻语失败及延迟回调</w:t>
            </w:r>
          </w:p>
        </w:tc>
        <w:tc>
          <w:tcPr>
            <w:tcW w:type="dxa" w:w="4422"/>
            <w:vAlign w:val="center"/>
            <w:tcMar>
              <w:top w:w="90" w:type="dxa"/>
              <w:bottom w:w="90" w:type="dxa"/>
              <w:left w:w="100" w:type="dxa"/>
              <w:right w:w="100" w:type="dxa"/>
            </w:tcMar>
          </w:tcPr>
          <w:p>
            <w:pPr>
              <w:keepNext w:val="0"/>
              <w:spacing w:after="0" w:line="264" w:lineRule="auto"/>
            </w:pPr>
            <w:r>
              <w:rPr>
                <w:b w:val="0"/>
                <w:sz w:val="20"/>
              </w:rPr>
              <w:t>本地人工处理可完成，旧回调不覆盖人工事实</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T14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重启一个工作室 API 或上传调度器</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原命令恢复，无重复上传；另一工作室数据正常</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T15</w:t>
            </w:r>
          </w:p>
        </w:tc>
        <w:tc>
          <w:tcPr>
            <w:tcW w:type="dxa" w:w="4422"/>
            <w:vAlign w:val="center"/>
            <w:tcMar>
              <w:top w:w="90" w:type="dxa"/>
              <w:bottom w:w="90" w:type="dxa"/>
              <w:left w:w="100" w:type="dxa"/>
              <w:right w:w="100" w:type="dxa"/>
            </w:tcMar>
          </w:tcPr>
          <w:p>
            <w:pPr>
              <w:keepNext w:val="0"/>
              <w:spacing w:after="0" w:line="264" w:lineRule="auto"/>
            </w:pPr>
            <w:r>
              <w:rPr>
                <w:b w:val="0"/>
                <w:sz w:val="20"/>
              </w:rPr>
              <w:t>只恢复 B 的数据库与附件</w:t>
            </w:r>
          </w:p>
        </w:tc>
        <w:tc>
          <w:tcPr>
            <w:tcW w:type="dxa" w:w="4422"/>
            <w:vAlign w:val="center"/>
            <w:tcMar>
              <w:top w:w="90" w:type="dxa"/>
              <w:bottom w:w="90" w:type="dxa"/>
              <w:left w:w="100" w:type="dxa"/>
              <w:right w:w="100" w:type="dxa"/>
            </w:tcMar>
          </w:tcPr>
          <w:p>
            <w:pPr>
              <w:keepNext w:val="0"/>
              <w:spacing w:after="0" w:line="264" w:lineRule="auto"/>
            </w:pPr>
            <w:r>
              <w:rPr>
                <w:b w:val="0"/>
                <w:sz w:val="20"/>
              </w:rPr>
              <w:t>A 的记录、队列、目录和版本无变化</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T16</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外部已发布但本地回执尚未保存时恢复</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先对账外部，避免重复版本与重复发布</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T17</w:t>
            </w:r>
          </w:p>
        </w:tc>
        <w:tc>
          <w:tcPr>
            <w:tcW w:type="dxa" w:w="4422"/>
            <w:vAlign w:val="center"/>
            <w:tcMar>
              <w:top w:w="90" w:type="dxa"/>
              <w:bottom w:w="90" w:type="dxa"/>
              <w:left w:w="100" w:type="dxa"/>
              <w:right w:w="100" w:type="dxa"/>
            </w:tcMar>
          </w:tcPr>
          <w:p>
            <w:pPr>
              <w:keepNext w:val="0"/>
              <w:spacing w:after="0" w:line="264" w:lineRule="auto"/>
            </w:pPr>
            <w:r>
              <w:rPr>
                <w:b w:val="0"/>
                <w:sz w:val="20"/>
              </w:rPr>
              <w:t>Windows 通知点击与 MCP 短编号查询</w:t>
            </w:r>
          </w:p>
        </w:tc>
        <w:tc>
          <w:tcPr>
            <w:tcW w:type="dxa" w:w="4422"/>
            <w:vAlign w:val="center"/>
            <w:tcMar>
              <w:top w:w="90" w:type="dxa"/>
              <w:bottom w:w="90" w:type="dxa"/>
              <w:left w:w="100" w:type="dxa"/>
              <w:right w:w="100" w:type="dxa"/>
            </w:tcMar>
          </w:tcPr>
          <w:p>
            <w:pPr>
              <w:keepNext w:val="0"/>
              <w:spacing w:after="0" w:line="264" w:lineRule="auto"/>
            </w:pPr>
            <w:r>
              <w:rPr>
                <w:b w:val="0"/>
                <w:sz w:val="20"/>
              </w:rPr>
              <w:t>进入原授权作用域，歧义查询拒绝</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T18</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Android 离线提交后切换或权限撤销</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草稿保留并暂停，不能提交到另一工作室</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T19</w:t>
            </w:r>
          </w:p>
        </w:tc>
        <w:tc>
          <w:tcPr>
            <w:tcW w:type="dxa" w:w="4422"/>
            <w:vAlign w:val="center"/>
            <w:tcMar>
              <w:top w:w="90" w:type="dxa"/>
              <w:bottom w:w="90" w:type="dxa"/>
              <w:left w:w="100" w:type="dxa"/>
              <w:right w:w="100" w:type="dxa"/>
            </w:tcMar>
          </w:tcPr>
          <w:p>
            <w:pPr>
              <w:keepNext w:val="0"/>
              <w:spacing w:after="0" w:line="264" w:lineRule="auto"/>
            </w:pPr>
            <w:r>
              <w:rPr>
                <w:b w:val="0"/>
                <w:sz w:val="20"/>
              </w:rPr>
              <w:t>客户端升级与回退</w:t>
            </w:r>
          </w:p>
        </w:tc>
        <w:tc>
          <w:tcPr>
            <w:tcW w:type="dxa" w:w="4422"/>
            <w:vAlign w:val="center"/>
            <w:tcMar>
              <w:top w:w="90" w:type="dxa"/>
              <w:bottom w:w="90" w:type="dxa"/>
              <w:left w:w="100" w:type="dxa"/>
              <w:right w:w="100" w:type="dxa"/>
            </w:tcMar>
          </w:tcPr>
          <w:p>
            <w:pPr>
              <w:keepNext w:val="0"/>
              <w:spacing w:after="0" w:line="264" w:lineRule="auto"/>
            </w:pPr>
            <w:r>
              <w:rPr>
                <w:b w:val="0"/>
                <w:sz w:val="20"/>
              </w:rPr>
              <w:t>服务器配置、草稿、身份映射及恢复证据保留</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T20</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新工作室空白开通与失败重试</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无原工作室业务或凭据，重复开通无残留冲突</w:t>
            </w:r>
          </w:p>
        </w:tc>
      </w:tr>
    </w:tbl>
    <w:p>
      <w:pPr>
        <w:spacing w:after="20"/>
      </w:pPr>
    </w:p>
    <w:p>
      <w:r>
        <w:t>隔离门槛是上述跨工作室越权读取与写入为零，验证失败不能用页面隐藏代替修复。并发和性能指标应在 P0 根据真实负载确定；建议试点测量 B 在 A 满额负载下普通业务请求 p95 相对基线变化，超过约定比例时调整配额或拆分执行机。这里不虚构固定机器容量。</w:t>
      </w:r>
    </w:p>
    <w:p>
      <w:r>
        <w:t>代码验证应覆盖存储不变量、认证与授权、契约兼容、上传恢复、构建适配和端到端场景。Windows 必须完成签名更新清单、下载哈希、打包 smoke、真实升级重启与配置保留验证；Android 若列入范围，需验证真实设备的登录、采集和离线恢复。</w:t>
      </w:r>
    </w:p>
    <w:p>
      <w:pPr>
        <w:pStyle w:val="Heading1"/>
      </w:pPr>
      <w:r>
        <w:t>15 主要风险与控制措施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风险</w:t>
            </w:r>
          </w:p>
        </w:tc>
        <w:tc>
          <w:tcPr>
            <w:tcW w:type="dxa" w:w="3742"/>
            <w:vAlign w:val="center"/>
            <w:tcMar>
              <w:top w:w="90" w:type="dxa"/>
              <w:bottom w:w="90" w:type="dxa"/>
              <w:left w:w="100" w:type="dxa"/>
              <w:right w:w="100" w:type="dxa"/>
            </w:tcMar>
            <w:shd w:fill="DDEBF7"/>
          </w:tcPr>
          <w:p>
            <w:pPr>
              <w:keepNext/>
              <w:spacing w:after="0" w:line="264" w:lineRule="auto"/>
            </w:pPr>
            <w:r>
              <w:rPr>
                <w:b/>
                <w:sz w:val="20"/>
              </w:rPr>
              <w:t>影响</w:t>
            </w:r>
          </w:p>
        </w:tc>
        <w:tc>
          <w:tcPr>
            <w:tcW w:type="dxa" w:w="4082"/>
            <w:vAlign w:val="center"/>
            <w:tcMar>
              <w:top w:w="90" w:type="dxa"/>
              <w:bottom w:w="90" w:type="dxa"/>
              <w:left w:w="100" w:type="dxa"/>
              <w:right w:w="100" w:type="dxa"/>
            </w:tcMar>
            <w:shd w:fill="DDEBF7"/>
          </w:tcPr>
          <w:p>
            <w:pPr>
              <w:keepNext/>
              <w:spacing w:after="0" w:line="264" w:lineRule="auto"/>
            </w:pPr>
            <w:r>
              <w:rPr>
                <w:b/>
                <w:sz w:val="20"/>
              </w:rPr>
              <w:t>控制与上线门槛</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漏掉共享队列或旁路文件</w:t>
            </w:r>
          </w:p>
        </w:tc>
        <w:tc>
          <w:tcPr>
            <w:tcW w:type="dxa" w:w="3742"/>
            <w:vAlign w:val="center"/>
            <w:tcMar>
              <w:top w:w="90" w:type="dxa"/>
              <w:bottom w:w="90" w:type="dxa"/>
              <w:left w:w="100" w:type="dxa"/>
              <w:right w:w="100" w:type="dxa"/>
            </w:tcMar>
          </w:tcPr>
          <w:p>
            <w:pPr>
              <w:keepNext w:val="0"/>
              <w:spacing w:after="0" w:line="264" w:lineRule="auto"/>
            </w:pPr>
            <w:r>
              <w:rPr>
                <w:b w:val="0"/>
                <w:sz w:val="20"/>
              </w:rPr>
              <w:t>上传、日志和附件跨工作室暴露</w:t>
            </w:r>
          </w:p>
        </w:tc>
        <w:tc>
          <w:tcPr>
            <w:tcW w:type="dxa" w:w="4082"/>
            <w:vAlign w:val="center"/>
            <w:tcMar>
              <w:top w:w="90" w:type="dxa"/>
              <w:bottom w:w="90" w:type="dxa"/>
              <w:left w:w="100" w:type="dxa"/>
              <w:right w:w="100" w:type="dxa"/>
            </w:tcMar>
          </w:tcPr>
          <w:p>
            <w:pPr>
              <w:keepNext w:val="0"/>
              <w:spacing w:after="0" w:line="264" w:lineRule="auto"/>
            </w:pPr>
            <w:r>
              <w:rPr>
                <w:b w:val="0"/>
                <w:sz w:val="20"/>
              </w:rPr>
              <w:t>存储清单覆盖所有状态源；T02 T08 T15</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姓名或旧调试身份沿用到外部入口</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可冒用其他成员</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正式身份验证、邀请、独立映射；T03 T04</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固定 Jenkins 或最新 ZIP 被复用</w:t>
            </w:r>
          </w:p>
        </w:tc>
        <w:tc>
          <w:tcPr>
            <w:tcW w:type="dxa" w:w="3742"/>
            <w:vAlign w:val="center"/>
            <w:tcMar>
              <w:top w:w="90" w:type="dxa"/>
              <w:bottom w:w="90" w:type="dxa"/>
              <w:left w:w="100" w:type="dxa"/>
              <w:right w:w="100" w:type="dxa"/>
            </w:tcMar>
          </w:tcPr>
          <w:p>
            <w:pPr>
              <w:keepNext w:val="0"/>
              <w:spacing w:after="0" w:line="264" w:lineRule="auto"/>
            </w:pPr>
            <w:r>
              <w:rPr>
                <w:b w:val="0"/>
                <w:sz w:val="20"/>
              </w:rPr>
              <w:t>打包错项目、上传错版本</w:t>
            </w:r>
          </w:p>
        </w:tc>
        <w:tc>
          <w:tcPr>
            <w:tcW w:type="dxa" w:w="4082"/>
            <w:vAlign w:val="center"/>
            <w:tcMar>
              <w:top w:w="90" w:type="dxa"/>
              <w:bottom w:w="90" w:type="dxa"/>
              <w:left w:w="100" w:type="dxa"/>
              <w:right w:w="100" w:type="dxa"/>
            </w:tcMar>
          </w:tcPr>
          <w:p>
            <w:pPr>
              <w:keepNext w:val="0"/>
              <w:spacing w:after="0" w:line="264" w:lineRule="auto"/>
            </w:pPr>
            <w:r>
              <w:rPr>
                <w:b w:val="0"/>
                <w:sz w:val="20"/>
              </w:rPr>
              <w:t>配置适配器和不可变产物回执；T09 T16</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模块仅在前端隐藏</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API MCP 与后台继续执行</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服务端统一能力校验；T10 T11</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权限缓存或切换响应滞后</w:t>
            </w:r>
          </w:p>
        </w:tc>
        <w:tc>
          <w:tcPr>
            <w:tcW w:type="dxa" w:w="3742"/>
            <w:vAlign w:val="center"/>
            <w:tcMar>
              <w:top w:w="90" w:type="dxa"/>
              <w:bottom w:w="90" w:type="dxa"/>
              <w:left w:w="100" w:type="dxa"/>
              <w:right w:w="100" w:type="dxa"/>
            </w:tcMar>
          </w:tcPr>
          <w:p>
            <w:pPr>
              <w:keepNext w:val="0"/>
              <w:spacing w:after="0" w:line="264" w:lineRule="auto"/>
            </w:pPr>
            <w:r>
              <w:rPr>
                <w:b w:val="0"/>
                <w:sz w:val="20"/>
              </w:rPr>
              <w:t>已撤销成员继续操作、页面串数据</w:t>
            </w:r>
          </w:p>
        </w:tc>
        <w:tc>
          <w:tcPr>
            <w:tcW w:type="dxa" w:w="4082"/>
            <w:vAlign w:val="center"/>
            <w:tcMar>
              <w:top w:w="90" w:type="dxa"/>
              <w:bottom w:w="90" w:type="dxa"/>
              <w:left w:w="100" w:type="dxa"/>
              <w:right w:w="100" w:type="dxa"/>
            </w:tcMar>
          </w:tcPr>
          <w:p>
            <w:pPr>
              <w:keepNext w:val="0"/>
              <w:spacing w:after="0" w:line="264" w:lineRule="auto"/>
            </w:pPr>
            <w:r>
              <w:rPr>
                <w:b w:val="0"/>
                <w:sz w:val="20"/>
              </w:rPr>
              <w:t>短时上下文、动作前重查、请求作废；T05 T06</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同机资源耗尽</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所有工作室变慢或失败</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配额、公平调度、磁盘保留与执行 VM；T12</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数据恢复遗漏集成与队列</w:t>
            </w:r>
          </w:p>
        </w:tc>
        <w:tc>
          <w:tcPr>
            <w:tcW w:type="dxa" w:w="3742"/>
            <w:vAlign w:val="center"/>
            <w:tcMar>
              <w:top w:w="90" w:type="dxa"/>
              <w:bottom w:w="90" w:type="dxa"/>
              <w:left w:w="100" w:type="dxa"/>
              <w:right w:w="100" w:type="dxa"/>
            </w:tcMar>
          </w:tcPr>
          <w:p>
            <w:pPr>
              <w:keepNext w:val="0"/>
              <w:spacing w:after="0" w:line="264" w:lineRule="auto"/>
            </w:pPr>
            <w:r>
              <w:rPr>
                <w:b w:val="0"/>
                <w:sz w:val="20"/>
              </w:rPr>
              <w:t>恢复后任务丢失或重复发布</w:t>
            </w:r>
          </w:p>
        </w:tc>
        <w:tc>
          <w:tcPr>
            <w:tcW w:type="dxa" w:w="4082"/>
            <w:vAlign w:val="center"/>
            <w:tcMar>
              <w:top w:w="90" w:type="dxa"/>
              <w:bottom w:w="90" w:type="dxa"/>
              <w:left w:w="100" w:type="dxa"/>
              <w:right w:w="100" w:type="dxa"/>
            </w:tcMar>
          </w:tcPr>
          <w:p>
            <w:pPr>
              <w:keepNext w:val="0"/>
              <w:spacing w:after="0" w:line="264" w:lineRule="auto"/>
            </w:pPr>
            <w:r>
              <w:rPr>
                <w:b w:val="0"/>
                <w:sz w:val="20"/>
              </w:rPr>
              <w:t>多状态源一致性清单、外部对账；T14 T16</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每工作室单独分叉代码</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修改和发布成本持续增加</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同一代码产物、版本化配置和固定能力目录</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自动化改变原人工流程</w:t>
            </w:r>
          </w:p>
        </w:tc>
        <w:tc>
          <w:tcPr>
            <w:tcW w:type="dxa" w:w="3742"/>
            <w:vAlign w:val="center"/>
            <w:tcMar>
              <w:top w:w="90" w:type="dxa"/>
              <w:bottom w:w="90" w:type="dxa"/>
              <w:left w:w="100" w:type="dxa"/>
              <w:right w:w="100" w:type="dxa"/>
            </w:tcMar>
          </w:tcPr>
          <w:p>
            <w:pPr>
              <w:keepNext w:val="0"/>
              <w:spacing w:after="0" w:line="264" w:lineRule="auto"/>
            </w:pPr>
            <w:r>
              <w:rPr>
                <w:b w:val="0"/>
                <w:sz w:val="20"/>
              </w:rPr>
              <w:t>现有团队无法继续处理问题</w:t>
            </w:r>
          </w:p>
        </w:tc>
        <w:tc>
          <w:tcPr>
            <w:tcW w:type="dxa" w:w="4082"/>
            <w:vAlign w:val="center"/>
            <w:tcMar>
              <w:top w:w="90" w:type="dxa"/>
              <w:bottom w:w="90" w:type="dxa"/>
              <w:left w:w="100" w:type="dxa"/>
              <w:right w:w="100" w:type="dxa"/>
            </w:tcMar>
          </w:tcPr>
          <w:p>
            <w:pPr>
              <w:keepNext w:val="0"/>
              <w:spacing w:after="0" w:line="264" w:lineRule="auto"/>
            </w:pPr>
            <w:r>
              <w:rPr>
                <w:b w:val="0"/>
                <w:sz w:val="20"/>
              </w:rPr>
              <w:t>保留人工接管和独立 QA 验收；T13</w:t>
            </w:r>
          </w:p>
        </w:tc>
      </w:tr>
    </w:tbl>
    <w:p>
      <w:pPr>
        <w:spacing w:after="20"/>
      </w:pPr>
    </w:p>
    <w:p>
      <w:r>
        <w:t>多工作室隔离应覆盖认证、查询、缓存、文件和资源使用，而非只在主表增加过滤。这与 OWASP 的多租户隔离建议一致；本方案的具体部署取舍来自当前项目结构。</w:t>
      </w:r>
      <w:hyperlink r:id="rId13">
        <w:r>
          <w:rPr>
            <w:color w:val="1F4E79"/>
          </w:rPr>
          <w:t>OWASP 多租户安全指南</w:t>
        </w:r>
      </w:hyperlink>
      <w:r/>
    </w:p>
    <w:p>
      <w:pPr>
        <w:pStyle w:val="Heading1"/>
      </w:pPr>
      <w:r>
        <w:t>16 开工前需要确定的产品选择</w:t>
      </w:r>
    </w:p>
    <w:p>
      <w:r>
        <w:t>这些选择不影响本方案交付，但会改变实施范围。建议在 P0 用真实工作室案例确认并记录。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90" w:type="dxa"/>
              <w:bottom w:w="90" w:type="dxa"/>
              <w:left w:w="100" w:type="dxa"/>
              <w:right w:w="100" w:type="dxa"/>
            </w:tcMar>
            <w:shd w:fill="DDEBF7"/>
          </w:tcPr>
          <w:p>
            <w:pPr>
              <w:keepNext/>
              <w:spacing w:after="0" w:line="264" w:lineRule="auto"/>
            </w:pPr>
            <w:r>
              <w:rPr>
                <w:b/>
                <w:sz w:val="20"/>
              </w:rPr>
              <w:t>需要确定的内容</w:t>
            </w:r>
          </w:p>
        </w:tc>
        <w:tc>
          <w:tcPr>
            <w:tcW w:type="dxa" w:w="3742"/>
            <w:vAlign w:val="center"/>
            <w:tcMar>
              <w:top w:w="90" w:type="dxa"/>
              <w:bottom w:w="90" w:type="dxa"/>
              <w:left w:w="100" w:type="dxa"/>
              <w:right w:w="100" w:type="dxa"/>
            </w:tcMar>
            <w:shd w:fill="DDEBF7"/>
          </w:tcPr>
          <w:p>
            <w:pPr>
              <w:keepNext/>
              <w:spacing w:after="0" w:line="264" w:lineRule="auto"/>
            </w:pPr>
            <w:r>
              <w:rPr>
                <w:b/>
                <w:sz w:val="20"/>
              </w:rPr>
              <w:t>本文默认建议</w:t>
            </w:r>
          </w:p>
        </w:tc>
        <w:tc>
          <w:tcPr>
            <w:tcW w:type="dxa" w:w="4082"/>
            <w:vAlign w:val="center"/>
            <w:tcMar>
              <w:top w:w="90" w:type="dxa"/>
              <w:bottom w:w="90" w:type="dxa"/>
              <w:left w:w="100" w:type="dxa"/>
              <w:right w:w="100" w:type="dxa"/>
            </w:tcMar>
            <w:shd w:fill="DDEBF7"/>
          </w:tcPr>
          <w:p>
            <w:pPr>
              <w:keepNext/>
              <w:spacing w:after="0" w:line="264" w:lineRule="auto"/>
            </w:pPr>
            <w:r>
              <w:rPr>
                <w:b/>
                <w:sz w:val="20"/>
              </w:rPr>
              <w:t>改变后的影响</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工作室部署位置</w:t>
            </w:r>
          </w:p>
        </w:tc>
        <w:tc>
          <w:tcPr>
            <w:tcW w:type="dxa" w:w="3742"/>
            <w:vAlign w:val="center"/>
            <w:tcMar>
              <w:top w:w="90" w:type="dxa"/>
              <w:bottom w:w="90" w:type="dxa"/>
              <w:left w:w="100" w:type="dxa"/>
              <w:right w:w="100" w:type="dxa"/>
            </w:tcMar>
          </w:tcPr>
          <w:p>
            <w:pPr>
              <w:keepNext w:val="0"/>
              <w:spacing w:after="0" w:line="264" w:lineRule="auto"/>
            </w:pPr>
            <w:r>
              <w:rPr>
                <w:b w:val="0"/>
                <w:sz w:val="20"/>
              </w:rPr>
              <w:t>初期共用本机入口，独立业务实例</w:t>
            </w:r>
          </w:p>
        </w:tc>
        <w:tc>
          <w:tcPr>
            <w:tcW w:type="dxa" w:w="4082"/>
            <w:vAlign w:val="center"/>
            <w:tcMar>
              <w:top w:w="90" w:type="dxa"/>
              <w:bottom w:w="90" w:type="dxa"/>
              <w:left w:w="100" w:type="dxa"/>
              <w:right w:w="100" w:type="dxa"/>
            </w:tcMar>
          </w:tcPr>
          <w:p>
            <w:pPr>
              <w:keepNext w:val="0"/>
              <w:spacing w:after="0" w:line="264" w:lineRule="auto"/>
            </w:pPr>
            <w:r>
              <w:rPr>
                <w:b w:val="0"/>
                <w:sz w:val="20"/>
              </w:rPr>
              <w:t>独立外部部署需要远程升级与网络方案</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成员能否加入多个工作室</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可以，通过可验证身份映射</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只允许单工作室可减少身份与切换范围</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单次打包上传的含义</w:t>
            </w:r>
          </w:p>
        </w:tc>
        <w:tc>
          <w:tcPr>
            <w:tcW w:type="dxa" w:w="3742"/>
            <w:vAlign w:val="center"/>
            <w:tcMar>
              <w:top w:w="90" w:type="dxa"/>
              <w:bottom w:w="90" w:type="dxa"/>
              <w:left w:w="100" w:type="dxa"/>
              <w:right w:w="100" w:type="dxa"/>
            </w:tcMar>
          </w:tcPr>
          <w:p>
            <w:pPr>
              <w:keepNext w:val="0"/>
              <w:spacing w:after="0" w:line="264" w:lineRule="auto"/>
            </w:pPr>
            <w:r>
              <w:rPr>
                <w:b w:val="0"/>
                <w:sz w:val="20"/>
              </w:rPr>
              <w:t>人工触发一次打包后上传</w:t>
            </w:r>
          </w:p>
        </w:tc>
        <w:tc>
          <w:tcPr>
            <w:tcW w:type="dxa" w:w="4082"/>
            <w:vAlign w:val="center"/>
            <w:tcMar>
              <w:top w:w="90" w:type="dxa"/>
              <w:bottom w:w="90" w:type="dxa"/>
              <w:left w:w="100" w:type="dxa"/>
              <w:right w:w="100" w:type="dxa"/>
            </w:tcMar>
          </w:tcPr>
          <w:p>
            <w:pPr>
              <w:keepNext w:val="0"/>
              <w:spacing w:after="0" w:line="264" w:lineRule="auto"/>
            </w:pPr>
            <w:r>
              <w:rPr>
                <w:b w:val="0"/>
                <w:sz w:val="20"/>
              </w:rPr>
              <w:t>若指一次性临时账号或其他流程，应重新拆能力</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打包与上传平台是否相同</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首期复用现有适配器，目标独立</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不同平台增加专门适配与验收</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首批客户端</w:t>
            </w:r>
          </w:p>
        </w:tc>
        <w:tc>
          <w:tcPr>
            <w:tcW w:type="dxa" w:w="3742"/>
            <w:vAlign w:val="center"/>
            <w:tcMar>
              <w:top w:w="90" w:type="dxa"/>
              <w:bottom w:w="90" w:type="dxa"/>
              <w:left w:w="100" w:type="dxa"/>
              <w:right w:w="100" w:type="dxa"/>
            </w:tcMar>
          </w:tcPr>
          <w:p>
            <w:pPr>
              <w:keepNext w:val="0"/>
              <w:spacing w:after="0" w:line="264" w:lineRule="auto"/>
            </w:pPr>
            <w:r>
              <w:rPr>
                <w:b w:val="0"/>
                <w:sz w:val="20"/>
              </w:rPr>
              <w:t>完整首期包含 Web Windows Android MCP</w:t>
            </w:r>
          </w:p>
        </w:tc>
        <w:tc>
          <w:tcPr>
            <w:tcW w:type="dxa" w:w="4082"/>
            <w:vAlign w:val="center"/>
            <w:tcMar>
              <w:top w:w="90" w:type="dxa"/>
              <w:bottom w:w="90" w:type="dxa"/>
              <w:left w:w="100" w:type="dxa"/>
              <w:right w:w="100" w:type="dxa"/>
            </w:tcMar>
          </w:tcPr>
          <w:p>
            <w:pPr>
              <w:keepNext w:val="0"/>
              <w:spacing w:after="0" w:line="264" w:lineRule="auto"/>
            </w:pPr>
            <w:r>
              <w:rPr>
                <w:b w:val="0"/>
                <w:sz w:val="20"/>
              </w:rPr>
              <w:t>只做 Web Windows 可先试点，但应限制旧端能力</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谁能开启模块和配置目标</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平台授权，工作室管理员配置</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自助订阅和计费需要额外产品与运维能力</w:t>
            </w:r>
          </w:p>
        </w:tc>
      </w:tr>
      <w:tr>
        <w:trPr>
          <w:cantSplit/>
        </w:trPr>
        <w:tc>
          <w:tcPr>
            <w:tcW w:type="dxa" w:w="1814"/>
            <w:vAlign w:val="center"/>
            <w:tcMar>
              <w:top w:w="90" w:type="dxa"/>
              <w:bottom w:w="90" w:type="dxa"/>
              <w:left w:w="100" w:type="dxa"/>
              <w:right w:w="100" w:type="dxa"/>
            </w:tcMar>
          </w:tcPr>
          <w:p>
            <w:pPr>
              <w:keepNext w:val="0"/>
              <w:spacing w:after="0" w:line="264" w:lineRule="auto"/>
            </w:pPr>
            <w:r>
              <w:rPr>
                <w:b w:val="0"/>
                <w:sz w:val="20"/>
              </w:rPr>
              <w:t>是否允许访问其他工作室源码</w:t>
            </w:r>
          </w:p>
        </w:tc>
        <w:tc>
          <w:tcPr>
            <w:tcW w:type="dxa" w:w="3742"/>
            <w:vAlign w:val="center"/>
            <w:tcMar>
              <w:top w:w="90" w:type="dxa"/>
              <w:bottom w:w="90" w:type="dxa"/>
              <w:left w:w="100" w:type="dxa"/>
              <w:right w:w="100" w:type="dxa"/>
            </w:tcMar>
          </w:tcPr>
          <w:p>
            <w:pPr>
              <w:keepNext w:val="0"/>
              <w:spacing w:after="0" w:line="264" w:lineRule="auto"/>
            </w:pPr>
            <w:r>
              <w:rPr>
                <w:b w:val="0"/>
                <w:sz w:val="20"/>
              </w:rPr>
              <w:t>不允许，执行器按工作室隔离</w:t>
            </w:r>
          </w:p>
        </w:tc>
        <w:tc>
          <w:tcPr>
            <w:tcW w:type="dxa" w:w="4082"/>
            <w:vAlign w:val="center"/>
            <w:tcMar>
              <w:top w:w="90" w:type="dxa"/>
              <w:bottom w:w="90" w:type="dxa"/>
              <w:left w:w="100" w:type="dxa"/>
              <w:right w:w="100" w:type="dxa"/>
            </w:tcMar>
          </w:tcPr>
          <w:p>
            <w:pPr>
              <w:keepNext w:val="0"/>
              <w:spacing w:after="0" w:line="264" w:lineRule="auto"/>
            </w:pPr>
            <w:r>
              <w:rPr>
                <w:b w:val="0"/>
                <w:sz w:val="20"/>
              </w:rPr>
              <w:t>可信共享构建池也必须单独评估秘密与进程边界</w:t>
            </w:r>
          </w:p>
        </w:tc>
      </w:tr>
      <w:tr>
        <w:trPr>
          <w:cantSplit/>
        </w:trPr>
        <w:tc>
          <w:tcPr>
            <w:tcW w:type="dxa" w:w="1814"/>
            <w:vAlign w:val="center"/>
            <w:tcMar>
              <w:top w:w="90" w:type="dxa"/>
              <w:bottom w:w="90" w:type="dxa"/>
              <w:left w:w="100" w:type="dxa"/>
              <w:right w:w="100" w:type="dxa"/>
            </w:tcMar>
            <w:shd w:fill="F5F7FA"/>
          </w:tcPr>
          <w:p>
            <w:pPr>
              <w:keepNext w:val="0"/>
              <w:spacing w:after="0" w:line="264" w:lineRule="auto"/>
            </w:pPr>
            <w:r>
              <w:rPr>
                <w:b w:val="0"/>
                <w:sz w:val="20"/>
              </w:rPr>
              <w:t>隔离的服务承诺</w:t>
            </w:r>
          </w:p>
        </w:tc>
        <w:tc>
          <w:tcPr>
            <w:tcW w:type="dxa" w:w="3742"/>
            <w:vAlign w:val="center"/>
            <w:tcMar>
              <w:top w:w="90" w:type="dxa"/>
              <w:bottom w:w="90" w:type="dxa"/>
              <w:left w:w="100" w:type="dxa"/>
              <w:right w:w="100" w:type="dxa"/>
            </w:tcMar>
            <w:shd w:fill="F5F7FA"/>
          </w:tcPr>
          <w:p>
            <w:pPr>
              <w:keepNext w:val="0"/>
              <w:spacing w:after="0" w:line="264" w:lineRule="auto"/>
            </w:pPr>
            <w:r>
              <w:rPr>
                <w:b w:val="0"/>
                <w:sz w:val="20"/>
              </w:rPr>
              <w:t>业务隔离和独立恢复，共享宿主机风险明确</w:t>
            </w:r>
          </w:p>
        </w:tc>
        <w:tc>
          <w:tcPr>
            <w:tcW w:type="dxa" w:w="4082"/>
            <w:vAlign w:val="center"/>
            <w:tcMar>
              <w:top w:w="90" w:type="dxa"/>
              <w:bottom w:w="90" w:type="dxa"/>
              <w:left w:w="100" w:type="dxa"/>
              <w:right w:w="100" w:type="dxa"/>
            </w:tcMar>
            <w:shd w:fill="F5F7FA"/>
          </w:tcPr>
          <w:p>
            <w:pPr>
              <w:keepNext w:val="0"/>
              <w:spacing w:after="0" w:line="264" w:lineRule="auto"/>
            </w:pPr>
            <w:r>
              <w:rPr>
                <w:b w:val="0"/>
                <w:sz w:val="20"/>
              </w:rPr>
              <w:t>硬件故障独立需新增主机与故障域</w:t>
            </w:r>
          </w:p>
        </w:tc>
      </w:tr>
    </w:tbl>
    <w:p>
      <w:pPr>
        <w:spacing w:after="20"/>
      </w:pPr>
    </w:p>
    <w:p>
      <w:r>
        <w:t>推荐先完成 P0，确认首批两个工作室的真实项目、身份与外部平台，再按 P1 至 P6 分段交付。先用空白工作室验证隔离，再开放构建上传；通过真实产物和恢复验收后，才增加自动触发和更高并发。</w:t>
      </w:r>
    </w:p>
    <w:p>
      <w:pPr>
        <w:pStyle w:val="Heading1"/>
      </w:pPr>
      <w:r>
        <w:t>17 源码证据与参考</w:t>
      </w:r>
    </w:p>
    <w:p>
      <w:r>
        <w:t xml:space="preserve">下列定位基于第 1 节记录的源码基线。路径以仓库 </w:t>
      </w:r>
      <w:r>
        <w:rPr>
          <w:rFonts w:ascii="Consolas" w:hAnsi="Consolas"/>
          <w:sz w:val="20"/>
        </w:rPr>
        <w:t>D:\Relay-QA-Hub</w:t>
      </w:r>
      <w:r>
        <w:t xml:space="preserve"> 为根，行号用于评审导航；后续实现会导致行号变化。文档未记录任何凭据值。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422"/>
        <w:gridCol w:w="4422"/>
      </w:tblGrid>
      <w:tr>
        <w:trPr>
          <w:cantSplit/>
          <w:tblHeader/>
        </w:trPr>
        <w:tc>
          <w:tcPr>
            <w:tcW w:type="dxa" w:w="794"/>
            <w:vAlign w:val="center"/>
            <w:tcMar>
              <w:top w:w="90" w:type="dxa"/>
              <w:bottom w:w="90" w:type="dxa"/>
              <w:left w:w="100" w:type="dxa"/>
              <w:right w:w="100" w:type="dxa"/>
            </w:tcMar>
            <w:shd w:fill="DDEBF7"/>
          </w:tcPr>
          <w:p>
            <w:pPr>
              <w:keepNext/>
              <w:spacing w:after="0" w:line="264" w:lineRule="auto"/>
              <w:jc w:val="center"/>
            </w:pPr>
            <w:r>
              <w:rPr>
                <w:b/>
                <w:sz w:val="20"/>
              </w:rPr>
              <w:t>编号</w:t>
            </w:r>
          </w:p>
        </w:tc>
        <w:tc>
          <w:tcPr>
            <w:tcW w:type="dxa" w:w="4422"/>
            <w:vAlign w:val="center"/>
            <w:tcMar>
              <w:top w:w="90" w:type="dxa"/>
              <w:bottom w:w="90" w:type="dxa"/>
              <w:left w:w="100" w:type="dxa"/>
              <w:right w:w="100" w:type="dxa"/>
            </w:tcMar>
            <w:shd w:fill="DDEBF7"/>
          </w:tcPr>
          <w:p>
            <w:pPr>
              <w:keepNext/>
              <w:spacing w:after="0" w:line="264" w:lineRule="auto"/>
            </w:pPr>
            <w:r>
              <w:rPr>
                <w:b/>
                <w:sz w:val="20"/>
              </w:rPr>
              <w:t>文件与定位</w:t>
            </w:r>
          </w:p>
        </w:tc>
        <w:tc>
          <w:tcPr>
            <w:tcW w:type="dxa" w:w="4422"/>
            <w:vAlign w:val="center"/>
            <w:tcMar>
              <w:top w:w="90" w:type="dxa"/>
              <w:bottom w:w="90" w:type="dxa"/>
              <w:left w:w="100" w:type="dxa"/>
              <w:right w:w="100" w:type="dxa"/>
            </w:tcMar>
            <w:shd w:fill="DDEBF7"/>
          </w:tcPr>
          <w:p>
            <w:pPr>
              <w:keepNext/>
              <w:spacing w:after="0" w:line="264" w:lineRule="auto"/>
            </w:pPr>
            <w:r>
              <w:rPr>
                <w:b/>
                <w:sz w:val="20"/>
              </w:rPr>
              <w:t>支持的判断</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E01</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packages/storage/src/sqlite-migrations.ts</w:t>
            </w:r>
            <w:r>
              <w:rPr>
                <w:b w:val="0"/>
                <w:sz w:val="20"/>
              </w:rPr>
              <w:t xml:space="preserve"> 13 87 117 148 163 行</w:t>
            </w:r>
          </w:p>
        </w:tc>
        <w:tc>
          <w:tcPr>
            <w:tcW w:type="dxa" w:w="4422"/>
            <w:vAlign w:val="center"/>
            <w:tcMar>
              <w:top w:w="90" w:type="dxa"/>
              <w:bottom w:w="90" w:type="dxa"/>
              <w:left w:w="100" w:type="dxa"/>
              <w:right w:w="100" w:type="dxa"/>
            </w:tcMar>
          </w:tcPr>
          <w:p>
            <w:pPr>
              <w:keepNext w:val="0"/>
              <w:spacing w:after="0" w:line="264" w:lineRule="auto"/>
            </w:pPr>
            <w:r>
              <w:rPr>
                <w:b w:val="0"/>
                <w:sz w:val="20"/>
              </w:rPr>
              <w:t>accounts、项目、成员、Bug 分类与业务归属模型</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E02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apps/api/src/main.ts</w:t>
            </w:r>
            <w:r>
              <w:rPr>
                <w:b w:val="0"/>
                <w:sz w:val="20"/>
              </w:rPr>
              <w:t xml:space="preserve"> 55 300 352 475 行</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固定账号项目，存储装配与姓名登录</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E03</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apps/api/src/app.ts</w:t>
            </w:r>
            <w:r>
              <w:rPr>
                <w:b w:val="0"/>
                <w:sz w:val="20"/>
              </w:rPr>
              <w:t xml:space="preserve"> 568 2543 行</w:t>
            </w:r>
          </w:p>
        </w:tc>
        <w:tc>
          <w:tcPr>
            <w:tcW w:type="dxa" w:w="4422"/>
            <w:vAlign w:val="center"/>
            <w:tcMar>
              <w:top w:w="90" w:type="dxa"/>
              <w:bottom w:w="90" w:type="dxa"/>
              <w:left w:w="100" w:type="dxa"/>
              <w:right w:w="100" w:type="dxa"/>
            </w:tcMar>
          </w:tcPr>
          <w:p>
            <w:pPr>
              <w:keepNext w:val="0"/>
              <w:spacing w:after="0" w:line="264" w:lineRule="auto"/>
            </w:pPr>
            <w:r>
              <w:rPr>
                <w:b w:val="0"/>
                <w:sz w:val="20"/>
              </w:rPr>
              <w:t>认证桥接、全局打包与上传服务注册</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E04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apps/api/src/browser-auth.ts</w:t>
            </w:r>
            <w:r>
              <w:rPr>
                <w:b w:val="0"/>
                <w:sz w:val="20"/>
              </w:rPr>
              <w:t xml:space="preserve"> 20 84 387 行</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长期会话、账号绑定、姓名登录路由</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E05</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packages/storage/src/browser-auth-store.ts</w:t>
            </w:r>
            <w:r>
              <w:rPr>
                <w:b w:val="0"/>
                <w:sz w:val="20"/>
              </w:rPr>
              <w:t xml:space="preserve"> 129 350 行</w:t>
            </w:r>
          </w:p>
        </w:tc>
        <w:tc>
          <w:tcPr>
            <w:tcW w:type="dxa" w:w="4422"/>
            <w:vAlign w:val="center"/>
            <w:tcMar>
              <w:top w:w="90" w:type="dxa"/>
              <w:bottom w:w="90" w:type="dxa"/>
              <w:left w:w="100" w:type="dxa"/>
              <w:right w:w="100" w:type="dxa"/>
            </w:tcMar>
          </w:tcPr>
          <w:p>
            <w:pPr>
              <w:keepNext w:val="0"/>
              <w:spacing w:after="0" w:line="264" w:lineRule="auto"/>
            </w:pPr>
            <w:r>
              <w:rPr>
                <w:b w:val="0"/>
                <w:sz w:val="20"/>
              </w:rPr>
              <w:t>scrypt 凭据基础，会话解析与撤销检查</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E06</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apps/api/src/sqlite-mobile-bug-store.ts</w:t>
            </w:r>
            <w:r>
              <w:rPr>
                <w:b w:val="0"/>
                <w:sz w:val="20"/>
              </w:rPr>
              <w:t xml:space="preserve"> 58 80 110 行</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固定 scope 和项目校验的存储适配</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E07</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apps/api/src/increment-upload.ts</w:t>
            </w:r>
            <w:r>
              <w:rPr>
                <w:b w:val="0"/>
                <w:sz w:val="20"/>
              </w:rPr>
              <w:t xml:space="preserve"> 76 102 160 446 484 653 行</w:t>
            </w:r>
          </w:p>
        </w:tc>
        <w:tc>
          <w:tcPr>
            <w:tcW w:type="dxa" w:w="4422"/>
            <w:vAlign w:val="center"/>
            <w:tcMar>
              <w:top w:w="90" w:type="dxa"/>
              <w:bottom w:w="90" w:type="dxa"/>
              <w:left w:w="100" w:type="dxa"/>
              <w:right w:w="100" w:type="dxa"/>
            </w:tcMar>
          </w:tcPr>
          <w:p>
            <w:pPr>
              <w:keepNext w:val="0"/>
              <w:spacing w:after="0" w:line="264" w:lineRule="auto"/>
            </w:pPr>
            <w:r>
              <w:rPr>
                <w:b w:val="0"/>
                <w:sz w:val="20"/>
              </w:rPr>
              <w:t>产品渠道锁、owner 队列、共享快照与上传路由</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E08</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apps/api/src/jenkins-builds.ts</w:t>
            </w:r>
            <w:r>
              <w:rPr>
                <w:b w:val="0"/>
                <w:sz w:val="20"/>
              </w:rPr>
              <w:t xml:space="preserve"> 14 20 558 行</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固定项目任务、预设与打包接口</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E09</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apps/api/src/uploader-host.ts</w:t>
            </w:r>
            <w:r>
              <w:rPr>
                <w:b w:val="0"/>
                <w:sz w:val="20"/>
              </w:rPr>
              <w:t xml:space="preserve"> 18 453 行</w:t>
            </w:r>
          </w:p>
        </w:tc>
        <w:tc>
          <w:tcPr>
            <w:tcW w:type="dxa" w:w="4422"/>
            <w:vAlign w:val="center"/>
            <w:tcMar>
              <w:top w:w="90" w:type="dxa"/>
              <w:bottom w:w="90" w:type="dxa"/>
              <w:left w:w="100" w:type="dxa"/>
              <w:right w:w="100" w:type="dxa"/>
            </w:tcMar>
          </w:tcPr>
          <w:p>
            <w:pPr>
              <w:keepNext w:val="0"/>
              <w:spacing w:after="0" w:line="264" w:lineRule="auto"/>
            </w:pPr>
            <w:r>
              <w:rPr>
                <w:b w:val="0"/>
                <w:sz w:val="20"/>
              </w:rPr>
              <w:t>固定平台与 ZIP 默认值、外部账号指纹</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E10</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apps/api/src/build-upload-host.ts</w:t>
            </w:r>
            <w:r>
              <w:rPr>
                <w:b w:val="0"/>
                <w:sz w:val="20"/>
              </w:rPr>
              <w:t xml:space="preserve"> 134 144 338 行</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产物核验、平台限制与衔接上传保护</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E11</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apps/api/src/production-tasks.ts</w:t>
            </w:r>
            <w:r>
              <w:rPr>
                <w:b w:val="0"/>
                <w:sz w:val="20"/>
              </w:rPr>
              <w:t xml:space="preserve"> 147 168 184 行</w:t>
            </w:r>
          </w:p>
        </w:tc>
        <w:tc>
          <w:tcPr>
            <w:tcW w:type="dxa" w:w="4422"/>
            <w:vAlign w:val="center"/>
            <w:tcMar>
              <w:top w:w="90" w:type="dxa"/>
              <w:bottom w:w="90" w:type="dxa"/>
              <w:left w:w="100" w:type="dxa"/>
              <w:right w:w="100" w:type="dxa"/>
            </w:tcMar>
          </w:tcPr>
          <w:p>
            <w:pPr>
              <w:keepNext w:val="0"/>
              <w:spacing w:after="0" w:line="264" w:lineRule="auto"/>
            </w:pPr>
            <w:r>
              <w:rPr>
                <w:b w:val="0"/>
                <w:sz w:val="20"/>
              </w:rPr>
              <w:t>文件化批次、项目权限和单连接代理</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E12</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apps/api/src/qingyu-integration.ts</w:t>
            </w:r>
            <w:r>
              <w:rPr>
                <w:b w:val="0"/>
                <w:sz w:val="20"/>
              </w:rPr>
              <w:t xml:space="preserve"> 282 304 671 行</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加密会话文件、按操作者查找和同步入口</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E13</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packages/storage/src/mobile-attachment-store.ts</w:t>
            </w:r>
            <w:r>
              <w:rPr>
                <w:b w:val="0"/>
                <w:sz w:val="20"/>
              </w:rPr>
              <w:t xml:space="preserve"> 314 762 行</w:t>
            </w:r>
          </w:p>
        </w:tc>
        <w:tc>
          <w:tcPr>
            <w:tcW w:type="dxa" w:w="4422"/>
            <w:vAlign w:val="center"/>
            <w:tcMar>
              <w:top w:w="90" w:type="dxa"/>
              <w:bottom w:w="90" w:type="dxa"/>
              <w:left w:w="100" w:type="dxa"/>
              <w:right w:w="100" w:type="dxa"/>
            </w:tcMar>
          </w:tcPr>
          <w:p>
            <w:pPr>
              <w:keepNext w:val="0"/>
              <w:spacing w:after="0" w:line="264" w:lineRule="auto"/>
            </w:pPr>
            <w:r>
              <w:rPr>
                <w:b w:val="0"/>
                <w:sz w:val="20"/>
              </w:rPr>
              <w:t>上传会话归属与内容寻址文件存储</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E14</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apps/api/src/mobile-notification-hints.ts</w:t>
            </w:r>
            <w:r>
              <w:rPr>
                <w:b w:val="0"/>
                <w:sz w:val="20"/>
              </w:rPr>
              <w:t xml:space="preserve"> 239 321 行</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以操作者识别通知连接及批量读取</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E15</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apps/web/src/UploadIncrementPage.tsx</w:t>
            </w:r>
            <w:r>
              <w:rPr>
                <w:b w:val="0"/>
                <w:sz w:val="20"/>
              </w:rPr>
              <w:t xml:space="preserve"> 187 行</w:t>
            </w:r>
          </w:p>
        </w:tc>
        <w:tc>
          <w:tcPr>
            <w:tcW w:type="dxa" w:w="4422"/>
            <w:vAlign w:val="center"/>
            <w:tcMar>
              <w:top w:w="90" w:type="dxa"/>
              <w:bottom w:w="90" w:type="dxa"/>
              <w:left w:w="100" w:type="dxa"/>
              <w:right w:w="100" w:type="dxa"/>
            </w:tcMar>
          </w:tcPr>
          <w:p>
            <w:pPr>
              <w:keepNext w:val="0"/>
              <w:spacing w:after="0" w:line="264" w:lineRule="auto"/>
            </w:pPr>
            <w:r>
              <w:rPr>
                <w:b w:val="0"/>
                <w:sz w:val="20"/>
              </w:rPr>
              <w:t>现有上传草稿只按 userId 命名</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E16</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apps/android/app/src/main/kotlin/com/relayqahub/android/data/ScopedRepository.kt</w:t>
            </w:r>
            <w:r>
              <w:rPr>
                <w:b w:val="0"/>
                <w:sz w:val="20"/>
              </w:rPr>
              <w:t xml:space="preserve"> 16 行</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Android 已有账号项目作用域</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E17</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apps/android/app/src/main/kotlin/com/relayqahub/android/BugDraftPreferences.kt</w:t>
            </w:r>
            <w:r>
              <w:rPr>
                <w:b w:val="0"/>
                <w:sz w:val="20"/>
              </w:rPr>
              <w:t xml:space="preserve"> 30 行</w:t>
            </w:r>
          </w:p>
        </w:tc>
        <w:tc>
          <w:tcPr>
            <w:tcW w:type="dxa" w:w="4422"/>
            <w:vAlign w:val="center"/>
            <w:tcMar>
              <w:top w:w="90" w:type="dxa"/>
              <w:bottom w:w="90" w:type="dxa"/>
              <w:left w:w="100" w:type="dxa"/>
              <w:right w:w="100" w:type="dxa"/>
            </w:tcMar>
          </w:tcPr>
          <w:p>
            <w:pPr>
              <w:keepNext w:val="0"/>
              <w:spacing w:after="0" w:line="264" w:lineRule="auto"/>
            </w:pPr>
            <w:r>
              <w:rPr>
                <w:b w:val="0"/>
                <w:sz w:val="20"/>
              </w:rPr>
              <w:t>草稿默认值按操作者保存</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E18</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apps/api/src/backup-runner.ts</w:t>
            </w:r>
            <w:r>
              <w:rPr>
                <w:b w:val="0"/>
                <w:sz w:val="20"/>
              </w:rPr>
              <w:t xml:space="preserve"> 与 </w:t>
            </w:r>
            <w:r>
              <w:rPr>
                <w:rFonts w:ascii="Consolas" w:hAnsi="Consolas"/>
                <w:b w:val="0"/>
                <w:sz w:val="20"/>
              </w:rPr>
              <w:t>packages/storage/src/sqlite-backup.ts</w:t>
            </w:r>
            <w:r>
              <w:rPr>
                <w:b w:val="0"/>
                <w:sz w:val="20"/>
              </w:rPr>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主库在线备份和附件归档基础</w:t>
            </w:r>
          </w:p>
        </w:tc>
      </w:tr>
      <w:tr>
        <w:trPr>
          <w:cantSplit/>
        </w:trPr>
        <w:tc>
          <w:tcPr>
            <w:tcW w:type="dxa" w:w="794"/>
            <w:vAlign w:val="center"/>
            <w:tcMar>
              <w:top w:w="90" w:type="dxa"/>
              <w:bottom w:w="90" w:type="dxa"/>
              <w:left w:w="100" w:type="dxa"/>
              <w:right w:w="100" w:type="dxa"/>
            </w:tcMar>
          </w:tcPr>
          <w:p>
            <w:pPr>
              <w:keepNext w:val="0"/>
              <w:spacing w:after="0" w:line="264" w:lineRule="auto"/>
              <w:jc w:val="center"/>
            </w:pPr>
            <w:r>
              <w:rPr>
                <w:b w:val="0"/>
                <w:sz w:val="20"/>
              </w:rPr>
              <w:t>E19</w:t>
            </w:r>
          </w:p>
        </w:tc>
        <w:tc>
          <w:tcPr>
            <w:tcW w:type="dxa" w:w="4422"/>
            <w:vAlign w:val="center"/>
            <w:tcMar>
              <w:top w:w="90" w:type="dxa"/>
              <w:bottom w:w="90" w:type="dxa"/>
              <w:left w:w="100" w:type="dxa"/>
              <w:right w:w="100" w:type="dxa"/>
            </w:tcMar>
          </w:tcPr>
          <w:p>
            <w:pPr>
              <w:keepNext w:val="0"/>
              <w:spacing w:after="0" w:line="264" w:lineRule="auto"/>
            </w:pPr>
            <w:r>
              <w:rPr>
                <w:b w:val="0"/>
                <w:sz w:val="20"/>
              </w:rPr>
            </w:r>
            <w:r>
              <w:rPr>
                <w:rFonts w:ascii="Consolas" w:hAnsi="Consolas"/>
                <w:b w:val="0"/>
                <w:sz w:val="20"/>
              </w:rPr>
              <w:t>docs/adr/ADR-0011-human-completion-priority.md</w:t>
            </w:r>
            <w:r>
              <w:rPr>
                <w:b w:val="0"/>
                <w:sz w:val="20"/>
              </w:rPr>
            </w:r>
          </w:p>
        </w:tc>
        <w:tc>
          <w:tcPr>
            <w:tcW w:type="dxa" w:w="4422"/>
            <w:vAlign w:val="center"/>
            <w:tcMar>
              <w:top w:w="90" w:type="dxa"/>
              <w:bottom w:w="90" w:type="dxa"/>
              <w:left w:w="100" w:type="dxa"/>
              <w:right w:w="100" w:type="dxa"/>
            </w:tcMar>
          </w:tcPr>
          <w:p>
            <w:pPr>
              <w:keepNext w:val="0"/>
              <w:spacing w:after="0" w:line="264" w:lineRule="auto"/>
            </w:pPr>
            <w:r>
              <w:rPr>
                <w:b w:val="0"/>
                <w:sz w:val="20"/>
              </w:rPr>
              <w:t>人工处理优先、保留历史与延迟回调边界</w:t>
            </w:r>
          </w:p>
        </w:tc>
      </w:tr>
      <w:tr>
        <w:trPr>
          <w:cantSplit/>
        </w:trPr>
        <w:tc>
          <w:tcPr>
            <w:tcW w:type="dxa" w:w="794"/>
            <w:vAlign w:val="center"/>
            <w:tcMar>
              <w:top w:w="90" w:type="dxa"/>
              <w:bottom w:w="90" w:type="dxa"/>
              <w:left w:w="100" w:type="dxa"/>
              <w:right w:w="100" w:type="dxa"/>
            </w:tcMar>
            <w:shd w:fill="F5F7FA"/>
          </w:tcPr>
          <w:p>
            <w:pPr>
              <w:keepNext w:val="0"/>
              <w:spacing w:after="0" w:line="264" w:lineRule="auto"/>
              <w:jc w:val="center"/>
            </w:pPr>
            <w:r>
              <w:rPr>
                <w:b w:val="0"/>
                <w:sz w:val="20"/>
              </w:rPr>
              <w:t>E20</w:t>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r>
            <w:r>
              <w:rPr>
                <w:rFonts w:ascii="Consolas" w:hAnsi="Consolas"/>
                <w:b w:val="0"/>
                <w:sz w:val="20"/>
              </w:rPr>
              <w:t>docs/evidence/shared-upload-records-3.3.5.md</w:t>
            </w:r>
            <w:r>
              <w:rPr>
                <w:b w:val="0"/>
                <w:sz w:val="20"/>
              </w:rPr>
            </w:r>
          </w:p>
        </w:tc>
        <w:tc>
          <w:tcPr>
            <w:tcW w:type="dxa" w:w="4422"/>
            <w:vAlign w:val="center"/>
            <w:tcMar>
              <w:top w:w="90" w:type="dxa"/>
              <w:bottom w:w="90" w:type="dxa"/>
              <w:left w:w="100" w:type="dxa"/>
              <w:right w:w="100" w:type="dxa"/>
            </w:tcMar>
            <w:shd w:fill="F5F7FA"/>
          </w:tcPr>
          <w:p>
            <w:pPr>
              <w:keepNext w:val="0"/>
              <w:spacing w:after="0" w:line="264" w:lineRule="auto"/>
            </w:pPr>
            <w:r>
              <w:rPr>
                <w:b w:val="0"/>
                <w:sz w:val="20"/>
              </w:rPr>
              <w:t>共享上传记录是当前单团队协作设计</w:t>
            </w:r>
          </w:p>
        </w:tc>
      </w:tr>
    </w:tbl>
    <w:p>
      <w:pPr>
        <w:spacing w:after="20"/>
      </w:pPr>
    </w:p>
    <w:p>
      <w:r>
        <w:t>官方参考资料已在相关段落就近链接。SQLite 用于判断保留本地数据库的适用条件；PostgreSQL 用于说明后续共享库的行级权限注意点；OWASP 用于核对隔离边界。它们不构成对当前系统已实现这些能力的证明。</w:t>
      </w: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2026 年 9 月 8 日   ·   </w:t>
    </w:r>
    <w:fldSimple w:instr="PAGE"/>
    <w:r>
      <w:rPr>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8"/>
      </w:rPr>
      <w:t>QA Hub 多工作室改造方案  |  设计评估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Microsoft YaHei" w:hAnsi="Microsoft YaHei" w:eastAsia="Microsoft YaHei" w:cs="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cs="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Microsoft YaHei" w:hAnsi="Microsoft YaHei" w:eastAsia="Microsoft YaHei" w:cs="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Microsoft YaHei" w:hAnsi="Microsoft YaHei" w:eastAsia="Microsoft YaHei" w:cs="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Microsoft YaHei" w:hAnsi="Microsoft YaHei" w:eastAsia="Microsoft YaHei" w:cs="Microsoft Ya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00" w:lineRule="auto"/>
    </w:pPr>
    <w:rPr>
      <w:rFonts w:ascii="Microsoft YaHei" w:hAnsi="Microsoft YaHei" w:eastAsia="Microsoft YaHei" w:cs="Microsoft YaHei"/>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00" w:lineRule="auto" w:after="120"/>
      <w:contextualSpacing/>
    </w:pPr>
    <w:rPr>
      <w:rFonts w:ascii="Microsoft YaHei" w:hAnsi="Microsoft YaHei" w:eastAsia="Microsoft YaHei" w:cs="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00" w:lineRule="auto" w:after="120"/>
      <w:contextualSpacing/>
    </w:pPr>
    <w:rPr>
      <w:rFonts w:ascii="Microsoft YaHei" w:hAnsi="Microsoft YaHei" w:eastAsia="Microsoft YaHei" w:cs="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qlite.org/whentouse.html" TargetMode="External"/><Relationship Id="rId12" Type="http://schemas.openxmlformats.org/officeDocument/2006/relationships/hyperlink" Target="https://www.postgresql.org/docs/current/ddl-rowsecurity.html" TargetMode="External"/><Relationship Id="rId13" Type="http://schemas.openxmlformats.org/officeDocument/2006/relationships/hyperlink" Target="https://cheatsheetseries.owasp.org/cheatsheets/Multi_Tenant_Security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Hub 多工作室改造方案</dc:title>
  <dc:subject>工作室数据隔离 功能模块配置 打包上传适配与实施评估</dc:subject>
  <dc:creator>Codex</dc:creator>
  <cp:keywords/>
  <dc:description>Based on source review at 62b4495c9b28dc3aea1d5633e870be4e1fdf841f; proposal only.</dc:description>
  <cp:lastModifiedBy/>
  <cp:revision>1</cp:revision>
  <dcterms:created xsi:type="dcterms:W3CDTF">2013-12-23T23:15:00Z</dcterms:created>
  <dcterms:modified xsi:type="dcterms:W3CDTF">2013-12-23T23:15:00Z</dcterms:modified>
  <cp:category/>
</cp:coreProperties>
</file>