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Hub 项目制与组件化改造方案</w:t>
      </w:r>
    </w:p>
    <w:p>
      <w:pPr>
        <w:spacing w:after="40"/>
      </w:pPr>
      <w:r>
        <w:rPr>
          <w:sz w:val="20"/>
        </w:rPr>
        <w:t>版本 2.1</w:t>
      </w:r>
    </w:p>
    <w:p>
      <w:pPr>
        <w:spacing w:after="40"/>
      </w:pPr>
      <w:r>
        <w:rPr>
          <w:sz w:val="20"/>
        </w:rPr>
        <w:t>修订日期 2026 年 9 月 9 日</w:t>
      </w:r>
    </w:p>
    <w:p>
      <w:pPr>
        <w:spacing w:after="40"/>
      </w:pPr>
      <w:r>
        <w:rPr>
          <w:sz w:val="20"/>
        </w:rPr>
        <w:t>编制 Codex</w:t>
      </w:r>
    </w:p>
    <w:p>
      <w:pPr>
        <w:spacing w:after="40"/>
      </w:pPr>
      <w:r>
        <w:rPr>
          <w:sz w:val="20"/>
        </w:rPr>
        <w:t>面向 项目负责人 开发 测试与运维</w:t>
      </w:r>
    </w:p>
    <w:p>
      <w:pPr>
        <w:spacing w:after="40"/>
      </w:pPr>
      <w:r>
        <w:rPr>
          <w:sz w:val="20"/>
        </w:rPr>
        <w:t>适用 当前本机部署及后续多个内部项目共同使用</w:t>
      </w:r>
    </w:p>
    <w:p>
      <w:pPr>
        <w:spacing w:after="40"/>
      </w:pPr>
      <w:r>
        <w:rPr>
          <w:sz w:val="20"/>
        </w:rPr>
        <w:t>本方案将 QA Hub 改为只有项目一级的内部协作工具。人员可以加入一个或多个项目，普通员工只看到自己加入的项目；进入项目后继续按名字登录。系统只保留项目员工和一个 GM，GM 统一管理项目、人员归属及功能开关。</w:t>
      </w:r>
    </w:p>
    <w:p>
      <w:r>
        <w:t>基础产品只负责 Bug 单管理。打包、单次打包上传、增量上传、Relay AI 制作、第三方订单同步等能力，分别作为组件按项目启用。HTTP API 与 MCP 共用业务实现，两种方式均能独立完成列表、详情、状态操作等工作。Android APK、Windows EXE 和 Web 使用同一套项目与组件配置，APK 与 EXE 纳入同一批开发和发布验收。</w:t>
      </w:r>
    </w:p>
    <w:p>
      <w:r>
        <w:t>实现上复用现有 API、SQLite 数据模型和项目成员表，新版内部仍使用一套 API 服务与一个业务数据库。主要工作是解除固定项目假设、补齐项目切换和旁路数据归属、拆分组件，以及补全 HTTP API 与 MCP 对等能力。本文替代版本 1.0 中的工作室层级、多身份权限、邀请认证及每工作室独立服务方案。</w:t>
      </w:r>
    </w:p>
    <w:p>
      <w:r>
        <w:t>版本 2.1 增加实施硬约束：在新的 Git 工作树中制作，新版以独立实例与当前主分支生产版本长期并行运行。代码、数据库、附件、队列、配置、端口、客户端身份和发布更新通道都必须分开。完成本任务不包含替换生产、合并主分支或升级日常客户端。制作完成后逐项真实操作覆盖全部功能，实施与验收细则见第 16 和第 17 节；与前文或既往默认发布习惯冲突时，以本条为准。</w:t>
      </w:r>
    </w:p>
    <w:p>
      <w:pPr>
        <w:pStyle w:val="Heading1"/>
      </w:pPr>
      <w:r>
        <w:t>1 已确定的产品规则</w:t>
      </w:r>
    </w:p>
    <w:p>
      <w:pPr>
        <w:pStyle w:val="Heading2"/>
      </w:pPr>
      <w:r>
        <w:t>1 1 本次修订的结论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事项</w:t>
            </w:r>
          </w:p>
        </w:tc>
        <w:tc>
          <w:tcPr>
            <w:tcW w:type="dxa" w:w="3742"/>
            <w:vAlign w:val="center"/>
            <w:tcMar>
              <w:top w:w="90" w:type="dxa"/>
              <w:bottom w:w="90" w:type="dxa"/>
              <w:left w:w="100" w:type="dxa"/>
              <w:right w:w="100" w:type="dxa"/>
            </w:tcMar>
            <w:shd w:fill="DDEBF7"/>
          </w:tcPr>
          <w:p>
            <w:pPr>
              <w:keepNext/>
              <w:spacing w:after="0" w:line="264" w:lineRule="auto"/>
            </w:pPr>
            <w:r>
              <w:rPr>
                <w:b/>
                <w:sz w:val="20"/>
              </w:rPr>
              <w:t>最终规则</w:t>
            </w:r>
          </w:p>
        </w:tc>
        <w:tc>
          <w:tcPr>
            <w:tcW w:type="dxa" w:w="4082"/>
            <w:vAlign w:val="center"/>
            <w:tcMar>
              <w:top w:w="90" w:type="dxa"/>
              <w:bottom w:w="90" w:type="dxa"/>
              <w:left w:w="100" w:type="dxa"/>
              <w:right w:w="100" w:type="dxa"/>
            </w:tcMar>
            <w:shd w:fill="DDEBF7"/>
          </w:tcPr>
          <w:p>
            <w:pPr>
              <w:keepNext/>
              <w:spacing w:after="0" w:line="264" w:lineRule="auto"/>
            </w:pPr>
            <w:r>
              <w:rPr>
                <w:b/>
                <w:sz w:val="20"/>
              </w:rPr>
              <w:t>对开发的影响</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组织层级</w:t>
            </w:r>
          </w:p>
        </w:tc>
        <w:tc>
          <w:tcPr>
            <w:tcW w:type="dxa" w:w="3742"/>
            <w:vAlign w:val="center"/>
            <w:tcMar>
              <w:top w:w="90" w:type="dxa"/>
              <w:bottom w:w="90" w:type="dxa"/>
              <w:left w:w="100" w:type="dxa"/>
              <w:right w:w="100" w:type="dxa"/>
            </w:tcMar>
          </w:tcPr>
          <w:p>
            <w:pPr>
              <w:keepNext w:val="0"/>
              <w:spacing w:after="0" w:line="264" w:lineRule="auto"/>
            </w:pPr>
            <w:r>
              <w:rPr>
                <w:b w:val="0"/>
                <w:sz w:val="20"/>
              </w:rPr>
              <w:t>只有项目，不增加工作室层</w:t>
            </w:r>
          </w:p>
        </w:tc>
        <w:tc>
          <w:tcPr>
            <w:tcW w:type="dxa" w:w="4082"/>
            <w:vAlign w:val="center"/>
            <w:tcMar>
              <w:top w:w="90" w:type="dxa"/>
              <w:bottom w:w="90" w:type="dxa"/>
              <w:left w:w="100" w:type="dxa"/>
              <w:right w:w="100" w:type="dxa"/>
            </w:tcMar>
          </w:tcPr>
          <w:p>
            <w:pPr>
              <w:keepNext w:val="0"/>
              <w:spacing w:after="0" w:line="264" w:lineRule="auto"/>
            </w:pPr>
            <w:r>
              <w:rPr>
                <w:b w:val="0"/>
                <w:sz w:val="20"/>
              </w:rPr>
              <w:t>复用 projects，不新建 studio 或 workspace 业务层</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人员归属</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一个人可分配到多个项目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复用 users 与 memberships，列表只返回所属项目</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员工登录</w:t>
            </w:r>
          </w:p>
        </w:tc>
        <w:tc>
          <w:tcPr>
            <w:tcW w:type="dxa" w:w="3742"/>
            <w:vAlign w:val="center"/>
            <w:tcMar>
              <w:top w:w="90" w:type="dxa"/>
              <w:bottom w:w="90" w:type="dxa"/>
              <w:left w:w="100" w:type="dxa"/>
              <w:right w:w="100" w:type="dxa"/>
            </w:tcMar>
          </w:tcPr>
          <w:p>
            <w:pPr>
              <w:keepNext w:val="0"/>
              <w:spacing w:after="0" w:line="264" w:lineRule="auto"/>
            </w:pPr>
            <w:r>
              <w:rPr>
                <w:b w:val="0"/>
                <w:sz w:val="20"/>
              </w:rPr>
              <w:t>选择或进入项目后按名字登录</w:t>
            </w:r>
          </w:p>
        </w:tc>
        <w:tc>
          <w:tcPr>
            <w:tcW w:type="dxa" w:w="4082"/>
            <w:vAlign w:val="center"/>
            <w:tcMar>
              <w:top w:w="90" w:type="dxa"/>
              <w:bottom w:w="90" w:type="dxa"/>
              <w:left w:w="100" w:type="dxa"/>
              <w:right w:w="100" w:type="dxa"/>
            </w:tcMar>
          </w:tcPr>
          <w:p>
            <w:pPr>
              <w:keepNext w:val="0"/>
              <w:spacing w:after="0" w:line="264" w:lineRule="auto"/>
            </w:pPr>
            <w:r>
              <w:rPr>
                <w:b w:val="0"/>
                <w:sz w:val="20"/>
              </w:rPr>
              <w:t>保留姓名规则和会话机制，登录增加项目参数</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身份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项目员工与一个 GM</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页面不再出现管理员、开发者、验收者等权限角色选择</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人员管理</w:t>
            </w:r>
          </w:p>
        </w:tc>
        <w:tc>
          <w:tcPr>
            <w:tcW w:type="dxa" w:w="3742"/>
            <w:vAlign w:val="center"/>
            <w:tcMar>
              <w:top w:w="90" w:type="dxa"/>
              <w:bottom w:w="90" w:type="dxa"/>
              <w:left w:w="100" w:type="dxa"/>
              <w:right w:w="100" w:type="dxa"/>
            </w:tcMar>
          </w:tcPr>
          <w:p>
            <w:pPr>
              <w:keepNext w:val="0"/>
              <w:spacing w:after="0" w:line="264" w:lineRule="auto"/>
            </w:pPr>
            <w:r>
              <w:rPr>
                <w:b w:val="0"/>
                <w:sz w:val="20"/>
              </w:rPr>
              <w:t>项目内维持当前使用方式</w:t>
            </w:r>
          </w:p>
        </w:tc>
        <w:tc>
          <w:tcPr>
            <w:tcW w:type="dxa" w:w="4082"/>
            <w:vAlign w:val="center"/>
            <w:tcMar>
              <w:top w:w="90" w:type="dxa"/>
              <w:bottom w:w="90" w:type="dxa"/>
              <w:left w:w="100" w:type="dxa"/>
              <w:right w:w="100" w:type="dxa"/>
            </w:tcMar>
          </w:tcPr>
          <w:p>
            <w:pPr>
              <w:keepNext w:val="0"/>
              <w:spacing w:after="0" w:line="264" w:lineRule="auto"/>
            </w:pPr>
            <w:r>
              <w:rPr>
                <w:b w:val="0"/>
                <w:sz w:val="20"/>
              </w:rPr>
              <w:t>名单、关联、停用等操作仅影响当前项目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基础功能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Bug 单管理及其必要配套</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不依赖打包、上传、Relay 或外部订单服务</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可选功能</w:t>
            </w:r>
          </w:p>
        </w:tc>
        <w:tc>
          <w:tcPr>
            <w:tcW w:type="dxa" w:w="3742"/>
            <w:vAlign w:val="center"/>
            <w:tcMar>
              <w:top w:w="90" w:type="dxa"/>
              <w:bottom w:w="90" w:type="dxa"/>
              <w:left w:w="100" w:type="dxa"/>
              <w:right w:w="100" w:type="dxa"/>
            </w:tcMar>
          </w:tcPr>
          <w:p>
            <w:pPr>
              <w:keepNext w:val="0"/>
              <w:spacing w:after="0" w:line="264" w:lineRule="auto"/>
            </w:pPr>
            <w:r>
              <w:rPr>
                <w:b w:val="0"/>
                <w:sz w:val="20"/>
              </w:rPr>
              <w:t>每个项目独立启用组件</w:t>
            </w:r>
          </w:p>
        </w:tc>
        <w:tc>
          <w:tcPr>
            <w:tcW w:type="dxa" w:w="4082"/>
            <w:vAlign w:val="center"/>
            <w:tcMar>
              <w:top w:w="90" w:type="dxa"/>
              <w:bottom w:w="90" w:type="dxa"/>
              <w:left w:w="100" w:type="dxa"/>
              <w:right w:w="100" w:type="dxa"/>
            </w:tcMar>
          </w:tcPr>
          <w:p>
            <w:pPr>
              <w:keepNext w:val="0"/>
              <w:spacing w:after="0" w:line="264" w:lineRule="auto"/>
            </w:pPr>
            <w:r>
              <w:rPr>
                <w:b w:val="0"/>
                <w:sz w:val="20"/>
              </w:rPr>
              <w:t>同一版本程序，服务端配置决定该项目可用能力</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对外接口</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HTTP API 与 MCP 均提供</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共用业务服务，界面能做的主要 Bug 操作同步开放</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客户端</w:t>
            </w:r>
          </w:p>
        </w:tc>
        <w:tc>
          <w:tcPr>
            <w:tcW w:type="dxa" w:w="3742"/>
            <w:vAlign w:val="center"/>
            <w:tcMar>
              <w:top w:w="90" w:type="dxa"/>
              <w:bottom w:w="90" w:type="dxa"/>
              <w:left w:w="100" w:type="dxa"/>
              <w:right w:w="100" w:type="dxa"/>
            </w:tcMar>
          </w:tcPr>
          <w:p>
            <w:pPr>
              <w:keepNext w:val="0"/>
              <w:spacing w:after="0" w:line="264" w:lineRule="auto"/>
            </w:pPr>
            <w:r>
              <w:rPr>
                <w:b w:val="0"/>
                <w:sz w:val="20"/>
              </w:rPr>
              <w:t>APK、EXE 同步兼容</w:t>
            </w:r>
          </w:p>
        </w:tc>
        <w:tc>
          <w:tcPr>
            <w:tcW w:type="dxa" w:w="4082"/>
            <w:vAlign w:val="center"/>
            <w:tcMar>
              <w:top w:w="90" w:type="dxa"/>
              <w:bottom w:w="90" w:type="dxa"/>
              <w:left w:w="100" w:type="dxa"/>
              <w:right w:w="100" w:type="dxa"/>
            </w:tcMar>
          </w:tcPr>
          <w:p>
            <w:pPr>
              <w:keepNext w:val="0"/>
              <w:spacing w:after="0" w:line="264" w:lineRule="auto"/>
            </w:pPr>
            <w:r>
              <w:rPr>
                <w:b w:val="0"/>
                <w:sz w:val="20"/>
              </w:rPr>
              <w:t>不以仅完成 Web 或 EXE 作为项目改造完成</w:t>
            </w:r>
          </w:p>
        </w:tc>
      </w:tr>
    </w:tbl>
    <w:p>
      <w:pPr>
        <w:spacing w:after="20"/>
      </w:pPr>
    </w:p>
    <w:p>
      <w:r>
        <w:t>这里仍需保留很少的项目归属检查：列表只读当前人员所属项目，修改时核对 Bug 属于请求中的项目，停用人员不能继续进入该项目。这些检查直接实现“看不到不属于他的项目”，不引入权限表达式、授权范围配置或多级角色系统。</w:t>
      </w:r>
    </w:p>
    <w:p>
      <w:pPr>
        <w:pStyle w:val="Heading2"/>
      </w:pPr>
      <w:r>
        <w:t>1 2 姓名与业务责任字段</w:t>
      </w:r>
    </w:p>
    <w:p>
      <w:r>
        <w:t>提交人、修复人、关闭人、验收负责人等继续是 Bug 上的业务字段，用来分工和追溯，不作为额外身份。项目员工按当前规则共享项目内管理能力，不重新增加“只有原提交人才能关闭”“只有修复人才能退回”等限制。</w:t>
      </w:r>
    </w:p>
    <w:p>
      <w:r>
        <w:t>沿用可信内部姓名识别，不新增员工密码、短信、邀请审批、企业 SSO 或 OAuth 流程。姓名登录不核验现实中的本人身份；本方案的目标是内部人员分组、项目数据正确归属和操作简便。</w:t>
      </w:r>
    </w:p>
    <w:p>
      <w:pPr>
        <w:pStyle w:val="Heading1"/>
      </w:pPr>
      <w:r>
        <w:t>2 现有代码基础与改造范围</w:t>
      </w:r>
    </w:p>
    <w:p>
      <w:r>
        <w:t xml:space="preserve">本次设计依据本地源码检查，基线提交为 </w:t>
      </w:r>
      <w:r>
        <w:rPr>
          <w:rFonts w:ascii="Consolas" w:hAnsi="Consolas"/>
          <w:sz w:val="20"/>
        </w:rPr>
        <w:t>62b4495c9b28dc3aea1d5633e870be4e1fdf841f</w:t>
      </w:r>
      <w:r>
        <w:t>。下文将“当前已有”和“建议新增”分别说明；接口样例、组件键和新增表结构均是待实现设计。</w:t>
      </w:r>
    </w:p>
    <w:p>
      <w:pPr>
        <w:pStyle w:val="Heading2"/>
      </w:pPr>
      <w:r>
        <w:t>2 1 可以直接复用的能力</w:t>
      </w:r>
    </w:p>
    <w:p>
      <w:r>
        <w:t>数据库已有账号、项目、人员、项目成员关系；项目目录查询已经通过有效成员关系筛选可见项目。Bug 单具有状态、修复轮次、人工完成、验收、评论、附件、事件、版本检查和删除留痕等基础。Android 的本地仓库参数也已经包含项目标识。</w:t>
      </w:r>
    </w:p>
    <w:p>
      <w:r>
        <w:t>现有登录支持姓名，Web 使用会话，原生客户端可以取得令牌。HTTP API 已经覆盖较多 Bug 操作；EXE 内置 MCP 已有项目列表、Bug 列表、上下文、评论、开始修复、提交修复及附件落盘等工具。以上都应保留并改造，避免重新建立一套 Bug 系统。</w:t>
      </w:r>
    </w:p>
    <w:p>
      <w:pPr>
        <w:pStyle w:val="Heading2"/>
      </w:pPr>
      <w:r>
        <w:t>2 2 真正需要修改的部分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领域</w:t>
            </w:r>
          </w:p>
        </w:tc>
        <w:tc>
          <w:tcPr>
            <w:tcW w:type="dxa" w:w="3742"/>
            <w:vAlign w:val="center"/>
            <w:tcMar>
              <w:top w:w="90" w:type="dxa"/>
              <w:bottom w:w="90" w:type="dxa"/>
              <w:left w:w="100" w:type="dxa"/>
              <w:right w:w="100" w:type="dxa"/>
            </w:tcMar>
            <w:shd w:fill="DDEBF7"/>
          </w:tcPr>
          <w:p>
            <w:pPr>
              <w:keepNext/>
              <w:spacing w:after="0" w:line="264" w:lineRule="auto"/>
            </w:pPr>
            <w:r>
              <w:rPr>
                <w:b/>
                <w:sz w:val="20"/>
              </w:rPr>
              <w:t>当前情况</w:t>
            </w:r>
          </w:p>
        </w:tc>
        <w:tc>
          <w:tcPr>
            <w:tcW w:type="dxa" w:w="4082"/>
            <w:vAlign w:val="center"/>
            <w:tcMar>
              <w:top w:w="90" w:type="dxa"/>
              <w:bottom w:w="90" w:type="dxa"/>
              <w:left w:w="100" w:type="dxa"/>
              <w:right w:w="100" w:type="dxa"/>
            </w:tcMar>
            <w:shd w:fill="DDEBF7"/>
          </w:tcPr>
          <w:p>
            <w:pPr>
              <w:keepNext/>
              <w:spacing w:after="0" w:line="264" w:lineRule="auto"/>
            </w:pPr>
            <w:r>
              <w:rPr>
                <w:b/>
                <w:sz w:val="20"/>
              </w:rPr>
              <w:t>需要完成</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API 启动</w:t>
            </w:r>
          </w:p>
        </w:tc>
        <w:tc>
          <w:tcPr>
            <w:tcW w:type="dxa" w:w="3742"/>
            <w:vAlign w:val="center"/>
            <w:tcMar>
              <w:top w:w="90" w:type="dxa"/>
              <w:bottom w:w="90" w:type="dxa"/>
              <w:left w:w="100" w:type="dxa"/>
              <w:right w:w="100" w:type="dxa"/>
            </w:tcMar>
          </w:tcPr>
          <w:p>
            <w:pPr>
              <w:keepNext w:val="0"/>
              <w:spacing w:after="0" w:line="264" w:lineRule="auto"/>
            </w:pPr>
            <w:r>
              <w:rPr>
                <w:b w:val="0"/>
                <w:sz w:val="20"/>
              </w:rPr>
              <w:t>main.ts 仍使用固定 MOBILE_SCOPE 装配多项存储与登录服务</w:t>
            </w:r>
          </w:p>
        </w:tc>
        <w:tc>
          <w:tcPr>
            <w:tcW w:type="dxa" w:w="4082"/>
            <w:vAlign w:val="center"/>
            <w:tcMar>
              <w:top w:w="90" w:type="dxa"/>
              <w:bottom w:w="90" w:type="dxa"/>
              <w:left w:w="100" w:type="dxa"/>
              <w:right w:w="100" w:type="dxa"/>
            </w:tcMar>
          </w:tcPr>
          <w:p>
            <w:pPr>
              <w:keepNext w:val="0"/>
              <w:spacing w:after="0" w:line="264" w:lineRule="auto"/>
            </w:pPr>
            <w:r>
              <w:rPr>
                <w:b w:val="0"/>
                <w:sz w:val="20"/>
              </w:rPr>
              <w:t>项目来自明确请求参数或已绑定的项目会话，不能继续固定到原项目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数据访问</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部分存储先检查是否等于固定项目，创建也用固定值</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改为支持动态项目，复用成员关系和记录归属检查</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登录与入口</w:t>
            </w:r>
          </w:p>
        </w:tc>
        <w:tc>
          <w:tcPr>
            <w:tcW w:type="dxa" w:w="3742"/>
            <w:vAlign w:val="center"/>
            <w:tcMar>
              <w:top w:w="90" w:type="dxa"/>
              <w:bottom w:w="90" w:type="dxa"/>
              <w:left w:w="100" w:type="dxa"/>
              <w:right w:w="100" w:type="dxa"/>
            </w:tcMar>
          </w:tcPr>
          <w:p>
            <w:pPr>
              <w:keepNext w:val="0"/>
              <w:spacing w:after="0" w:line="264" w:lineRule="auto"/>
            </w:pPr>
            <w:r>
              <w:rPr>
                <w:b w:val="0"/>
                <w:sz w:val="20"/>
              </w:rPr>
              <w:t>姓名登录主要服务当前固定项目</w:t>
            </w:r>
          </w:p>
        </w:tc>
        <w:tc>
          <w:tcPr>
            <w:tcW w:type="dxa" w:w="4082"/>
            <w:vAlign w:val="center"/>
            <w:tcMar>
              <w:top w:w="90" w:type="dxa"/>
              <w:bottom w:w="90" w:type="dxa"/>
              <w:left w:w="100" w:type="dxa"/>
              <w:right w:w="100" w:type="dxa"/>
            </w:tcMar>
          </w:tcPr>
          <w:p>
            <w:pPr>
              <w:keepNext w:val="0"/>
              <w:spacing w:after="0" w:line="264" w:lineRule="auto"/>
            </w:pPr>
            <w:r>
              <w:rPr>
                <w:b w:val="0"/>
                <w:sz w:val="20"/>
              </w:rPr>
              <w:t>增加项目入口、项目参数和所属项目切换</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打包</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Jenkins 服务包含固定任务和预设配置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抽为按项目配置的打包组件</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上传</w:t>
            </w:r>
          </w:p>
        </w:tc>
        <w:tc>
          <w:tcPr>
            <w:tcW w:type="dxa" w:w="3742"/>
            <w:vAlign w:val="center"/>
            <w:tcMar>
              <w:top w:w="90" w:type="dxa"/>
              <w:bottom w:w="90" w:type="dxa"/>
              <w:left w:w="100" w:type="dxa"/>
              <w:right w:w="100" w:type="dxa"/>
            </w:tcMar>
          </w:tcPr>
          <w:p>
            <w:pPr>
              <w:keepNext w:val="0"/>
              <w:spacing w:after="0" w:line="264" w:lineRule="auto"/>
            </w:pPr>
            <w:r>
              <w:rPr>
                <w:b w:val="0"/>
                <w:sz w:val="20"/>
              </w:rPr>
              <w:t>独立队列与快照缺少完整项目维度</w:t>
            </w:r>
          </w:p>
        </w:tc>
        <w:tc>
          <w:tcPr>
            <w:tcW w:type="dxa" w:w="4082"/>
            <w:vAlign w:val="center"/>
            <w:tcMar>
              <w:top w:w="90" w:type="dxa"/>
              <w:bottom w:w="90" w:type="dxa"/>
              <w:left w:w="100" w:type="dxa"/>
              <w:right w:w="100" w:type="dxa"/>
            </w:tcMar>
          </w:tcPr>
          <w:p>
            <w:pPr>
              <w:keepNext w:val="0"/>
              <w:spacing w:after="0" w:line="264" w:lineRule="auto"/>
            </w:pPr>
            <w:r>
              <w:rPr>
                <w:b w:val="0"/>
                <w:sz w:val="20"/>
              </w:rPr>
              <w:t>命令、任务、历史、缓存、日志和凭据关联均记录项目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Relay 制作</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外部项目映射和部分生产状态文件存在全局假设</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项目独立绑定与查询，关闭组件时不再自动执行</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客户端缓存</w:t>
            </w:r>
          </w:p>
        </w:tc>
        <w:tc>
          <w:tcPr>
            <w:tcW w:type="dxa" w:w="3742"/>
            <w:vAlign w:val="center"/>
            <w:tcMar>
              <w:top w:w="90" w:type="dxa"/>
              <w:bottom w:w="90" w:type="dxa"/>
              <w:left w:w="100" w:type="dxa"/>
              <w:right w:w="100" w:type="dxa"/>
            </w:tcMar>
          </w:tcPr>
          <w:p>
            <w:pPr>
              <w:keepNext w:val="0"/>
              <w:spacing w:after="0" w:line="264" w:lineRule="auto"/>
            </w:pPr>
            <w:r>
              <w:rPr>
                <w:b w:val="0"/>
                <w:sz w:val="20"/>
              </w:rPr>
              <w:t>部分草稿只按人员保存，部分设置是全局值</w:t>
            </w:r>
          </w:p>
        </w:tc>
        <w:tc>
          <w:tcPr>
            <w:tcW w:type="dxa" w:w="4082"/>
            <w:vAlign w:val="center"/>
            <w:tcMar>
              <w:top w:w="90" w:type="dxa"/>
              <w:bottom w:w="90" w:type="dxa"/>
              <w:left w:w="100" w:type="dxa"/>
              <w:right w:w="100" w:type="dxa"/>
            </w:tcMar>
          </w:tcPr>
          <w:p>
            <w:pPr>
              <w:keepNext w:val="0"/>
              <w:spacing w:after="0" w:line="264" w:lineRule="auto"/>
            </w:pPr>
            <w:r>
              <w:rPr>
                <w:b w:val="0"/>
                <w:sz w:val="20"/>
              </w:rPr>
              <w:t>缓存、草稿、通知与请求都明确所属项目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MCP</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主要入口随 EXE 启动，工具覆盖少于完整 HTTP API</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保留本地入口，增加服务端入口并补齐业务工具</w:t>
            </w:r>
          </w:p>
        </w:tc>
      </w:tr>
    </w:tbl>
    <w:p>
      <w:pPr>
        <w:spacing w:after="20"/>
      </w:pPr>
    </w:p>
    <w:p>
      <w:r>
        <w:t xml:space="preserve">已有 </w:t>
      </w:r>
      <w:r>
        <w:rPr>
          <w:rFonts w:ascii="Consolas" w:hAnsi="Consolas"/>
          <w:sz w:val="20"/>
        </w:rPr>
        <w:t>accounts</w:t>
      </w:r>
      <w:r>
        <w:t xml:space="preserve"> 可作为本机部署内部的兼容字段保留，所有项目共用现有部署账号。界面、产品文档和管理流程不再出现账号下套工作室、工作室下套项目的层级。已有 </w:t>
      </w:r>
      <w:r>
        <w:rPr>
          <w:rFonts w:ascii="Consolas" w:hAnsi="Consolas"/>
          <w:sz w:val="20"/>
        </w:rPr>
        <w:t>modules</w:t>
      </w:r>
      <w:r>
        <w:t xml:space="preserve"> 表表示 Bug 分类，与可选软件组件是两件事，不能混用。</w:t>
      </w:r>
    </w:p>
    <w:p>
      <w:pPr>
        <w:pStyle w:val="Heading1"/>
      </w:pPr>
      <w:r>
        <w:t>3 项目入口与简单姓名登录</w:t>
      </w:r>
    </w:p>
    <w:p>
      <w:pPr>
        <w:pStyle w:val="Heading2"/>
      </w:pPr>
      <w:r>
        <w:t>3 1 普通员工使用流程</w:t>
      </w:r>
    </w:p>
    <w:p>
      <w:pPr>
        <w:pStyle w:val="ListNumber"/>
        <w:numPr>
          <w:ilvl w:val="0"/>
          <w:numId w:val="10"/>
        </w:numPr>
      </w:pPr>
      <w:r>
        <w:t>GM 创建项目，并把项目入口链接、二维码或客户端连接配置发给该项目人员。</w:t>
      </w:r>
    </w:p>
    <w:p>
      <w:pPr>
        <w:pStyle w:val="ListNumber"/>
        <w:numPr>
          <w:ilvl w:val="0"/>
          <w:numId w:val="10"/>
        </w:numPr>
      </w:pPr>
      <w:r>
        <w:t>员工打开入口，登录页明确显示项目名称，填写姓名即可进入。</w:t>
      </w:r>
    </w:p>
    <w:p>
      <w:pPr>
        <w:pStyle w:val="ListNumber"/>
        <w:numPr>
          <w:ilvl w:val="0"/>
          <w:numId w:val="10"/>
        </w:numPr>
      </w:pPr>
      <w:r>
        <w:t>姓名按当前规范解析为人员记录；首次从该项目入口登录时，在该项目登记有效成员关系，不加入其他项目。</w:t>
      </w:r>
    </w:p>
    <w:p>
      <w:pPr>
        <w:pStyle w:val="ListNumber"/>
        <w:numPr>
          <w:ilvl w:val="0"/>
          <w:numId w:val="10"/>
        </w:numPr>
      </w:pPr>
      <w:r>
        <w:t>GM 也可以预先把已有人员分配到多个项目。登录后，项目切换列表只显示此人的有效所属项目。</w:t>
      </w:r>
    </w:p>
    <w:p>
      <w:pPr>
        <w:pStyle w:val="ListNumber"/>
        <w:numPr>
          <w:ilvl w:val="0"/>
          <w:numId w:val="10"/>
        </w:numPr>
      </w:pPr>
      <w:r>
        <w:t>只有一个项目时直接进入，不额外要求再选一次；有多个项目时默认打开本次入口指定项目，之后可切换。</w:t>
      </w:r>
    </w:p>
    <w:p>
      <w:pPr>
        <w:pStyle w:val="ListNumber"/>
        <w:numPr>
          <w:ilvl w:val="0"/>
          <w:numId w:val="10"/>
        </w:numPr>
      </w:pPr>
      <w:r>
        <w:t>Bug、评论、附件和人工操作同时记录实际操作人员及所属项目。</w:t>
      </w:r>
    </w:p>
    <w:p>
      <w:r>
        <w:t>不提供面向未登录员工的全项目目录。项目入口可包含项目 ID 或固定短码，用来确定登录到哪里，不增加邀请审批。按当前要求，内部发放项目入口即表示允许从该入口登记；若以后要求“知道其他项目入口也不能自行加入”，再把首次登记改为 GM 预分配即可，不应在本次默认加上复杂流程。</w:t>
      </w:r>
    </w:p>
    <w:p>
      <w:pPr>
        <w:pStyle w:val="Heading2"/>
      </w:pPr>
      <w:r>
        <w:t>3 2 人员归属与停用</w:t>
      </w:r>
    </w:p>
    <w:p>
      <w:r>
        <w:t>沿用现有稳定人员 ID 和姓名映射，同一已有人员可关联多个项目。登录不重建历史人员，不批量重算历史操作人的 ID。真正同名的不同人员使用可区分的登录名，按现有人员关联方式处理，不自动合并历史。</w:t>
      </w:r>
    </w:p>
    <w:p>
      <w:r>
        <w:t>项目内的停用作用于该项目的成员关系。A 项目停用某人后，该人在 B 项目的记录和资格保持有效。被明确停用的项目关系不能在下一次姓名登录时自动恢复；由 GM 或当前项目内原有人员管理流程恢复。</w:t>
      </w:r>
    </w:p>
    <w:p>
      <w:r>
        <w:t>人员列表、关联、解除关联、停用等现有入口继续保留，但所有项目内操作只改变该项目。涉及跨项目的全局身份合并由 GM 统一处理；项目内姓名显示或别名调整不能连带修改其他项目的历史归属。</w:t>
      </w:r>
    </w:p>
    <w:p>
      <w:pPr>
        <w:pStyle w:val="Heading2"/>
      </w:pPr>
      <w:r>
        <w:t>3 3 唯一 GM</w:t>
      </w:r>
    </w:p>
    <w:p>
      <w:r>
        <w:t>GM 只有一个固定账号，由服务端配置其稳定 ID。建议给 GM 单独保留一个简单管理口令；普通人员仍然只填姓名。不能因为员工输入的名字恰好为“gm”，就赋予全局管理能力。</w:t>
      </w:r>
    </w:p>
    <w:p>
      <w:r>
        <w:t>GM 可以创建、停用和查看全部项目，分配人员所属项目，配置组件及外部连接，并查看项目运行记录。GM 在编辑 Bug、处理构建任务或查看项目人员时，也必须明确当前项目，避免把设置写入错误项目。</w:t>
      </w:r>
    </w:p>
    <w:p>
      <w:r>
        <w:t>项目内不新增项目管理员身份。既有内部人员管理按原有操作习惯保留。GM 是唯一全局管理身份，外部脚本通常使用相应项目员工的姓名会话，不共享 GM 管理口令。</w:t>
      </w:r>
    </w:p>
    <w:p>
      <w:pPr>
        <w:pStyle w:val="Heading2"/>
      </w:pPr>
      <w:r>
        <w:t>3 4 项目切换行为</w:t>
      </w:r>
    </w:p>
    <w:p>
      <w:r>
        <w:t>切换时保存当前项目未提交草稿，取消或作废旧页面请求，重新加载新项目的 Bug、人员、分类、统计和组件配置。迟到的 A 项目请求不得覆盖 B 项目界面。</w:t>
      </w:r>
    </w:p>
    <w:p>
      <w:r>
        <w:t>正在运行的后台任务继续属于创建它的项目，不随客户端切换而迁移。打开通知、附件、深链或 MCP 结果时，使用记录中的项目 ID 定位；若已经被移出该项目，提示不可访问并刷新项目列表。</w:t>
      </w:r>
    </w:p>
    <w:p>
      <w:pPr>
        <w:pStyle w:val="Heading1"/>
      </w:pPr>
      <w:r>
        <w:t>4 目标架构</w:t>
      </w:r>
    </w:p>
    <w:p>
      <w:pPr>
        <w:pStyle w:val="Heading2"/>
      </w:pPr>
      <w:r>
        <w:t>4 1 保持一套服务和一个业务数据库</w:t>
      </w:r>
    </w:p>
    <w:p>
      <w:pPr>
        <w:keepLines/>
        <w:spacing w:line="259" w:lineRule="auto" w:after="160"/>
        <w:jc w:val="center"/>
      </w:pPr>
      <w:r>
        <w:rPr>
          <w:sz w:val="19"/>
        </w:rPr>
        <w:t>Web                 Windows EXE             Android APK</w:t>
        <w:br/>
      </w:r>
      <w:r>
        <w:rPr>
          <w:sz w:val="19"/>
        </w:rPr>
        <w:t>同一套项目目录与组件配置</w:t>
        <w:br/>
      </w:r>
      <w:r>
        <w:rPr>
          <w:sz w:val="19"/>
        </w:rPr>
        <w:t>↓</w:t>
        <w:br/>
      </w:r>
      <w:r>
        <w:rPr>
          <w:sz w:val="19"/>
        </w:rPr>
        <w:t>HTTP API 入口       服务端 MCP 入口       EXE 本地 MCP 入口</w:t>
        <w:br/>
      </w:r>
      <w:r>
        <w:rPr>
          <w:sz w:val="19"/>
        </w:rPr>
        <w:t>↓</w:t>
        <w:br/>
      </w:r>
      <w:r>
        <w:rPr>
          <w:sz w:val="19"/>
        </w:rPr>
        <w:t>共用项目与 Bug 业务服务</w:t>
        <w:br/>
      </w:r>
      <w:r>
        <w:rPr>
          <w:sz w:val="19"/>
        </w:rPr>
        <w:t>↓</w:t>
        <w:br/>
      </w:r>
      <w:r>
        <w:rPr>
          <w:sz w:val="19"/>
        </w:rPr>
        <w:t>Bug 管理基础模块     按项目启用的组件模块</w:t>
        <w:br/>
      </w:r>
      <w:r>
        <w:rPr>
          <w:sz w:val="19"/>
        </w:rPr>
        <w:t>↓</w:t>
        <w:br/>
      </w:r>
      <w:r>
        <w:rPr>
          <w:sz w:val="19"/>
        </w:rPr>
        <w:t>现有 SQLite 数据库与项目文件目录</w:t>
        <w:br/>
      </w:r>
      <w:r>
        <w:rPr>
          <w:sz w:val="19"/>
        </w:rPr>
        <w:t>↓</w:t>
        <w:br/>
      </w:r>
      <w:r>
        <w:rPr>
          <w:sz w:val="19"/>
        </w:rPr>
        <w:t>按项目绑定 Jenkins 上传器 Relay 等外部服务</w:t>
      </w:r>
    </w:p>
    <w:p>
      <w:r>
        <w:t>基础层负责项目、姓名会话、人员、Bug、评论、附件、操作记录和必要通知。组件层只承接额外工作流。业务服务统一处理状态变化和记录写入，HTTP 与 MCP 仅把不同调用形式转换成同一业务请求。</w:t>
      </w:r>
    </w:p>
    <w:p>
      <w:r>
        <w:t>新版内部部署一套 API，不要求每个项目各自维护端口、数据库、安装包和服务实例。开发及并行运行期间，新版与旧生产各自拥有独立 API 实例和独立数据库，不共用运行目录。组件可以先作为代码库内的独立模块，不需要第一期引入插件市场、动态安装或独立微服务。原有外部平台只有在独立测试任务和资源可用时才接入新版，不能复用正在生产作业的工作区或发布目标。</w:t>
      </w:r>
    </w:p>
    <w:p>
      <w:pPr>
        <w:pStyle w:val="Heading2"/>
      </w:pPr>
      <w:r>
        <w:t>4 2 项目数据如何互不串用</w:t>
      </w:r>
    </w:p>
    <w:p>
      <w:r>
        <w:t>所有项目业务数据使用明确的 projectId。请求先确认操作者属于项目，再读取或修改该项目记录；GM 可操作全部项目。一个公共入口完成这两步，业务代码不用重复实现一套复杂权限框架。</w:t>
      </w:r>
    </w:p>
    <w:p>
      <w:r>
        <w:t>附件、任务日志、构建记录、上传命令、下载链接、Relay 映射、通知和本地缓存都要带项目归属。只在 Bug 列表加过滤不够，否则列表虽然隔开，附件下载或后台队列仍可能串项目。</w:t>
      </w:r>
    </w:p>
    <w:p>
      <w:r>
        <w:t xml:space="preserve">新文件建议使用 </w:t>
      </w:r>
      <w:r>
        <w:rPr>
          <w:rFonts w:ascii="Consolas" w:hAnsi="Consolas"/>
          <w:sz w:val="20"/>
        </w:rPr>
        <w:t>data/projects/{projectId}/...</w:t>
      </w:r>
      <w:r>
        <w:t>。历史附件继续使用原路径和索引，读取时通过数据库归属定位，不必为了目录整齐立即搬迁全部历史文件。路径中的项目名只用于显示，稳定 ID 才用于索引和目录。</w:t>
      </w:r>
    </w:p>
    <w:p>
      <w:pPr>
        <w:pStyle w:val="Heading2"/>
      </w:pPr>
      <w:r>
        <w:t>4 3 共用机器的运行边界</w:t>
      </w:r>
    </w:p>
    <w:p>
      <w:r>
        <w:t>不同项目的任务使用独立工作目录、产物目录、上传目标和必要配置；共享构建资源由现有队列串行或限并发执行，避免两个任务同时改同一份工作区。组件任务较重时，后台执行不能阻塞 Bug API 请求。</w:t>
      </w:r>
    </w:p>
    <w:p>
      <w:r>
        <w:t>同一台机器、同一数据库仍然共用硬件容量和宿主机故障范围。这里的“互不影响”首先指业务数据和配置不串用；共享机器上的排队与停机不会因项目分组自动消失。初期使用简单队列和并发上限即可，不增加配额套餐、计费或复杂调度平台。</w:t>
      </w:r>
    </w:p>
    <w:p>
      <w:pPr>
        <w:pStyle w:val="Heading1"/>
      </w:pPr>
      <w:r>
        <w:t>5 数据模型与存储改动</w:t>
      </w:r>
    </w:p>
    <w:p>
      <w:pPr>
        <w:pStyle w:val="Heading2"/>
      </w:pPr>
      <w:r>
        <w:t>5 1 优先复用现有表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969"/>
      </w:tblGrid>
      <w:tr>
        <w:trPr>
          <w:cantSplit/>
          <w:tblHeader/>
        </w:trPr>
        <w:tc>
          <w:tcPr>
            <w:tcW w:type="dxa" w:w="2268"/>
            <w:vAlign w:val="center"/>
            <w:tcMar>
              <w:top w:w="90" w:type="dxa"/>
              <w:bottom w:w="90" w:type="dxa"/>
              <w:left w:w="100" w:type="dxa"/>
              <w:right w:w="100" w:type="dxa"/>
            </w:tcMar>
            <w:shd w:fill="DDEBF7"/>
          </w:tcPr>
          <w:p>
            <w:pPr>
              <w:keepNext/>
              <w:spacing w:after="0" w:line="264" w:lineRule="auto"/>
            </w:pPr>
            <w:r>
              <w:rPr>
                <w:b/>
                <w:sz w:val="20"/>
              </w:rPr>
              <w:t>数据对象</w:t>
            </w:r>
          </w:p>
        </w:tc>
        <w:tc>
          <w:tcPr>
            <w:tcW w:type="dxa" w:w="3402"/>
            <w:vAlign w:val="center"/>
            <w:tcMar>
              <w:top w:w="90" w:type="dxa"/>
              <w:bottom w:w="90" w:type="dxa"/>
              <w:left w:w="100" w:type="dxa"/>
              <w:right w:w="100" w:type="dxa"/>
            </w:tcMar>
            <w:shd w:fill="DDEBF7"/>
          </w:tcPr>
          <w:p>
            <w:pPr>
              <w:keepNext/>
              <w:spacing w:after="0" w:line="264" w:lineRule="auto"/>
            </w:pPr>
            <w:r>
              <w:rPr>
                <w:b/>
                <w:sz w:val="20"/>
              </w:rPr>
              <w:t>处理方式</w:t>
            </w:r>
          </w:p>
        </w:tc>
        <w:tc>
          <w:tcPr>
            <w:tcW w:type="dxa" w:w="3969"/>
            <w:vAlign w:val="center"/>
            <w:tcMar>
              <w:top w:w="90" w:type="dxa"/>
              <w:bottom w:w="90" w:type="dxa"/>
              <w:left w:w="100" w:type="dxa"/>
              <w:right w:w="100" w:type="dxa"/>
            </w:tcMar>
            <w:shd w:fill="DDEBF7"/>
          </w:tcPr>
          <w:p>
            <w:pPr>
              <w:keepNext/>
              <w:spacing w:after="0" w:line="264" w:lineRule="auto"/>
            </w:pPr>
            <w:r>
              <w:rPr>
                <w:b/>
                <w:sz w:val="20"/>
              </w:rPr>
              <w:t>核心规则</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accounts</w:t>
            </w:r>
          </w:p>
        </w:tc>
        <w:tc>
          <w:tcPr>
            <w:tcW w:type="dxa" w:w="3402"/>
            <w:vAlign w:val="center"/>
            <w:tcMar>
              <w:top w:w="90" w:type="dxa"/>
              <w:bottom w:w="90" w:type="dxa"/>
              <w:left w:w="100" w:type="dxa"/>
              <w:right w:w="100" w:type="dxa"/>
            </w:tcMar>
          </w:tcPr>
          <w:p>
            <w:pPr>
              <w:keepNext w:val="0"/>
              <w:spacing w:after="0" w:line="264" w:lineRule="auto"/>
            </w:pPr>
            <w:r>
              <w:rPr>
                <w:b w:val="0"/>
                <w:sz w:val="20"/>
              </w:rPr>
              <w:t>保留现有内部记录</w:t>
            </w:r>
          </w:p>
        </w:tc>
        <w:tc>
          <w:tcPr>
            <w:tcW w:type="dxa" w:w="3969"/>
            <w:vAlign w:val="center"/>
            <w:tcMar>
              <w:top w:w="90" w:type="dxa"/>
              <w:bottom w:w="90" w:type="dxa"/>
              <w:left w:w="100" w:type="dxa"/>
              <w:right w:w="100" w:type="dxa"/>
            </w:tcMar>
          </w:tcPr>
          <w:p>
            <w:pPr>
              <w:keepNext w:val="0"/>
              <w:spacing w:after="0" w:line="264" w:lineRule="auto"/>
            </w:pPr>
            <w:r>
              <w:rPr>
                <w:b w:val="0"/>
                <w:sz w:val="20"/>
              </w:rPr>
              <w:t>作为本机兼容字段，不变成产品层级</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projects</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直接复用并补齐管理操作</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稳定项目 ID、名称、启用状态</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users</w:t>
            </w:r>
          </w:p>
        </w:tc>
        <w:tc>
          <w:tcPr>
            <w:tcW w:type="dxa" w:w="3402"/>
            <w:vAlign w:val="center"/>
            <w:tcMar>
              <w:top w:w="90" w:type="dxa"/>
              <w:bottom w:w="90" w:type="dxa"/>
              <w:left w:w="100" w:type="dxa"/>
              <w:right w:w="100" w:type="dxa"/>
            </w:tcMar>
          </w:tcPr>
          <w:p>
            <w:pPr>
              <w:keepNext w:val="0"/>
              <w:spacing w:after="0" w:line="264" w:lineRule="auto"/>
            </w:pPr>
            <w:r>
              <w:rPr>
                <w:b w:val="0"/>
                <w:sz w:val="20"/>
              </w:rPr>
              <w:t>复用稳定人员 ID 与姓名映射</w:t>
            </w:r>
          </w:p>
        </w:tc>
        <w:tc>
          <w:tcPr>
            <w:tcW w:type="dxa" w:w="3969"/>
            <w:vAlign w:val="center"/>
            <w:tcMar>
              <w:top w:w="90" w:type="dxa"/>
              <w:bottom w:w="90" w:type="dxa"/>
              <w:left w:w="100" w:type="dxa"/>
              <w:right w:w="100" w:type="dxa"/>
            </w:tcMar>
          </w:tcPr>
          <w:p>
            <w:pPr>
              <w:keepNext w:val="0"/>
              <w:spacing w:after="0" w:line="264" w:lineRule="auto"/>
            </w:pPr>
            <w:r>
              <w:rPr>
                <w:b w:val="0"/>
                <w:sz w:val="20"/>
              </w:rPr>
              <w:t>不重写历史人员 ID，不按项目复制全部人员档案</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memberships</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作为人员与项目的关系</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可多项目，停用与恢复只作用于指定项目</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membership_roles</w:t>
            </w:r>
          </w:p>
        </w:tc>
        <w:tc>
          <w:tcPr>
            <w:tcW w:type="dxa" w:w="3402"/>
            <w:vAlign w:val="center"/>
            <w:tcMar>
              <w:top w:w="90" w:type="dxa"/>
              <w:bottom w:w="90" w:type="dxa"/>
              <w:left w:w="100" w:type="dxa"/>
              <w:right w:w="100" w:type="dxa"/>
            </w:tcMar>
          </w:tcPr>
          <w:p>
            <w:pPr>
              <w:keepNext w:val="0"/>
              <w:spacing w:after="0" w:line="264" w:lineRule="auto"/>
            </w:pPr>
            <w:r>
              <w:rPr>
                <w:b w:val="0"/>
                <w:sz w:val="20"/>
              </w:rPr>
              <w:t>兼容旧结构和调用</w:t>
            </w:r>
          </w:p>
        </w:tc>
        <w:tc>
          <w:tcPr>
            <w:tcW w:type="dxa" w:w="3969"/>
            <w:vAlign w:val="center"/>
            <w:tcMar>
              <w:top w:w="90" w:type="dxa"/>
              <w:bottom w:w="90" w:type="dxa"/>
              <w:left w:w="100" w:type="dxa"/>
              <w:right w:w="100" w:type="dxa"/>
            </w:tcMar>
          </w:tcPr>
          <w:p>
            <w:pPr>
              <w:keepNext w:val="0"/>
              <w:spacing w:after="0" w:line="264" w:lineRule="auto"/>
            </w:pPr>
            <w:r>
              <w:rPr>
                <w:b w:val="0"/>
                <w:sz w:val="20"/>
              </w:rPr>
              <w:t>产品只认员工与 GM；旧角色不再产生多套员工权限</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bugs 等业务表</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复用现有结构</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查询、创建、修改都使用同一明确项目</w:t>
            </w:r>
          </w:p>
        </w:tc>
      </w:tr>
      <w:tr>
        <w:trPr>
          <w:cantSplit/>
        </w:trPr>
        <w:tc>
          <w:tcPr>
            <w:tcW w:type="dxa" w:w="2268"/>
            <w:vAlign w:val="center"/>
            <w:tcMar>
              <w:top w:w="90" w:type="dxa"/>
              <w:bottom w:w="90" w:type="dxa"/>
              <w:left w:w="100" w:type="dxa"/>
              <w:right w:w="100" w:type="dxa"/>
            </w:tcMar>
          </w:tcPr>
          <w:p>
            <w:pPr>
              <w:keepNext w:val="0"/>
              <w:spacing w:after="0" w:line="264" w:lineRule="auto"/>
            </w:pPr>
            <w:r>
              <w:rPr>
                <w:b w:val="0"/>
                <w:sz w:val="20"/>
              </w:rPr>
              <w:t>modules</w:t>
            </w:r>
          </w:p>
        </w:tc>
        <w:tc>
          <w:tcPr>
            <w:tcW w:type="dxa" w:w="3402"/>
            <w:vAlign w:val="center"/>
            <w:tcMar>
              <w:top w:w="90" w:type="dxa"/>
              <w:bottom w:w="90" w:type="dxa"/>
              <w:left w:w="100" w:type="dxa"/>
              <w:right w:w="100" w:type="dxa"/>
            </w:tcMar>
          </w:tcPr>
          <w:p>
            <w:pPr>
              <w:keepNext w:val="0"/>
              <w:spacing w:after="0" w:line="264" w:lineRule="auto"/>
            </w:pPr>
            <w:r>
              <w:rPr>
                <w:b w:val="0"/>
                <w:sz w:val="20"/>
              </w:rPr>
              <w:t>继续表示 Bug 分类</w:t>
            </w:r>
          </w:p>
        </w:tc>
        <w:tc>
          <w:tcPr>
            <w:tcW w:type="dxa" w:w="3969"/>
            <w:vAlign w:val="center"/>
            <w:tcMar>
              <w:top w:w="90" w:type="dxa"/>
              <w:bottom w:w="90" w:type="dxa"/>
              <w:left w:w="100" w:type="dxa"/>
              <w:right w:w="100" w:type="dxa"/>
            </w:tcMar>
          </w:tcPr>
          <w:p>
            <w:pPr>
              <w:keepNext w:val="0"/>
              <w:spacing w:after="0" w:line="264" w:lineRule="auto"/>
            </w:pPr>
            <w:r>
              <w:rPr>
                <w:b w:val="0"/>
                <w:sz w:val="20"/>
              </w:rPr>
              <w:t>与组件设置分开管理</w:t>
            </w:r>
          </w:p>
        </w:tc>
      </w:tr>
      <w:tr>
        <w:trPr>
          <w:cantSplit/>
        </w:trPr>
        <w:tc>
          <w:tcPr>
            <w:tcW w:type="dxa" w:w="2268"/>
            <w:vAlign w:val="center"/>
            <w:tcMar>
              <w:top w:w="90" w:type="dxa"/>
              <w:bottom w:w="90" w:type="dxa"/>
              <w:left w:w="100" w:type="dxa"/>
              <w:right w:w="100" w:type="dxa"/>
            </w:tcMar>
            <w:shd w:fill="F5F7FA"/>
          </w:tcPr>
          <w:p>
            <w:pPr>
              <w:keepNext w:val="0"/>
              <w:spacing w:after="0" w:line="264" w:lineRule="auto"/>
            </w:pPr>
            <w:r>
              <w:rPr>
                <w:b w:val="0"/>
                <w:sz w:val="20"/>
              </w:rPr>
              <w:t>会话表</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沿用现有会话和令牌存储</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识别人员，记录登录项目；切换不能改变历史请求归属</w:t>
            </w:r>
          </w:p>
        </w:tc>
      </w:tr>
    </w:tbl>
    <w:p>
      <w:pPr>
        <w:spacing w:after="20"/>
      </w:pPr>
    </w:p>
    <w:p>
      <w:r>
        <w:t>如果现有业务服务仍要求某些角色标志，可在兼容适配处给项目员工统一映射所需能力，而不是继续让用户配置多种角色。具体表清理可后续进行，首期避免删除兼容字段引起历史流程回归。</w:t>
      </w:r>
    </w:p>
    <w:p>
      <w:pPr>
        <w:pStyle w:val="Heading2"/>
      </w:pPr>
      <w:r>
        <w:t>5 2 少量新增项目配置</w:t>
      </w:r>
    </w:p>
    <w:p>
      <w:r>
        <w:t xml:space="preserve">建议新增 </w:t>
      </w:r>
      <w:r>
        <w:rPr>
          <w:rFonts w:ascii="Consolas" w:hAnsi="Consolas"/>
          <w:sz w:val="20"/>
        </w:rPr>
        <w:t>project_components</w:t>
      </w:r>
      <w:r>
        <w:t>，唯一键为项目 ID 加组件键，字段包含 enabled、config、version、updatedBy、updatedAt。基础 Bug 管理固定存在，不需要给 GM 一个可以误关基础系统的开关。</w:t>
      </w:r>
    </w:p>
    <w:p>
      <w:r>
        <w:t xml:space="preserve">外部连接可以保存在组件配置及现有凭据引用中；只有确实需要多条连接时再增加 </w:t>
      </w:r>
      <w:r>
        <w:rPr>
          <w:rFonts w:ascii="Consolas" w:hAnsi="Consolas"/>
          <w:sz w:val="20"/>
        </w:rPr>
        <w:t>project_integrations</w:t>
      </w:r>
      <w:r>
        <w:t>。客户端可读配置只包含名称、开关、可用状态和必要选项，Jenkins、上传器、Relay 的密码或令牌继续保存在服务端。</w:t>
      </w:r>
    </w:p>
    <w:p>
      <w:r>
        <w:t>GM 身份优先采用服务端固定配置，不单独建设角色平台。操作日志复用当前事件与审计机制，对人员归属、组件开关、外部连接修改补充项目 ID、操作者和变更摘要即可。</w:t>
      </w:r>
    </w:p>
    <w:p>
      <w:pPr>
        <w:pStyle w:val="Heading2"/>
      </w:pPr>
      <w:r>
        <w:t>5 3 队列与旁路文件</w:t>
      </w:r>
    </w:p>
    <w:p>
      <w:r>
        <w:t xml:space="preserve">当前上传独立队列中的命令缺少项目列，快照会组合多个上传人的任务。这里必须同步补齐项目字段和查询条件。上传器的 </w:t>
      </w:r>
      <w:r>
        <w:rPr>
          <w:rFonts w:ascii="Consolas" w:hAnsi="Consolas"/>
          <w:sz w:val="20"/>
        </w:rPr>
        <w:t>accountIdentity</w:t>
      </w:r>
      <w:r>
        <w:t xml:space="preserve"> 表示外部上传账号，不能拿来代替 QA Hub 的项目标识。</w:t>
      </w:r>
    </w:p>
    <w:p>
      <w:r>
        <w:t>打包、上传、Relay 的任务 ID 必须连同项目归属一起保存。外部任务的回调、轮询和重试按原任务映射找到项目，不能用“最后一次在界面选中的项目”。项目切换、服务重启和 GM 同时查看多个项目都不能改变任务归属。</w:t>
      </w:r>
    </w:p>
    <w:p>
      <w:r>
        <w:t>缓存键至少包含服务地址、项目 ID 和人员 ID；任务锁按实际共享资源确定，不能把必须全机串行的工作区锁错误拆成项目锁。文件下载和清理也从已登记任务归属出发，不能根据请求字符串直接访问任意路径。</w:t>
      </w:r>
    </w:p>
    <w:p>
      <w:pPr>
        <w:pStyle w:val="Heading1"/>
      </w:pPr>
      <w:r>
        <w:t>6 Bug 管理基础模块</w:t>
      </w:r>
    </w:p>
    <w:p>
      <w:pPr>
        <w:pStyle w:val="Heading2"/>
      </w:pPr>
      <w:r>
        <w:t>6 1 基础范围</w:t>
      </w:r>
    </w:p>
    <w:p>
      <w:r>
        <w:t>基础模块包含 Bug 列表、检索、筛选、详情、创建、编辑、指派、评论、附件、历史、状态操作、人工修复完成、验收、关闭、退回与现有删除能力。项目人员、Bug 分类、必要的统计与通知属于它的配套功能。</w:t>
      </w:r>
    </w:p>
    <w:p>
      <w:r>
        <w:t>已有截图、录屏或设备证据只要用于提交和查看 Bug，继续作为基础配套保留。独立的自动制作、构建发布和外部任务执行能力放入组件。关闭所有可选组件时，APK、EXE 仍然可以完整处理一个 Bug 从提交到关闭的流程。</w:t>
      </w:r>
    </w:p>
    <w:p>
      <w:pPr>
        <w:pStyle w:val="Heading2"/>
      </w:pPr>
      <w:r>
        <w:t>6 2 状态变化保持现有含义</w:t>
      </w:r>
    </w:p>
    <w:p>
      <w:r>
        <w:t>开始修复、提交修复、人工完成、验收通过、退回和关闭复用当前业务动作。人工完成表示已经交付处理结果并进入相应待验收流程，不等于直接通过验收；Relay 执行结束也不等于 Bug 已关闭。</w:t>
      </w:r>
    </w:p>
    <w:p>
      <w:r>
        <w:t>项目员工可以通过界面、HTTP API 或 MCP 发起当前允许的明确动作，三种入口的条件与结果一致。接口提供状态操作能力，但不直接暴露任意改写数据库状态的通用开关。修复人、关闭人和验收负责人仍然负责记录分工，不增加独立权限身份。</w:t>
      </w:r>
    </w:p>
    <w:p>
      <w:r>
        <w:t>关闭 Bug 不依赖打包组件、Relay 成功、构建产物或外部订单同步结果。第三方同步失败记录结果并允许重试，不阻塞 QA Hub 内部操作。删除继续保留现有可恢复、可审计的行为，普通列表、统计与 MCP 读取采用相同过滤。</w:t>
      </w:r>
    </w:p>
    <w:p>
      <w:pPr>
        <w:pStyle w:val="Heading2"/>
      </w:pPr>
      <w:r>
        <w:t>6 3 并发和重复提交</w:t>
      </w:r>
    </w:p>
    <w:p>
      <w:r>
        <w:t>沿用 expectedVersion 和现有幂等机制：界面与脚本同时改同一个 Bug 时，旧版本提交提示刷新；同一操作重复调用返回已执行结果，不能重复创建修复轮次或重复启动外部任务。这属于数据正确性，不需要用户配置任何权限策略。</w:t>
      </w:r>
    </w:p>
    <w:p>
      <w:pPr>
        <w:pStyle w:val="Heading1"/>
      </w:pPr>
      <w:r>
        <w:t>7 HTTP API 与 MCP</w:t>
      </w:r>
    </w:p>
    <w:p>
      <w:pPr>
        <w:pStyle w:val="Heading2"/>
      </w:pPr>
      <w:r>
        <w:t>7 1 两种入口均可独立使用</w:t>
      </w:r>
    </w:p>
    <w:p>
      <w:r>
        <w:t>HTTP API 随 API 服务运行，其他系统可以直接调用，不要求先打开 EXE。服务端 MCP 与它共用业务服务，同样能够独立运行；保留现有 EXE 本地 MCP 兼容入口，用于本机工具接入和附件落盘。</w:t>
      </w:r>
    </w:p>
    <w:p>
      <w:r>
        <w:t>普通自动化可以使用项目 ID 加姓名登录，取得与现有原生客户端方式一致的会话令牌，然后调用该人员所属项目。无需另外建设 API 角色、授权范围、OAuth 客户端或独立服务账号体系。会话到期按同一姓名流程重新登录即可。</w:t>
      </w:r>
    </w:p>
    <w:p>
      <w:r>
        <w:t>本方案中的“对外”指提供给其他内部程序和系统调用，部署时公布实际可达的服务地址与接口文档。沿用当前连接方式，不把本地 127.0.0.1 的 EXE MCP 误写成其他机器可直接访问的服务地址。</w:t>
      </w:r>
    </w:p>
    <w:p>
      <w:pPr>
        <w:pStyle w:val="Heading2"/>
      </w:pPr>
      <w:r>
        <w:t>7 2 现有能力与补齐范围</w:t>
      </w:r>
    </w:p>
    <w:p>
      <w:r>
        <w:t>以下工具名中标注“新增”的是建议名称，开发时可保持当前命名风格。现有工具保持兼容，增加项目参数和一致的返回结构。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90" w:type="dxa"/>
              <w:bottom w:w="90" w:type="dxa"/>
              <w:left w:w="100" w:type="dxa"/>
              <w:right w:w="100" w:type="dxa"/>
            </w:tcMar>
            <w:shd w:fill="DDEBF7"/>
          </w:tcPr>
          <w:p>
            <w:pPr>
              <w:keepNext/>
              <w:spacing w:after="0" w:line="264" w:lineRule="auto"/>
            </w:pPr>
            <w:r>
              <w:rPr>
                <w:b/>
                <w:sz w:val="20"/>
              </w:rPr>
              <w:t>业务能力</w:t>
            </w:r>
          </w:p>
        </w:tc>
        <w:tc>
          <w:tcPr>
            <w:tcW w:type="dxa" w:w="3969"/>
            <w:vAlign w:val="center"/>
            <w:tcMar>
              <w:top w:w="90" w:type="dxa"/>
              <w:bottom w:w="90" w:type="dxa"/>
              <w:left w:w="100" w:type="dxa"/>
              <w:right w:w="100" w:type="dxa"/>
            </w:tcMar>
            <w:shd w:fill="DDEBF7"/>
          </w:tcPr>
          <w:p>
            <w:pPr>
              <w:keepNext/>
              <w:spacing w:after="0" w:line="264" w:lineRule="auto"/>
            </w:pPr>
            <w:r>
              <w:rPr>
                <w:b/>
                <w:sz w:val="20"/>
              </w:rPr>
              <w:t>HTTP API</w:t>
            </w:r>
          </w:p>
        </w:tc>
        <w:tc>
          <w:tcPr>
            <w:tcW w:type="dxa" w:w="3969"/>
            <w:vAlign w:val="center"/>
            <w:tcMar>
              <w:top w:w="90" w:type="dxa"/>
              <w:bottom w:w="90" w:type="dxa"/>
              <w:left w:w="100" w:type="dxa"/>
              <w:right w:w="100" w:type="dxa"/>
            </w:tcMar>
            <w:shd w:fill="DDEBF7"/>
          </w:tcPr>
          <w:p>
            <w:pPr>
              <w:keepNext/>
              <w:spacing w:after="0" w:line="264" w:lineRule="auto"/>
            </w:pPr>
            <w:r>
              <w:rPr>
                <w:b/>
                <w:sz w:val="20"/>
              </w:rPr>
              <w:t>MCP</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所属项目列表</w:t>
            </w:r>
          </w:p>
        </w:tc>
        <w:tc>
          <w:tcPr>
            <w:tcW w:type="dxa" w:w="3969"/>
            <w:vAlign w:val="center"/>
            <w:tcMar>
              <w:top w:w="90" w:type="dxa"/>
              <w:bottom w:w="90" w:type="dxa"/>
              <w:left w:w="100" w:type="dxa"/>
              <w:right w:w="100" w:type="dxa"/>
            </w:tcMar>
          </w:tcPr>
          <w:p>
            <w:pPr>
              <w:keepNext w:val="0"/>
              <w:spacing w:after="0" w:line="264" w:lineRule="auto"/>
            </w:pPr>
            <w:r>
              <w:rPr>
                <w:b w:val="0"/>
                <w:sz w:val="20"/>
              </w:rPr>
              <w:t>已有项目目录，补齐多项目登录后的调用</w:t>
            </w:r>
          </w:p>
        </w:tc>
        <w:tc>
          <w:tcPr>
            <w:tcW w:type="dxa" w:w="3969"/>
            <w:vAlign w:val="center"/>
            <w:tcMar>
              <w:top w:w="90" w:type="dxa"/>
              <w:bottom w:w="90" w:type="dxa"/>
              <w:left w:w="100" w:type="dxa"/>
              <w:right w:w="100" w:type="dxa"/>
            </w:tcMar>
          </w:tcPr>
          <w:p>
            <w:pPr>
              <w:keepNext w:val="0"/>
              <w:spacing w:after="0" w:line="264" w:lineRule="auto"/>
            </w:pPr>
            <w:r>
              <w:rPr>
                <w:b w:val="0"/>
                <w:sz w:val="20"/>
              </w:rPr>
              <w:t>现有 qa_list_projects</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Bug 列表与筛选</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GET /api/v1/bugs，明确项目参数</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qa_list_bugs</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详情与上下文</w:t>
            </w:r>
          </w:p>
        </w:tc>
        <w:tc>
          <w:tcPr>
            <w:tcW w:type="dxa" w:w="3969"/>
            <w:vAlign w:val="center"/>
            <w:tcMar>
              <w:top w:w="90" w:type="dxa"/>
              <w:bottom w:w="90" w:type="dxa"/>
              <w:left w:w="100" w:type="dxa"/>
              <w:right w:w="100" w:type="dxa"/>
            </w:tcMar>
          </w:tcPr>
          <w:p>
            <w:pPr>
              <w:keepNext w:val="0"/>
              <w:spacing w:after="0" w:line="264" w:lineRule="auto"/>
            </w:pPr>
            <w:r>
              <w:rPr>
                <w:b w:val="0"/>
                <w:sz w:val="20"/>
              </w:rPr>
              <w:t>现有详情、事件、评论、附件读取</w:t>
            </w:r>
          </w:p>
        </w:tc>
        <w:tc>
          <w:tcPr>
            <w:tcW w:type="dxa" w:w="3969"/>
            <w:vAlign w:val="center"/>
            <w:tcMar>
              <w:top w:w="90" w:type="dxa"/>
              <w:bottom w:w="90" w:type="dxa"/>
              <w:left w:w="100" w:type="dxa"/>
              <w:right w:w="100" w:type="dxa"/>
            </w:tcMar>
          </w:tcPr>
          <w:p>
            <w:pPr>
              <w:keepNext w:val="0"/>
              <w:spacing w:after="0" w:line="264" w:lineRule="auto"/>
            </w:pPr>
            <w:r>
              <w:rPr>
                <w:b w:val="0"/>
                <w:sz w:val="20"/>
              </w:rPr>
              <w:t>现有 qa_get_bug_context</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创建与编辑</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现有创建和 PATCH 能力，统一项目归属</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新增 qa_create_bug、qa_update_bug</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开始修复</w:t>
            </w:r>
          </w:p>
        </w:tc>
        <w:tc>
          <w:tcPr>
            <w:tcW w:type="dxa" w:w="3969"/>
            <w:vAlign w:val="center"/>
            <w:tcMar>
              <w:top w:w="90" w:type="dxa"/>
              <w:bottom w:w="90" w:type="dxa"/>
              <w:left w:w="100" w:type="dxa"/>
              <w:right w:w="100" w:type="dxa"/>
            </w:tcMar>
          </w:tcPr>
          <w:p>
            <w:pPr>
              <w:keepNext w:val="0"/>
              <w:spacing w:after="0" w:line="264" w:lineRule="auto"/>
            </w:pPr>
            <w:r>
              <w:rPr>
                <w:b w:val="0"/>
                <w:sz w:val="20"/>
              </w:rPr>
              <w:t>复用现有人工工作流动作</w:t>
            </w:r>
          </w:p>
        </w:tc>
        <w:tc>
          <w:tcPr>
            <w:tcW w:type="dxa" w:w="3969"/>
            <w:vAlign w:val="center"/>
            <w:tcMar>
              <w:top w:w="90" w:type="dxa"/>
              <w:bottom w:w="90" w:type="dxa"/>
              <w:left w:w="100" w:type="dxa"/>
              <w:right w:w="100" w:type="dxa"/>
            </w:tcMar>
          </w:tcPr>
          <w:p>
            <w:pPr>
              <w:keepNext w:val="0"/>
              <w:spacing w:after="0" w:line="264" w:lineRule="auto"/>
            </w:pPr>
            <w:r>
              <w:rPr>
                <w:b w:val="0"/>
                <w:sz w:val="20"/>
              </w:rPr>
              <w:t>现有 qa_begin_fix</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提交修复</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复用现有修复交付业务</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qa_submit_fix</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人工完成与状态操作</w:t>
            </w:r>
          </w:p>
        </w:tc>
        <w:tc>
          <w:tcPr>
            <w:tcW w:type="dxa" w:w="3969"/>
            <w:vAlign w:val="center"/>
            <w:tcMar>
              <w:top w:w="90" w:type="dxa"/>
              <w:bottom w:w="90" w:type="dxa"/>
              <w:left w:w="100" w:type="dxa"/>
              <w:right w:w="100" w:type="dxa"/>
            </w:tcMar>
          </w:tcPr>
          <w:p>
            <w:pPr>
              <w:keepNext w:val="0"/>
              <w:spacing w:after="0" w:line="264" w:lineRule="auto"/>
            </w:pPr>
            <w:r>
              <w:rPr>
                <w:b w:val="0"/>
                <w:sz w:val="20"/>
              </w:rPr>
              <w:t>复用 complete、manual-complete、验收等路由</w:t>
            </w:r>
          </w:p>
        </w:tc>
        <w:tc>
          <w:tcPr>
            <w:tcW w:type="dxa" w:w="3969"/>
            <w:vAlign w:val="center"/>
            <w:tcMar>
              <w:top w:w="90" w:type="dxa"/>
              <w:bottom w:w="90" w:type="dxa"/>
              <w:left w:w="100" w:type="dxa"/>
              <w:right w:w="100" w:type="dxa"/>
            </w:tcMar>
          </w:tcPr>
          <w:p>
            <w:pPr>
              <w:keepNext w:val="0"/>
              <w:spacing w:after="0" w:line="264" w:lineRule="auto"/>
            </w:pPr>
            <w:r>
              <w:rPr>
                <w:b w:val="0"/>
                <w:sz w:val="20"/>
              </w:rPr>
              <w:t>新增 qa_bug_action，包含明确动作名</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添加评论</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现有评论接口</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qa_add_comment</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上传与读取附件</w:t>
            </w:r>
          </w:p>
        </w:tc>
        <w:tc>
          <w:tcPr>
            <w:tcW w:type="dxa" w:w="3969"/>
            <w:vAlign w:val="center"/>
            <w:tcMar>
              <w:top w:w="90" w:type="dxa"/>
              <w:bottom w:w="90" w:type="dxa"/>
              <w:left w:w="100" w:type="dxa"/>
              <w:right w:w="100" w:type="dxa"/>
            </w:tcMar>
          </w:tcPr>
          <w:p>
            <w:pPr>
              <w:keepNext w:val="0"/>
              <w:spacing w:after="0" w:line="264" w:lineRule="auto"/>
            </w:pPr>
            <w:r>
              <w:rPr>
                <w:b w:val="0"/>
                <w:sz w:val="20"/>
              </w:rPr>
              <w:t>保留现有附件上传、绑定和下载能力</w:t>
            </w:r>
          </w:p>
        </w:tc>
        <w:tc>
          <w:tcPr>
            <w:tcW w:type="dxa" w:w="3969"/>
            <w:vAlign w:val="center"/>
            <w:tcMar>
              <w:top w:w="90" w:type="dxa"/>
              <w:bottom w:w="90" w:type="dxa"/>
              <w:left w:w="100" w:type="dxa"/>
              <w:right w:w="100" w:type="dxa"/>
            </w:tcMar>
          </w:tcPr>
          <w:p>
            <w:pPr>
              <w:keepNext w:val="0"/>
              <w:spacing w:after="0" w:line="264" w:lineRule="auto"/>
            </w:pPr>
            <w:r>
              <w:rPr>
                <w:b w:val="0"/>
                <w:sz w:val="20"/>
              </w:rPr>
              <w:t>补齐上传及绑定工具，保留 materialize 工具</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删除 Bug</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现有 DELETE，复用版本检查和留痕</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新增 qa_delete_bug</w:t>
            </w:r>
          </w:p>
        </w:tc>
      </w:tr>
      <w:tr>
        <w:trPr>
          <w:cantSplit/>
        </w:trPr>
        <w:tc>
          <w:tcPr>
            <w:tcW w:type="dxa" w:w="1701"/>
            <w:vAlign w:val="center"/>
            <w:tcMar>
              <w:top w:w="90" w:type="dxa"/>
              <w:bottom w:w="90" w:type="dxa"/>
              <w:left w:w="100" w:type="dxa"/>
              <w:right w:w="100" w:type="dxa"/>
            </w:tcMar>
          </w:tcPr>
          <w:p>
            <w:pPr>
              <w:keepNext w:val="0"/>
              <w:spacing w:after="0" w:line="264" w:lineRule="auto"/>
            </w:pPr>
            <w:r>
              <w:rPr>
                <w:b w:val="0"/>
                <w:sz w:val="20"/>
              </w:rPr>
              <w:t>人员 分类 统计</w:t>
            </w:r>
          </w:p>
        </w:tc>
        <w:tc>
          <w:tcPr>
            <w:tcW w:type="dxa" w:w="3969"/>
            <w:vAlign w:val="center"/>
            <w:tcMar>
              <w:top w:w="90" w:type="dxa"/>
              <w:bottom w:w="90" w:type="dxa"/>
              <w:left w:w="100" w:type="dxa"/>
              <w:right w:w="100" w:type="dxa"/>
            </w:tcMar>
          </w:tcPr>
          <w:p>
            <w:pPr>
              <w:keepNext w:val="0"/>
              <w:spacing w:after="0" w:line="264" w:lineRule="auto"/>
            </w:pPr>
            <w:r>
              <w:rPr>
                <w:b w:val="0"/>
                <w:sz w:val="20"/>
              </w:rPr>
              <w:t>项目内现有能力逐项整理为公开接口</w:t>
            </w:r>
          </w:p>
        </w:tc>
        <w:tc>
          <w:tcPr>
            <w:tcW w:type="dxa" w:w="3969"/>
            <w:vAlign w:val="center"/>
            <w:tcMar>
              <w:top w:w="90" w:type="dxa"/>
              <w:bottom w:w="90" w:type="dxa"/>
              <w:left w:w="100" w:type="dxa"/>
              <w:right w:w="100" w:type="dxa"/>
            </w:tcMar>
          </w:tcPr>
          <w:p>
            <w:pPr>
              <w:keepNext w:val="0"/>
              <w:spacing w:after="0" w:line="264" w:lineRule="auto"/>
            </w:pPr>
            <w:r>
              <w:rPr>
                <w:b w:val="0"/>
                <w:sz w:val="20"/>
              </w:rPr>
              <w:t>补齐对应查询与现有管理动作工具</w:t>
            </w:r>
          </w:p>
        </w:tc>
      </w:tr>
      <w:tr>
        <w:trPr>
          <w:cantSplit/>
        </w:trPr>
        <w:tc>
          <w:tcPr>
            <w:tcW w:type="dxa" w:w="1701"/>
            <w:vAlign w:val="center"/>
            <w:tcMar>
              <w:top w:w="90" w:type="dxa"/>
              <w:bottom w:w="90" w:type="dxa"/>
              <w:left w:w="100" w:type="dxa"/>
              <w:right w:w="100" w:type="dxa"/>
            </w:tcMar>
            <w:shd w:fill="F5F7FA"/>
          </w:tcPr>
          <w:p>
            <w:pPr>
              <w:keepNext w:val="0"/>
              <w:spacing w:after="0" w:line="264" w:lineRule="auto"/>
            </w:pPr>
            <w:r>
              <w:rPr>
                <w:b w:val="0"/>
                <w:sz w:val="20"/>
              </w:rPr>
              <w:t>可选组件操作</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启用后提供该组件 API</w:t>
            </w:r>
          </w:p>
        </w:tc>
        <w:tc>
          <w:tcPr>
            <w:tcW w:type="dxa" w:w="3969"/>
            <w:vAlign w:val="center"/>
            <w:tcMar>
              <w:top w:w="90" w:type="dxa"/>
              <w:bottom w:w="90" w:type="dxa"/>
              <w:left w:w="100" w:type="dxa"/>
              <w:right w:w="100" w:type="dxa"/>
            </w:tcMar>
            <w:shd w:fill="F5F7FA"/>
          </w:tcPr>
          <w:p>
            <w:pPr>
              <w:keepNext w:val="0"/>
              <w:spacing w:after="0" w:line="264" w:lineRule="auto"/>
            </w:pPr>
            <w:r>
              <w:rPr>
                <w:b w:val="0"/>
                <w:sz w:val="20"/>
              </w:rPr>
              <w:t>启用后提供同一组件工具或明确可用状态</w:t>
            </w:r>
          </w:p>
        </w:tc>
      </w:tr>
    </w:tbl>
    <w:p>
      <w:pPr>
        <w:spacing w:after="20"/>
      </w:pPr>
    </w:p>
    <w:p>
      <w:r>
        <w:t>当前 MCP 不能直接视为已经完整覆盖所有状态操作。新增工具必须与 HTTP 接口共用现有业务动作，尤其要覆盖人工完成、验收、关闭、退回和删除，避免最后仍需回到界面补做关键操作。</w:t>
      </w:r>
    </w:p>
    <w:p>
      <w:pPr>
        <w:pStyle w:val="Heading2"/>
      </w:pPr>
      <w:r>
        <w:t>7 3 建议的统一接口约定</w:t>
      </w:r>
    </w:p>
    <w:p>
      <w:r>
        <w:t xml:space="preserve">新规范优先使用 </w:t>
      </w:r>
      <w:r>
        <w:rPr>
          <w:rFonts w:ascii="Consolas" w:hAnsi="Consolas"/>
          <w:sz w:val="20"/>
        </w:rPr>
        <w:t>/api/v1/projects/{projectId}/...</w:t>
      </w:r>
      <w:r>
        <w:t xml:space="preserve"> 表达项目。现有 </w:t>
      </w:r>
      <w:r>
        <w:rPr>
          <w:rFonts w:ascii="Consolas" w:hAnsi="Consolas"/>
          <w:sz w:val="20"/>
        </w:rPr>
        <w:t>/api/v1/bugs/...</w:t>
      </w:r>
      <w:r>
        <w:t xml:space="preserve"> 保留兼容：带 Bug ID 的调用从记录确定项目并核对成员关系；列表、创建等没有具体记录的调用必须传项目或使用明确绑定到单项目的会话。</w:t>
      </w:r>
    </w:p>
    <w:p>
      <w:r>
        <w:t>若一个调用存在多个可选项目而又没有明确项目，返回“请选择项目”，不随机选第一个。业务短编号只在项目内解释，自动化应优先使用稳定 Bug ID。客户端与 MCP 不得自行猜测当前项目。</w:t>
      </w:r>
    </w:p>
    <w:p>
      <w:r>
        <w:t>建议新增统一业务动作入口，作为现有路由的共同适配层，而不是重写状态机：</w:t>
      </w:r>
    </w:p>
    <w:p>
      <w:pPr>
        <w:keepLines/>
        <w:spacing w:line="259" w:lineRule="auto" w:after="160"/>
      </w:pPr>
      <w:r>
        <w:rPr>
          <w:sz w:val="19"/>
        </w:rPr>
        <w:t>POST /api/v1/projects/{projectId}/bugs/{bugId}/actions</w:t>
        <w:br/>
      </w:r>
      <w:r>
        <w:rPr>
          <w:sz w:val="19"/>
        </w:rPr>
        <w:br/>
      </w:r>
      <w:r>
        <w:rPr>
          <w:sz w:val="19"/>
        </w:rPr>
        <w:t>{</w:t>
        <w:br/>
      </w:r>
      <w:r>
        <w:rPr>
          <w:sz w:val="19"/>
        </w:rPr>
        <w:t xml:space="preserve">  "action": "manual_complete",</w:t>
        <w:br/>
      </w:r>
      <w:r>
        <w:rPr>
          <w:sz w:val="19"/>
        </w:rPr>
        <w:t xml:space="preserve">  "expectedVersion": 12,</w:t>
        <w:br/>
      </w:r>
      <w:r>
        <w:rPr>
          <w:sz w:val="19"/>
        </w:rPr>
        <w:t xml:space="preserve">  "note": "已人工修复，等待验收"</w:t>
        <w:br/>
      </w:r>
      <w:r>
        <w:rPr>
          <w:sz w:val="19"/>
        </w:rPr>
        <w:t>}</w:t>
        <w:br/>
      </w:r>
      <w:r>
        <w:rPr>
          <w:sz w:val="19"/>
        </w:rPr>
        <w:br/>
      </w:r>
      <w:r>
        <w:rPr>
          <w:sz w:val="19"/>
        </w:rPr>
        <w:t>Idempotency-Key: client-generated-operation-id</w:t>
      </w:r>
    </w:p>
    <w:p>
      <w:r>
        <w:t>对应 MCP 可使用同一组参数：</w:t>
      </w:r>
    </w:p>
    <w:p>
      <w:pPr>
        <w:keepLines/>
        <w:spacing w:line="259" w:lineRule="auto" w:after="160"/>
      </w:pPr>
      <w:r>
        <w:rPr>
          <w:sz w:val="19"/>
        </w:rPr>
        <w:t>{</w:t>
        <w:br/>
      </w:r>
      <w:r>
        <w:rPr>
          <w:sz w:val="19"/>
        </w:rPr>
        <w:t xml:space="preserve">  "tool": "qa_bug_action",</w:t>
        <w:br/>
      </w:r>
      <w:r>
        <w:rPr>
          <w:sz w:val="19"/>
        </w:rPr>
        <w:t xml:space="preserve">  "arguments": {</w:t>
        <w:br/>
      </w:r>
      <w:r>
        <w:rPr>
          <w:sz w:val="19"/>
        </w:rPr>
        <w:t xml:space="preserve">    "projectId": "project-a",</w:t>
        <w:br/>
      </w:r>
      <w:r>
        <w:rPr>
          <w:sz w:val="19"/>
        </w:rPr>
        <w:t xml:space="preserve">    "bugId": "stable-bug-id",</w:t>
        <w:br/>
      </w:r>
      <w:r>
        <w:rPr>
          <w:sz w:val="19"/>
        </w:rPr>
        <w:t xml:space="preserve">    "action": "manual_complete",</w:t>
        <w:br/>
      </w:r>
      <w:r>
        <w:rPr>
          <w:sz w:val="19"/>
        </w:rPr>
        <w:t xml:space="preserve">    "expectedVersion": 12,</w:t>
        <w:br/>
      </w:r>
      <w:r>
        <w:rPr>
          <w:sz w:val="19"/>
        </w:rPr>
        <w:t xml:space="preserve">    "note": "已人工修复，等待验收",</w:t>
        <w:br/>
      </w:r>
      <w:r>
        <w:rPr>
          <w:sz w:val="19"/>
        </w:rPr>
        <w:t xml:space="preserve">    "idempotencyKey": "client-generated-operation-id"</w:t>
        <w:br/>
      </w:r>
      <w:r>
        <w:rPr>
          <w:sz w:val="19"/>
        </w:rPr>
        <w:t xml:space="preserve">  }</w:t>
        <w:br/>
      </w:r>
      <w:r>
        <w:rPr>
          <w:sz w:val="19"/>
        </w:rPr>
        <w:t>}</w:t>
      </w:r>
    </w:p>
    <w:p>
      <w:r>
        <w:t>上例为业务参数示意，不代表完整 MCP 协议报文。close、reject、manual_complete 等动作名与所需字段在开发时对齐当前状态机，并生成同一份动作清单，避免两端分别维护不同枚举。</w:t>
      </w:r>
    </w:p>
    <w:p>
      <w:pPr>
        <w:pStyle w:val="Heading2"/>
      </w:pPr>
      <w:r>
        <w:t>7 4 最小调用流程</w:t>
      </w:r>
    </w:p>
    <w:p>
      <w:pPr>
        <w:keepLines/>
        <w:spacing w:line="259" w:lineRule="auto" w:after="160"/>
      </w:pPr>
      <w:r>
        <w:rPr>
          <w:sz w:val="19"/>
        </w:rPr>
        <w:t>1  从项目入口取得 projectId</w:t>
        <w:br/>
      </w:r>
      <w:r>
        <w:rPr>
          <w:sz w:val="19"/>
        </w:rPr>
        <w:t>2  使用项目姓名登录接口提交 projectId name client</w:t>
        <w:br/>
      </w:r>
      <w:r>
        <w:rPr>
          <w:sz w:val="19"/>
        </w:rPr>
        <w:t>3  使用返回的会话令牌调用项目列表或 Bug 列表</w:t>
        <w:br/>
      </w:r>
      <w:r>
        <w:rPr>
          <w:sz w:val="19"/>
        </w:rPr>
        <w:t>4  读取 Bug 当前 version</w:t>
        <w:br/>
      </w:r>
      <w:r>
        <w:rPr>
          <w:sz w:val="19"/>
        </w:rPr>
        <w:t>5  提交明确动作 expectedVersion 和幂等键</w:t>
        <w:br/>
      </w:r>
      <w:r>
        <w:rPr>
          <w:sz w:val="19"/>
        </w:rPr>
        <w:t>6  从响应取得最新状态 version 与操作记录标识</w:t>
      </w:r>
    </w:p>
    <w:p>
      <w:r>
        <w:t xml:space="preserve">建议登录请求增加 </w:t>
      </w:r>
      <w:r>
        <w:rPr>
          <w:rFonts w:ascii="Consolas" w:hAnsi="Consolas"/>
          <w:sz w:val="20"/>
        </w:rPr>
        <w:t>{projectId, name, client}</w:t>
      </w:r>
      <w:r>
        <w:t>，保留现有 Web 会话和 Android 令牌返回习惯。接口文档必须给出真实实现后的登录 URL、请求头、上传示例、错误处理和 MCP 连接地址；本设计不把尚未实现的示例地址写成已可使用接口。</w:t>
      </w:r>
    </w:p>
    <w:p>
      <w:r>
        <w:t>错误至少统一表达：项目不可访问、记录不存在或不属于该项目、组件未启用、参数错误、版本冲突、当前状态不允许动作、会话失效。API 的状态码和 MCP 的结构化错误应映射到同一业务错误，普通员工不获得其他项目记录的详情。</w:t>
      </w:r>
    </w:p>
    <w:p>
      <w:pPr>
        <w:pStyle w:val="Heading2"/>
      </w:pPr>
      <w:r>
        <w:t>7 5 附件与组件工具的一致性</w:t>
      </w:r>
    </w:p>
    <w:p>
      <w:r>
        <w:t xml:space="preserve">HTTP 下载返回文件内容或可访问下载地址，并包含文件名、类型和哈希等已有元数据。EXE 本地 </w:t>
      </w:r>
      <w:r>
        <w:rPr>
          <w:rFonts w:ascii="Consolas" w:hAnsi="Consolas"/>
          <w:sz w:val="20"/>
        </w:rPr>
        <w:t>qa_materialize_attachment</w:t>
      </w:r>
      <w:r>
        <w:t xml:space="preserve"> 继续负责下载到调用方可用的本机路径；服务端 MCP 返回资源或下载地址，不能把服务端磁盘路径当成远端用户可直接打开的文件。</w:t>
      </w:r>
    </w:p>
    <w:p>
      <w:r>
        <w:t>附件上传、Bug 绑定、评论和状态提交使用同一项目。API 与 MCP 的一致性是业务结果一致，本地文件落盘属于客户端差异，不要求远端 API 模拟 EXE 文件系统。</w:t>
      </w:r>
    </w:p>
    <w:p>
      <w:r>
        <w:t>组件工具都显式接收项目，或使用已绑定的单项目上下文。多项目 MCP 会话可以保留工具目录并返回各项目的启用情况；无论工具是否显示，实际执行时都检查该项目开关。关闭组件后的旧脚本请求应明确失败，不能悄悄执行。</w:t>
      </w:r>
    </w:p>
    <w:p>
      <w:pPr>
        <w:pStyle w:val="Heading1"/>
      </w:pPr>
      <w:r>
        <w:t>8 可选组件设计</w:t>
      </w:r>
    </w:p>
    <w:p>
      <w:pPr>
        <w:pStyle w:val="Heading2"/>
      </w:pPr>
      <w:r>
        <w:t>8 1 第一批组件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3402"/>
        <w:gridCol w:w="3572"/>
      </w:tblGrid>
      <w:tr>
        <w:trPr>
          <w:cantSplit/>
          <w:tblHeader/>
        </w:trPr>
        <w:tc>
          <w:tcPr>
            <w:tcW w:type="dxa" w:w="2665"/>
            <w:vAlign w:val="center"/>
            <w:tcMar>
              <w:top w:w="90" w:type="dxa"/>
              <w:bottom w:w="90" w:type="dxa"/>
              <w:left w:w="100" w:type="dxa"/>
              <w:right w:w="100" w:type="dxa"/>
            </w:tcMar>
            <w:shd w:fill="DDEBF7"/>
          </w:tcPr>
          <w:p>
            <w:pPr>
              <w:keepNext/>
              <w:spacing w:after="0" w:line="264" w:lineRule="auto"/>
            </w:pPr>
            <w:r>
              <w:rPr>
                <w:b/>
                <w:sz w:val="20"/>
              </w:rPr>
              <w:t>组件</w:t>
            </w:r>
          </w:p>
        </w:tc>
        <w:tc>
          <w:tcPr>
            <w:tcW w:type="dxa" w:w="3402"/>
            <w:vAlign w:val="center"/>
            <w:tcMar>
              <w:top w:w="90" w:type="dxa"/>
              <w:bottom w:w="90" w:type="dxa"/>
              <w:left w:w="100" w:type="dxa"/>
              <w:right w:w="100" w:type="dxa"/>
            </w:tcMar>
            <w:shd w:fill="DDEBF7"/>
          </w:tcPr>
          <w:p>
            <w:pPr>
              <w:keepNext/>
              <w:spacing w:after="0" w:line="264" w:lineRule="auto"/>
            </w:pPr>
            <w:r>
              <w:rPr>
                <w:b/>
                <w:sz w:val="20"/>
              </w:rPr>
              <w:t>启用后提供</w:t>
            </w:r>
          </w:p>
        </w:tc>
        <w:tc>
          <w:tcPr>
            <w:tcW w:type="dxa" w:w="3572"/>
            <w:vAlign w:val="center"/>
            <w:tcMar>
              <w:top w:w="90" w:type="dxa"/>
              <w:bottom w:w="90" w:type="dxa"/>
              <w:left w:w="100" w:type="dxa"/>
              <w:right w:w="100" w:type="dxa"/>
            </w:tcMar>
            <w:shd w:fill="DDEBF7"/>
          </w:tcPr>
          <w:p>
            <w:pPr>
              <w:keepNext/>
              <w:spacing w:after="0" w:line="264" w:lineRule="auto"/>
            </w:pPr>
            <w:r>
              <w:rPr>
                <w:b/>
                <w:sz w:val="20"/>
              </w:rPr>
              <w:t>主要项目配置</w:t>
            </w:r>
          </w:p>
        </w:tc>
      </w:tr>
      <w:tr>
        <w:trPr>
          <w:cantSplit/>
        </w:trPr>
        <w:tc>
          <w:tcPr>
            <w:tcW w:type="dxa" w:w="2665"/>
            <w:vAlign w:val="center"/>
            <w:tcMar>
              <w:top w:w="90" w:type="dxa"/>
              <w:bottom w:w="90" w:type="dxa"/>
              <w:left w:w="100" w:type="dxa"/>
              <w:right w:w="100" w:type="dxa"/>
            </w:tcMar>
          </w:tcPr>
          <w:p>
            <w:pPr>
              <w:keepNext w:val="0"/>
              <w:spacing w:after="0" w:line="264" w:lineRule="auto"/>
            </w:pPr>
            <w:r>
              <w:rPr>
                <w:b w:val="0"/>
                <w:sz w:val="20"/>
              </w:rPr>
              <w:t>打包 build</w:t>
            </w:r>
          </w:p>
        </w:tc>
        <w:tc>
          <w:tcPr>
            <w:tcW w:type="dxa" w:w="3402"/>
            <w:vAlign w:val="center"/>
            <w:tcMar>
              <w:top w:w="90" w:type="dxa"/>
              <w:bottom w:w="90" w:type="dxa"/>
              <w:left w:w="100" w:type="dxa"/>
              <w:right w:w="100" w:type="dxa"/>
            </w:tcMar>
          </w:tcPr>
          <w:p>
            <w:pPr>
              <w:keepNext w:val="0"/>
              <w:spacing w:after="0" w:line="264" w:lineRule="auto"/>
            </w:pPr>
            <w:r>
              <w:rPr>
                <w:b w:val="0"/>
                <w:sz w:val="20"/>
              </w:rPr>
              <w:t>触发打包、查看队列、日志、结果与产物</w:t>
            </w:r>
          </w:p>
        </w:tc>
        <w:tc>
          <w:tcPr>
            <w:tcW w:type="dxa" w:w="3572"/>
            <w:vAlign w:val="center"/>
            <w:tcMar>
              <w:top w:w="90" w:type="dxa"/>
              <w:bottom w:w="90" w:type="dxa"/>
              <w:left w:w="100" w:type="dxa"/>
              <w:right w:w="100" w:type="dxa"/>
            </w:tcMar>
          </w:tcPr>
          <w:p>
            <w:pPr>
              <w:keepNext w:val="0"/>
              <w:spacing w:after="0" w:line="264" w:lineRule="auto"/>
            </w:pPr>
            <w:r>
              <w:rPr>
                <w:b w:val="0"/>
                <w:sz w:val="20"/>
              </w:rPr>
              <w:t>Jenkins 连接、任务、参数预设、产物位置</w:t>
            </w:r>
          </w:p>
        </w:tc>
      </w:tr>
      <w:tr>
        <w:trPr>
          <w:cantSplit/>
        </w:trPr>
        <w:tc>
          <w:tcPr>
            <w:tcW w:type="dxa" w:w="2665"/>
            <w:vAlign w:val="center"/>
            <w:tcMar>
              <w:top w:w="90" w:type="dxa"/>
              <w:bottom w:w="90" w:type="dxa"/>
              <w:left w:w="100" w:type="dxa"/>
              <w:right w:w="100" w:type="dxa"/>
            </w:tcMar>
            <w:shd w:fill="F5F7FA"/>
          </w:tcPr>
          <w:p>
            <w:pPr>
              <w:keepNext w:val="0"/>
              <w:spacing w:after="0" w:line="264" w:lineRule="auto"/>
            </w:pPr>
            <w:r>
              <w:rPr>
                <w:b w:val="0"/>
                <w:sz w:val="20"/>
              </w:rPr>
              <w:t>单次打包上传 build_upload.single</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一次触发指定构建并衔接一次上传</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打包预设、上传目标、失败后重试方式</w:t>
            </w:r>
          </w:p>
        </w:tc>
      </w:tr>
      <w:tr>
        <w:trPr>
          <w:cantSplit/>
        </w:trPr>
        <w:tc>
          <w:tcPr>
            <w:tcW w:type="dxa" w:w="2665"/>
            <w:vAlign w:val="center"/>
            <w:tcMar>
              <w:top w:w="90" w:type="dxa"/>
              <w:bottom w:w="90" w:type="dxa"/>
              <w:left w:w="100" w:type="dxa"/>
              <w:right w:w="100" w:type="dxa"/>
            </w:tcMar>
          </w:tcPr>
          <w:p>
            <w:pPr>
              <w:keepNext w:val="0"/>
              <w:spacing w:after="0" w:line="264" w:lineRule="auto"/>
            </w:pPr>
            <w:r>
              <w:rPr>
                <w:b w:val="0"/>
                <w:sz w:val="20"/>
              </w:rPr>
              <w:t>增量上传 upload.incremental</w:t>
            </w:r>
          </w:p>
        </w:tc>
        <w:tc>
          <w:tcPr>
            <w:tcW w:type="dxa" w:w="3402"/>
            <w:vAlign w:val="center"/>
            <w:tcMar>
              <w:top w:w="90" w:type="dxa"/>
              <w:bottom w:w="90" w:type="dxa"/>
              <w:left w:w="100" w:type="dxa"/>
              <w:right w:w="100" w:type="dxa"/>
            </w:tcMar>
          </w:tcPr>
          <w:p>
            <w:pPr>
              <w:keepNext w:val="0"/>
              <w:spacing w:after="0" w:line="264" w:lineRule="auto"/>
            </w:pPr>
            <w:r>
              <w:rPr>
                <w:b w:val="0"/>
                <w:sz w:val="20"/>
              </w:rPr>
              <w:t>选择已有产物或增量包上传，查看进度和历史</w:t>
            </w:r>
          </w:p>
        </w:tc>
        <w:tc>
          <w:tcPr>
            <w:tcW w:type="dxa" w:w="3572"/>
            <w:vAlign w:val="center"/>
            <w:tcMar>
              <w:top w:w="90" w:type="dxa"/>
              <w:bottom w:w="90" w:type="dxa"/>
              <w:left w:w="100" w:type="dxa"/>
              <w:right w:w="100" w:type="dxa"/>
            </w:tcMar>
          </w:tcPr>
          <w:p>
            <w:pPr>
              <w:keepNext w:val="0"/>
              <w:spacing w:after="0" w:line="264" w:lineRule="auto"/>
            </w:pPr>
            <w:r>
              <w:rPr>
                <w:b w:val="0"/>
                <w:sz w:val="20"/>
              </w:rPr>
              <w:t>上传账号引用、目标平台、目录或频道</w:t>
            </w:r>
          </w:p>
        </w:tc>
      </w:tr>
      <w:tr>
        <w:trPr>
          <w:cantSplit/>
        </w:trPr>
        <w:tc>
          <w:tcPr>
            <w:tcW w:type="dxa" w:w="2665"/>
            <w:vAlign w:val="center"/>
            <w:tcMar>
              <w:top w:w="90" w:type="dxa"/>
              <w:bottom w:w="90" w:type="dxa"/>
              <w:left w:w="100" w:type="dxa"/>
              <w:right w:w="100" w:type="dxa"/>
            </w:tcMar>
            <w:shd w:fill="F5F7FA"/>
          </w:tcPr>
          <w:p>
            <w:pPr>
              <w:keepNext w:val="0"/>
              <w:spacing w:after="0" w:line="264" w:lineRule="auto"/>
            </w:pPr>
            <w:r>
              <w:rPr>
                <w:b w:val="0"/>
                <w:sz w:val="20"/>
              </w:rPr>
              <w:t>Relay AI 制作 relay.production</w:t>
            </w:r>
          </w:p>
        </w:tc>
        <w:tc>
          <w:tcPr>
            <w:tcW w:type="dxa" w:w="3402"/>
            <w:vAlign w:val="center"/>
            <w:tcMar>
              <w:top w:w="90" w:type="dxa"/>
              <w:bottom w:w="90" w:type="dxa"/>
              <w:left w:w="100" w:type="dxa"/>
              <w:right w:w="100" w:type="dxa"/>
            </w:tcMar>
            <w:shd w:fill="F5F7FA"/>
          </w:tcPr>
          <w:p>
            <w:pPr>
              <w:keepNext w:val="0"/>
              <w:spacing w:after="0" w:line="264" w:lineRule="auto"/>
            </w:pPr>
            <w:r>
              <w:rPr>
                <w:b w:val="0"/>
                <w:sz w:val="20"/>
              </w:rPr>
              <w:t>外部项目与任务列表、创建、继续、动作、批次</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Relay 地址、凭据引用、外部项目映射</w:t>
            </w:r>
          </w:p>
        </w:tc>
      </w:tr>
      <w:tr>
        <w:trPr>
          <w:cantSplit/>
        </w:trPr>
        <w:tc>
          <w:tcPr>
            <w:tcW w:type="dxa" w:w="2665"/>
            <w:vAlign w:val="center"/>
            <w:tcMar>
              <w:top w:w="90" w:type="dxa"/>
              <w:bottom w:w="90" w:type="dxa"/>
              <w:left w:w="100" w:type="dxa"/>
              <w:right w:w="100" w:type="dxa"/>
            </w:tcMar>
          </w:tcPr>
          <w:p>
            <w:pPr>
              <w:keepNext w:val="0"/>
              <w:spacing w:after="0" w:line="264" w:lineRule="auto"/>
            </w:pPr>
            <w:r>
              <w:rPr>
                <w:b w:val="0"/>
                <w:sz w:val="20"/>
              </w:rPr>
              <w:t>第三方订单同步 qingyu.sync</w:t>
            </w:r>
          </w:p>
        </w:tc>
        <w:tc>
          <w:tcPr>
            <w:tcW w:type="dxa" w:w="3402"/>
            <w:vAlign w:val="center"/>
            <w:tcMar>
              <w:top w:w="90" w:type="dxa"/>
              <w:bottom w:w="90" w:type="dxa"/>
              <w:left w:w="100" w:type="dxa"/>
              <w:right w:w="100" w:type="dxa"/>
            </w:tcMar>
          </w:tcPr>
          <w:p>
            <w:pPr>
              <w:keepNext w:val="0"/>
              <w:spacing w:after="0" w:line="264" w:lineRule="auto"/>
            </w:pPr>
            <w:r>
              <w:rPr>
                <w:b w:val="0"/>
                <w:sz w:val="20"/>
              </w:rPr>
              <w:t>订单查询关联、同步状态与失败重试</w:t>
            </w:r>
          </w:p>
        </w:tc>
        <w:tc>
          <w:tcPr>
            <w:tcW w:type="dxa" w:w="3572"/>
            <w:vAlign w:val="center"/>
            <w:tcMar>
              <w:top w:w="90" w:type="dxa"/>
              <w:bottom w:w="90" w:type="dxa"/>
              <w:left w:w="100" w:type="dxa"/>
              <w:right w:w="100" w:type="dxa"/>
            </w:tcMar>
          </w:tcPr>
          <w:p>
            <w:pPr>
              <w:keepNext w:val="0"/>
              <w:spacing w:after="0" w:line="264" w:lineRule="auto"/>
            </w:pPr>
            <w:r>
              <w:rPr>
                <w:b w:val="0"/>
                <w:sz w:val="20"/>
              </w:rPr>
              <w:t>对应第三方连接和项目映射</w:t>
            </w:r>
          </w:p>
        </w:tc>
      </w:tr>
    </w:tbl>
    <w:p>
      <w:pPr>
        <w:spacing w:after="20"/>
      </w:pPr>
    </w:p>
    <w:p>
      <w:r>
        <w:t>如果现有“打包上传”同时包含多个操作入口，界面可继续保留熟悉的分组，但底层分成打包能力、上传能力和单次串联流程。用户看到的名称可以沿用当前产品术语，组件键只用于实现。</w:t>
      </w:r>
    </w:p>
    <w:p>
      <w:r>
        <w:t>增量上传与增量构建分开描述：上传组件支持传输指定增量产物，不自动代表 Unity 已经具备可靠的增量构建或更快打包。新增构建算法不作为项目制改造的隐含任务。</w:t>
      </w:r>
    </w:p>
    <w:p>
      <w:pPr>
        <w:pStyle w:val="Heading2"/>
      </w:pPr>
      <w:r>
        <w:t>8 2 项目配置示例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项目</w:t>
            </w:r>
          </w:p>
        </w:tc>
        <w:tc>
          <w:tcPr>
            <w:tcW w:type="dxa" w:w="3742"/>
            <w:vAlign w:val="center"/>
            <w:tcMar>
              <w:top w:w="90" w:type="dxa"/>
              <w:bottom w:w="90" w:type="dxa"/>
              <w:left w:w="100" w:type="dxa"/>
              <w:right w:w="100" w:type="dxa"/>
            </w:tcMar>
            <w:shd w:fill="DDEBF7"/>
          </w:tcPr>
          <w:p>
            <w:pPr>
              <w:keepNext/>
              <w:spacing w:after="0" w:line="264" w:lineRule="auto"/>
            </w:pPr>
            <w:r>
              <w:rPr>
                <w:b/>
                <w:sz w:val="20"/>
              </w:rPr>
              <w:t>基础 Bug 管理</w:t>
            </w:r>
          </w:p>
        </w:tc>
        <w:tc>
          <w:tcPr>
            <w:tcW w:type="dxa" w:w="4082"/>
            <w:vAlign w:val="center"/>
            <w:tcMar>
              <w:top w:w="90" w:type="dxa"/>
              <w:bottom w:w="90" w:type="dxa"/>
              <w:left w:w="100" w:type="dxa"/>
              <w:right w:w="100" w:type="dxa"/>
            </w:tcMar>
            <w:shd w:fill="DDEBF7"/>
          </w:tcPr>
          <w:p>
            <w:pPr>
              <w:keepNext/>
              <w:spacing w:after="0" w:line="264" w:lineRule="auto"/>
            </w:pPr>
            <w:r>
              <w:rPr>
                <w:b/>
                <w:sz w:val="20"/>
              </w:rPr>
              <w:t>启用组件</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 A</w:t>
            </w:r>
          </w:p>
        </w:tc>
        <w:tc>
          <w:tcPr>
            <w:tcW w:type="dxa" w:w="3742"/>
            <w:vAlign w:val="center"/>
            <w:tcMar>
              <w:top w:w="90" w:type="dxa"/>
              <w:bottom w:w="90" w:type="dxa"/>
              <w:left w:w="100" w:type="dxa"/>
              <w:right w:w="100" w:type="dxa"/>
            </w:tcMar>
          </w:tcPr>
          <w:p>
            <w:pPr>
              <w:keepNext w:val="0"/>
              <w:spacing w:after="0" w:line="264" w:lineRule="auto"/>
            </w:pPr>
            <w:r>
              <w:rPr>
                <w:b w:val="0"/>
                <w:sz w:val="20"/>
              </w:rPr>
              <w:t>固定提供</w:t>
            </w:r>
          </w:p>
        </w:tc>
        <w:tc>
          <w:tcPr>
            <w:tcW w:type="dxa" w:w="4082"/>
            <w:vAlign w:val="center"/>
            <w:tcMar>
              <w:top w:w="90" w:type="dxa"/>
              <w:bottom w:w="90" w:type="dxa"/>
              <w:left w:w="100" w:type="dxa"/>
              <w:right w:w="100" w:type="dxa"/>
            </w:tcMar>
          </w:tcPr>
          <w:p>
            <w:pPr>
              <w:keepNext w:val="0"/>
              <w:spacing w:after="0" w:line="264" w:lineRule="auto"/>
            </w:pPr>
            <w:r>
              <w:rPr>
                <w:b w:val="0"/>
                <w:sz w:val="20"/>
              </w:rPr>
              <w:t>打包、单次打包上传、增量上传、Relay AI 制作</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项目 B</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固定提供</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增量上传</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 C</w:t>
            </w:r>
          </w:p>
        </w:tc>
        <w:tc>
          <w:tcPr>
            <w:tcW w:type="dxa" w:w="3742"/>
            <w:vAlign w:val="center"/>
            <w:tcMar>
              <w:top w:w="90" w:type="dxa"/>
              <w:bottom w:w="90" w:type="dxa"/>
              <w:left w:w="100" w:type="dxa"/>
              <w:right w:w="100" w:type="dxa"/>
            </w:tcMar>
          </w:tcPr>
          <w:p>
            <w:pPr>
              <w:keepNext w:val="0"/>
              <w:spacing w:after="0" w:line="264" w:lineRule="auto"/>
            </w:pPr>
            <w:r>
              <w:rPr>
                <w:b w:val="0"/>
                <w:sz w:val="20"/>
              </w:rPr>
              <w:t>固定提供</w:t>
            </w:r>
          </w:p>
        </w:tc>
        <w:tc>
          <w:tcPr>
            <w:tcW w:type="dxa" w:w="4082"/>
            <w:vAlign w:val="center"/>
            <w:tcMar>
              <w:top w:w="90" w:type="dxa"/>
              <w:bottom w:w="90" w:type="dxa"/>
              <w:left w:w="100" w:type="dxa"/>
              <w:right w:w="100" w:type="dxa"/>
            </w:tcMar>
          </w:tcPr>
          <w:p>
            <w:pPr>
              <w:keepNext w:val="0"/>
              <w:spacing w:after="0" w:line="264" w:lineRule="auto"/>
            </w:pPr>
            <w:r>
              <w:rPr>
                <w:b w:val="0"/>
                <w:sz w:val="20"/>
              </w:rPr>
              <w:t>无，完整使用人工 Bug 流程</w:t>
            </w:r>
          </w:p>
        </w:tc>
      </w:tr>
    </w:tbl>
    <w:p>
      <w:pPr>
        <w:spacing w:after="20"/>
      </w:pPr>
    </w:p>
    <w:p>
      <w:r>
        <w:t>GM 打开项目设置，可以逐项启用组件并填写必要连接。基础 Bug 管理不受组件开关影响。配置保存后服务端返回项目配置版本，Web、EXE、APK 刷新导航和可执行动作。</w:t>
      </w:r>
    </w:p>
    <w:p>
      <w:pPr>
        <w:pStyle w:val="Heading2"/>
      </w:pPr>
      <w:r>
        <w:t>8 3 组件依赖保持简单</w:t>
      </w:r>
    </w:p>
    <w:p>
      <w:r>
        <w:t>单次打包上传依赖打包与上传能力。GM 启用时，界面直接展示所需能力并一并设置；停用依赖时，提示同时停用依赖它的入口。只维护这类少量明确依赖，不建立通用脚本编排和复杂依赖求解框架。</w:t>
      </w:r>
    </w:p>
    <w:p>
      <w:r>
        <w:t>增量上传可以独立使用已有产物，不强制开启打包。Relay AI 制作可以独立使用，不强制开启 Jenkins。第三方订单同步失败不能阻断基础 Bug 操作。每个组件都应明确它需要的外部连接，缺少配置时显示“待配置”，不要让基础页面报错。</w:t>
      </w:r>
    </w:p>
    <w:p>
      <w:pPr>
        <w:pStyle w:val="Heading2"/>
      </w:pPr>
      <w:r>
        <w:t>8 4 开关同时作用于执行</w:t>
      </w:r>
    </w:p>
    <w:p>
      <w:r>
        <w:t>组件启用控制导航、页面、HTTP API、MCP、后台轮询、自动触发和新任务创建。前端隐藏按钮只是其中一部分。服务端在创建或执行新任务时检查项目开关，组件不能从定时任务或旧链接绕过配置。</w:t>
      </w:r>
    </w:p>
    <w:p>
      <w:r>
        <w:t>停用组件时，停止接收新任务和新的自动触发。已排队但未开始的任务标记为暂停并保留记录；已运行任务默认允许安全完成，GM 可通过原有明确取消操作处理。已启动的单次打包上传按既定任务配置完成其已登记流程，界面应展示这些仍在运行的任务。不得直接杀进程或删除工作目录。</w:t>
      </w:r>
    </w:p>
    <w:p>
      <w:r>
        <w:t>历史任务、日志、Bug 附件和已发布产物保持可查看。重新启用后先展示暂停任务，由员工明确恢复，不自动把停用期间的旧任务全部重新执行。修改连接配置时，新任务使用新版本，运行中的任务保留原执行配置与可用凭据引用。</w:t>
      </w:r>
    </w:p>
    <w:p>
      <w:pPr>
        <w:pStyle w:val="Heading2"/>
      </w:pPr>
      <w:r>
        <w:t>8 5 不同项目的外部配置</w:t>
      </w:r>
    </w:p>
    <w:p>
      <w:r>
        <w:t>Jenkins Job、分支、参数预设、ZIP 来源、上传渠道、Relay 外部项目均按项目绑定，移除当前代码中的固定项目预设。两个项目可以主动共用一套外部服务，但它们的任务和发布目标仍各自记录，GM 保存时应显示目标供核对。</w:t>
      </w:r>
    </w:p>
    <w:p>
      <w:r>
        <w:t>现有打包链路中不支持的自动构建类型不能因组件化而假定已经支持，例如当前 iOS 自动构建限制仍需按真实能力显示。APK 和 EXE 的一致性是对同一项目暴露同样的业务能力与限制，不能一端假成功、另一端报不支持。</w:t>
      </w:r>
    </w:p>
    <w:p>
      <w:pPr>
        <w:pStyle w:val="Heading1"/>
      </w:pPr>
      <w:r>
        <w:t>9 APK 与 EXE 同步兼容</w:t>
      </w:r>
    </w:p>
    <w:p>
      <w:pPr>
        <w:pStyle w:val="Heading2"/>
      </w:pPr>
      <w:r>
        <w:t>9 1 同步交付的含义</w:t>
      </w:r>
    </w:p>
    <w:p>
      <w:r>
        <w:t>项目制和组件化是一项同时覆盖 Android 与 Windows 的产品改造。两端均完成项目登录、所属项目切换、人员管理、基础 Bug 全流程、组件菜单和错误提示，使用同一套 API 合同。Web 同步更新其共享页面及兼容入口。</w:t>
      </w:r>
    </w:p>
    <w:p>
      <w:r>
        <w:t>APK 不需要在手机里运行 Jenkins、上传器或 Relay 执行器。构建、服务器产物上传与 AI 制作都由服务端完成，APK 提交任务并查看进度、结果、日志和允许的任务动作。需要本地文件的入口使用 Android 文件选择与上传流程；服务器目录配置由 GM 或服务端维护。</w:t>
      </w:r>
    </w:p>
    <w:p>
      <w:pPr>
        <w:pStyle w:val="Heading2"/>
      </w:pPr>
      <w:r>
        <w:t>9 2 必须覆盖的端侧改动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功能</w:t>
            </w:r>
          </w:p>
        </w:tc>
        <w:tc>
          <w:tcPr>
            <w:tcW w:type="dxa" w:w="3742"/>
            <w:vAlign w:val="center"/>
            <w:tcMar>
              <w:top w:w="90" w:type="dxa"/>
              <w:bottom w:w="90" w:type="dxa"/>
              <w:left w:w="100" w:type="dxa"/>
              <w:right w:w="100" w:type="dxa"/>
            </w:tcMar>
            <w:shd w:fill="DDEBF7"/>
          </w:tcPr>
          <w:p>
            <w:pPr>
              <w:keepNext/>
              <w:spacing w:after="0" w:line="264" w:lineRule="auto"/>
            </w:pPr>
            <w:r>
              <w:rPr>
                <w:b/>
                <w:sz w:val="20"/>
              </w:rPr>
              <w:t>Windows EXE</w:t>
            </w:r>
          </w:p>
        </w:tc>
        <w:tc>
          <w:tcPr>
            <w:tcW w:type="dxa" w:w="4082"/>
            <w:vAlign w:val="center"/>
            <w:tcMar>
              <w:top w:w="90" w:type="dxa"/>
              <w:bottom w:w="90" w:type="dxa"/>
              <w:left w:w="100" w:type="dxa"/>
              <w:right w:w="100" w:type="dxa"/>
            </w:tcMar>
            <w:shd w:fill="DDEBF7"/>
          </w:tcPr>
          <w:p>
            <w:pPr>
              <w:keepNext/>
              <w:spacing w:after="0" w:line="264" w:lineRule="auto"/>
            </w:pPr>
            <w:r>
              <w:rPr>
                <w:b/>
                <w:sz w:val="20"/>
              </w:rPr>
              <w:t>Android APK</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登录</w:t>
            </w:r>
          </w:p>
        </w:tc>
        <w:tc>
          <w:tcPr>
            <w:tcW w:type="dxa" w:w="3742"/>
            <w:vAlign w:val="center"/>
            <w:tcMar>
              <w:top w:w="90" w:type="dxa"/>
              <w:bottom w:w="90" w:type="dxa"/>
              <w:left w:w="100" w:type="dxa"/>
              <w:right w:w="100" w:type="dxa"/>
            </w:tcMar>
          </w:tcPr>
          <w:p>
            <w:pPr>
              <w:keepNext w:val="0"/>
              <w:spacing w:after="0" w:line="264" w:lineRule="auto"/>
            </w:pPr>
            <w:r>
              <w:rPr>
                <w:b w:val="0"/>
                <w:sz w:val="20"/>
              </w:rPr>
              <w:t>项目入口与姓名登录，保留旧项目使用习惯</w:t>
            </w:r>
          </w:p>
        </w:tc>
        <w:tc>
          <w:tcPr>
            <w:tcW w:type="dxa" w:w="4082"/>
            <w:vAlign w:val="center"/>
            <w:tcMar>
              <w:top w:w="90" w:type="dxa"/>
              <w:bottom w:w="90" w:type="dxa"/>
              <w:left w:w="100" w:type="dxa"/>
              <w:right w:w="100" w:type="dxa"/>
            </w:tcMar>
          </w:tcPr>
          <w:p>
            <w:pPr>
              <w:keepNext w:val="0"/>
              <w:spacing w:after="0" w:line="264" w:lineRule="auto"/>
            </w:pPr>
            <w:r>
              <w:rPr>
                <w:b w:val="0"/>
                <w:sz w:val="20"/>
              </w:rPr>
              <w:t>项目链接或二维码进入，姓名登录，保存已选项目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项目切换</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所属项目列表，切换后刷新共享 Web 页面</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原生列表和仓库上下文同步切换</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人员管理</w:t>
            </w:r>
          </w:p>
        </w:tc>
        <w:tc>
          <w:tcPr>
            <w:tcW w:type="dxa" w:w="3742"/>
            <w:vAlign w:val="center"/>
            <w:tcMar>
              <w:top w:w="90" w:type="dxa"/>
              <w:bottom w:w="90" w:type="dxa"/>
              <w:left w:w="100" w:type="dxa"/>
              <w:right w:w="100" w:type="dxa"/>
            </w:tcMar>
          </w:tcPr>
          <w:p>
            <w:pPr>
              <w:keepNext w:val="0"/>
              <w:spacing w:after="0" w:line="264" w:lineRule="auto"/>
            </w:pPr>
            <w:r>
              <w:rPr>
                <w:b w:val="0"/>
                <w:sz w:val="20"/>
              </w:rPr>
              <w:t>当前项目名单、关联、停用等现有操作</w:t>
            </w:r>
          </w:p>
        </w:tc>
        <w:tc>
          <w:tcPr>
            <w:tcW w:type="dxa" w:w="4082"/>
            <w:vAlign w:val="center"/>
            <w:tcMar>
              <w:top w:w="90" w:type="dxa"/>
              <w:bottom w:w="90" w:type="dxa"/>
              <w:left w:w="100" w:type="dxa"/>
              <w:right w:w="100" w:type="dxa"/>
            </w:tcMar>
          </w:tcPr>
          <w:p>
            <w:pPr>
              <w:keepNext w:val="0"/>
              <w:spacing w:after="0" w:line="264" w:lineRule="auto"/>
            </w:pPr>
            <w:r>
              <w:rPr>
                <w:b w:val="0"/>
                <w:sz w:val="20"/>
              </w:rPr>
              <w:t>提供相同项目内操作和反馈</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Bug 流程</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创建、编辑、附件、评论、完成、验收等</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同等业务流程，保留移动端取证与文件处理</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组件入口</w:t>
            </w:r>
          </w:p>
        </w:tc>
        <w:tc>
          <w:tcPr>
            <w:tcW w:type="dxa" w:w="3742"/>
            <w:vAlign w:val="center"/>
            <w:tcMar>
              <w:top w:w="90" w:type="dxa"/>
              <w:bottom w:w="90" w:type="dxa"/>
              <w:left w:w="100" w:type="dxa"/>
              <w:right w:w="100" w:type="dxa"/>
            </w:tcMar>
          </w:tcPr>
          <w:p>
            <w:pPr>
              <w:keepNext w:val="0"/>
              <w:spacing w:after="0" w:line="264" w:lineRule="auto"/>
            </w:pPr>
            <w:r>
              <w:rPr>
                <w:b w:val="0"/>
                <w:sz w:val="20"/>
              </w:rPr>
              <w:t>服务端配置决定菜单、工具与动作</w:t>
            </w:r>
          </w:p>
        </w:tc>
        <w:tc>
          <w:tcPr>
            <w:tcW w:type="dxa" w:w="4082"/>
            <w:vAlign w:val="center"/>
            <w:tcMar>
              <w:top w:w="90" w:type="dxa"/>
              <w:bottom w:w="90" w:type="dxa"/>
              <w:left w:w="100" w:type="dxa"/>
              <w:right w:w="100" w:type="dxa"/>
            </w:tcMar>
          </w:tcPr>
          <w:p>
            <w:pPr>
              <w:keepNext w:val="0"/>
              <w:spacing w:after="0" w:line="264" w:lineRule="auto"/>
            </w:pPr>
            <w:r>
              <w:rPr>
                <w:b w:val="0"/>
                <w:sz w:val="20"/>
              </w:rPr>
              <w:t>同一配置决定可见入口和支持动作</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后台任务</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项目明确的进度、通知、日志与结果</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可提交和查看服务端任务，支持相同允许动作</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本地保存</w:t>
            </w:r>
          </w:p>
        </w:tc>
        <w:tc>
          <w:tcPr>
            <w:tcW w:type="dxa" w:w="3742"/>
            <w:vAlign w:val="center"/>
            <w:tcMar>
              <w:top w:w="90" w:type="dxa"/>
              <w:bottom w:w="90" w:type="dxa"/>
              <w:left w:w="100" w:type="dxa"/>
              <w:right w:w="100" w:type="dxa"/>
            </w:tcMar>
          </w:tcPr>
          <w:p>
            <w:pPr>
              <w:keepNext w:val="0"/>
              <w:spacing w:after="0" w:line="264" w:lineRule="auto"/>
            </w:pPr>
            <w:r>
              <w:rPr>
                <w:b w:val="0"/>
                <w:sz w:val="20"/>
              </w:rPr>
              <w:t>草稿、缓存、最近使用按服务地址与项目区分</w:t>
            </w:r>
          </w:p>
        </w:tc>
        <w:tc>
          <w:tcPr>
            <w:tcW w:type="dxa" w:w="4082"/>
            <w:vAlign w:val="center"/>
            <w:tcMar>
              <w:top w:w="90" w:type="dxa"/>
              <w:bottom w:w="90" w:type="dxa"/>
              <w:left w:w="100" w:type="dxa"/>
              <w:right w:w="100" w:type="dxa"/>
            </w:tcMar>
          </w:tcPr>
          <w:p>
            <w:pPr>
              <w:keepNext w:val="0"/>
              <w:spacing w:after="0" w:line="264" w:lineRule="auto"/>
            </w:pPr>
            <w:r>
              <w:rPr>
                <w:b w:val="0"/>
                <w:sz w:val="20"/>
              </w:rPr>
              <w:t>本地仓库、偏好、未上传附件同样区分</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更新迁移</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旧配置自动绑定原项目，保留未提交内容</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升级迁移原项目会话、草稿和文件，不清应用数据</w:t>
            </w:r>
          </w:p>
        </w:tc>
      </w:tr>
    </w:tbl>
    <w:p>
      <w:pPr>
        <w:spacing w:after="20"/>
      </w:pPr>
    </w:p>
    <w:p>
      <w:pPr>
        <w:pStyle w:val="Heading2"/>
      </w:pPr>
      <w:r>
        <w:t>9 3 请求和本地数据处理</w:t>
      </w:r>
    </w:p>
    <w:p>
      <w:r>
        <w:t>EXE 与 Web 当前某些上传草稿只按用户保存，需要补充项目和服务地址。Android 已有包含项目的仓库上下文，但最近修复人等偏好仍需逐项检查，不能因为有一个 projectId 字段就认为全端已完成多项目兼容。</w:t>
      </w:r>
    </w:p>
    <w:p>
      <w:r>
        <w:t>退出登录、切换项目、项目停用和员工被移除时，保留未同步的个人草稿和证据，阻止其误提交到另一个项目。重新进入原项目后可继续处理；如果已经失去该项目资格，允许用户看到本地未提交内容的存在并保存自己的文件，但不继续读取服务器中的其他项目内容。</w:t>
      </w:r>
    </w:p>
    <w:p>
      <w:r>
        <w:t>不同窗口或不同客户端可同时打开不同项目。请求携带明确项目，不依赖服务端一个全局“当前项目”变量。通知点击后先核对项目再打开详情，避免用短编号跳到当前项目的另一个 Bug。</w:t>
      </w:r>
    </w:p>
    <w:p>
      <w:pPr>
        <w:pStyle w:val="Heading2"/>
      </w:pPr>
      <w:r>
        <w:t>9 4 兼容和发布要求</w:t>
      </w:r>
    </w:p>
    <w:p>
      <w:r>
        <w:t>第一阶段服务端保留旧项目和旧接口兼容，旧客户端明确绑定原项目；不能把它们自动接到新建的其他项目。多项目入口只对已支持该能力的客户端启用，需要升级时给出清楚提示。</w:t>
      </w:r>
    </w:p>
    <w:p>
      <w:r>
        <w:t>正式验收必须同时产出可安装的 APK 与 EXE，验证项目选择、旧格式数据迁移、草稿保留、基础流程和组件开关。新版使用独立应用身份并能与日常版本共存；旧版升级兼容在专用测试配置、设备或模拟器中演练，不能覆盖用户正在使用的 EXE 或 APK。不要求 Android 与 Windows 使用相同安装版本号格式，但必须标明兼容的 API 合同和功能批次。只构建成功或只跑 Web 测试不足以通过。</w:t>
      </w:r>
    </w:p>
    <w:p>
      <w:pPr>
        <w:pStyle w:val="Heading1"/>
      </w:pPr>
      <w:r>
        <w:t>10 历史数据迁移与上线步骤</w:t>
      </w:r>
    </w:p>
    <w:p>
      <w:pPr>
        <w:pStyle w:val="Heading2"/>
      </w:pPr>
      <w:r>
        <w:t>10 1 保持原项目连续使用</w:t>
      </w:r>
    </w:p>
    <w:p>
      <w:pPr>
        <w:pStyle w:val="ListNumber"/>
        <w:numPr>
          <w:ilvl w:val="0"/>
          <w:numId w:val="11"/>
        </w:numPr>
      </w:pPr>
      <w:r>
        <w:t>只读盘点当前生产项目 ID、人员 ID、Bug、修复历史、附件索引、上传队列、Relay 映射和组件配置，记录来源时点。</w:t>
      </w:r>
    </w:p>
    <w:p>
      <w:pPr>
        <w:pStyle w:val="ListNumber"/>
        <w:numPr>
          <w:ilvl w:val="0"/>
          <w:numId w:val="11"/>
        </w:numPr>
      </w:pPr>
      <w:r>
        <w:t>使用一致性备份机制取得离线副本，保存到新版独立目录；不得直接复制正在变化的 SQLite 主文件而漏掉 WAL 中的数据。</w:t>
      </w:r>
    </w:p>
    <w:p>
      <w:pPr>
        <w:pStyle w:val="ListNumber"/>
        <w:numPr>
          <w:ilvl w:val="0"/>
          <w:numId w:val="11"/>
        </w:numPr>
      </w:pPr>
      <w:r>
        <w:t>仅对离线副本或新版测试库做增量迁移，沿用原项目 ID，不重编号历史 Bug；生产原库保持原结构并继续工作。</w:t>
      </w:r>
    </w:p>
    <w:p>
      <w:pPr>
        <w:pStyle w:val="ListNumber"/>
        <w:numPr>
          <w:ilvl w:val="0"/>
          <w:numId w:val="11"/>
        </w:numPr>
      </w:pPr>
      <w:r>
        <w:t>在新版登记原项目配置副本，外部执行连接默认停用或绑定独立测试目标；复制来的未完成任务必须暂停，不能重放生产队列。</w:t>
      </w:r>
    </w:p>
    <w:p>
      <w:pPr>
        <w:pStyle w:val="ListNumber"/>
        <w:numPr>
          <w:ilvl w:val="0"/>
          <w:numId w:val="11"/>
        </w:numPr>
      </w:pPr>
      <w:r>
        <w:t>新建项目默认只有 Bug 管理；GM 明确开启额外组件并填写该项目连接。</w:t>
      </w:r>
    </w:p>
    <w:p>
      <w:pPr>
        <w:pStyle w:val="ListNumber"/>
        <w:numPr>
          <w:ilvl w:val="0"/>
          <w:numId w:val="11"/>
        </w:numPr>
      </w:pPr>
      <w:r>
        <w:t>原有姓名人员继续映射到现有 ID，新登录增加项目归属；旧客户端保持绑定原项目。</w:t>
      </w:r>
    </w:p>
    <w:p>
      <w:pPr>
        <w:pStyle w:val="ListNumber"/>
        <w:numPr>
          <w:ilvl w:val="0"/>
          <w:numId w:val="11"/>
        </w:numPr>
      </w:pPr>
      <w:r>
        <w:t>APK 与 EXE 在专用测试环境完成升级迁移和共同验收，再在独立新版实例中开放第二个试用项目；本次不切换旧生产入口。</w:t>
      </w:r>
    </w:p>
    <w:p>
      <w:pPr>
        <w:pStyle w:val="Heading2"/>
      </w:pPr>
      <w:r>
        <w:t>10 2 无项目字段的历史任务</w:t>
      </w:r>
    </w:p>
    <w:p>
      <w:r>
        <w:t>原有上传记录或任务文件只有在来源明确属于现有项目时，才补记为原项目。存在多个来源且无法判断的记录保留为待确认，不按文件夹名、最后登录用户或最近项目进行猜测。</w:t>
      </w:r>
    </w:p>
    <w:p>
      <w:r>
        <w:t>迁移前后核对各项目 Bug 数量、状态分布、评论数、附件索引、人员关系与未完成任务数量。核对数据的主要目的是确保原项目不丢记录、新项目不继承不属于自己的记录。不要为了完成迁移清空队列、附件、本地应用数据或工作目录。</w:t>
      </w:r>
    </w:p>
    <w:p>
      <w:pPr>
        <w:pStyle w:val="Heading2"/>
      </w:pPr>
      <w:r>
        <w:t>10 3 回退和备份边界</w:t>
      </w:r>
    </w:p>
    <w:p>
      <w:r>
        <w:t>数据库迁移优先新增字段、表和兼容读取，迁移与回退均先在新版测试数据副本中演练。旧生产继续连接自己的原库，不能让旧服务读取已迁移的新版库。新版出现问题时停止或回退新版实例即可，保留其新增操作和产物，不对生产数据库执行恢复或覆盖。</w:t>
      </w:r>
    </w:p>
    <w:p>
      <w:r>
        <w:t>采用单数据库后，现有完整备份和恢复对应整个部署。不能承诺用全库备份只恢复一个项目而完全不影响其他项目。按项目逻辑导出与恢复可作为后续运维能力，首期先保证完整备份、迁移校验和可执行回退步骤。</w:t>
      </w:r>
    </w:p>
    <w:p>
      <w:pPr>
        <w:pStyle w:val="Heading1"/>
      </w:pPr>
      <w:r>
        <w:t>11 开发工作拆解</w:t>
      </w:r>
    </w:p>
    <w:p>
      <w:pPr>
        <w:pStyle w:val="Heading2"/>
      </w:pPr>
      <w:r>
        <w:t>11 1 业务与服务端</w:t>
      </w:r>
    </w:p>
    <w:p>
      <w:r>
        <w:t>首先调整项目目录、姓名登录和成员管理，把固定项目值改为每次请求的明确项目。保留现有账号兼容字段、人员 ID 和基础状态机，再逐项改造列表、详情、附件、评论、事件、统计与状态动作。补齐 GM 项目管理及组件配置接口。</w:t>
      </w:r>
    </w:p>
    <w:p>
      <w:r>
        <w:t>随后把 Bug 业务动作整理为 HTTP 和 MCP 共用服务。现有 HTTP 路由适配到共用服务，新增缺失 MCP 工具及服务端 MCP 入口，保留 EXE 本地兼容工具。同步编写可直接调用的 API 示例与 MCP 示例，并自动检查两者的动作覆盖范围。</w:t>
      </w:r>
    </w:p>
    <w:p>
      <w:pPr>
        <w:pStyle w:val="Heading2"/>
      </w:pPr>
      <w:r>
        <w:t>11 2 组件拆分</w:t>
      </w:r>
    </w:p>
    <w:p>
      <w:r>
        <w:t>从基础启动和导航中抽出 Jenkins、单次打包上传、增量上传、Relay 制作与第三方同步的注册。每个组件提供明确的配置、页面、API、MCP 和后台任务入口。第一期在同一代码仓库内实现即可。</w:t>
      </w:r>
    </w:p>
    <w:p>
      <w:r>
        <w:t>上传独立队列和 Relay 状态文件应与业务组件拆分同批修改，避免组件代码已拆开但任务仍混在全局快照中。新增项目不得继承原项目凭据、发布路径或外部任务映射。</w:t>
      </w:r>
    </w:p>
    <w:p>
      <w:pPr>
        <w:pStyle w:val="Heading2"/>
      </w:pPr>
      <w:r>
        <w:t>11 3 端侧与交付</w:t>
      </w:r>
    </w:p>
    <w:p>
      <w:r>
        <w:t>Web 和 EXE 增加项目上下文及统一配置读取，处理异步刷新与草稿保存。Android 同时增加登录入口、项目切换、组件任务页面和本地迁移。两端使用同一组测试项目进行回归，避免开发阶段就把 APK 留到最后补做。</w:t>
      </w:r>
    </w:p>
    <w:p>
      <w:r>
        <w:t>交付物包括数据库迁移脚本、项目与 GM 管理入口、组件配置、完整 HTTP 接口文档、MCP 工具目录、APK、EXE、迁移回退说明及验收记录。新功能代码通过后，还要证明安装后的客户端与实际 API 配合可用。</w:t>
      </w:r>
    </w:p>
    <w:p>
      <w:pPr>
        <w:pStyle w:val="Heading1"/>
      </w:pPr>
      <w:r>
        <w:t>12 文件级修改清单</w:t>
      </w:r>
    </w:p>
    <w:p>
      <w:r>
        <w:t xml:space="preserve">以下路径相对于仓库根目录 </w:t>
      </w:r>
      <w:r>
        <w:rPr>
          <w:rFonts w:ascii="Consolas" w:hAnsi="Consolas"/>
          <w:sz w:val="20"/>
        </w:rPr>
        <w:t>D:\Relay-QA-Hub</w:t>
      </w:r>
      <w:r>
        <w:t>。实际拆文件以实现可维护性为准，名称不是要求全部重写的清单。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912"/>
        <w:gridCol w:w="3345"/>
      </w:tblGrid>
      <w:tr>
        <w:trPr>
          <w:cantSplit/>
          <w:tblHeader/>
        </w:trPr>
        <w:tc>
          <w:tcPr>
            <w:tcW w:type="dxa" w:w="2381"/>
            <w:vAlign w:val="center"/>
            <w:tcMar>
              <w:top w:w="90" w:type="dxa"/>
              <w:bottom w:w="90" w:type="dxa"/>
              <w:left w:w="100" w:type="dxa"/>
              <w:right w:w="100" w:type="dxa"/>
            </w:tcMar>
            <w:shd w:fill="DDEBF7"/>
          </w:tcPr>
          <w:p>
            <w:pPr>
              <w:keepNext/>
              <w:spacing w:after="0" w:line="264" w:lineRule="auto"/>
            </w:pPr>
            <w:r>
              <w:rPr>
                <w:b/>
                <w:sz w:val="20"/>
              </w:rPr>
              <w:t>代码位置</w:t>
            </w:r>
          </w:p>
        </w:tc>
        <w:tc>
          <w:tcPr>
            <w:tcW w:type="dxa" w:w="3912"/>
            <w:vAlign w:val="center"/>
            <w:tcMar>
              <w:top w:w="90" w:type="dxa"/>
              <w:bottom w:w="90" w:type="dxa"/>
              <w:left w:w="100" w:type="dxa"/>
              <w:right w:w="100" w:type="dxa"/>
            </w:tcMar>
            <w:shd w:fill="DDEBF7"/>
          </w:tcPr>
          <w:p>
            <w:pPr>
              <w:keepNext/>
              <w:spacing w:after="0" w:line="264" w:lineRule="auto"/>
            </w:pPr>
            <w:r>
              <w:rPr>
                <w:b/>
                <w:sz w:val="20"/>
              </w:rPr>
              <w:t>主要修改</w:t>
            </w:r>
          </w:p>
        </w:tc>
        <w:tc>
          <w:tcPr>
            <w:tcW w:type="dxa" w:w="3345"/>
            <w:vAlign w:val="center"/>
            <w:tcMar>
              <w:top w:w="90" w:type="dxa"/>
              <w:bottom w:w="90" w:type="dxa"/>
              <w:left w:w="100" w:type="dxa"/>
              <w:right w:w="100" w:type="dxa"/>
            </w:tcMar>
            <w:shd w:fill="DDEBF7"/>
          </w:tcPr>
          <w:p>
            <w:pPr>
              <w:keepNext/>
              <w:spacing w:after="0" w:line="264" w:lineRule="auto"/>
            </w:pPr>
            <w:r>
              <w:rPr>
                <w:b/>
                <w:sz w:val="20"/>
              </w:rPr>
              <w:t>验证重点</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apps/api/src/main.ts</w:t>
            </w:r>
          </w:p>
        </w:tc>
        <w:tc>
          <w:tcPr>
            <w:tcW w:type="dxa" w:w="3912"/>
            <w:vAlign w:val="center"/>
            <w:tcMar>
              <w:top w:w="90" w:type="dxa"/>
              <w:bottom w:w="90" w:type="dxa"/>
              <w:left w:w="100" w:type="dxa"/>
              <w:right w:w="100" w:type="dxa"/>
            </w:tcMar>
          </w:tcPr>
          <w:p>
            <w:pPr>
              <w:keepNext w:val="0"/>
              <w:spacing w:after="0" w:line="264" w:lineRule="auto"/>
            </w:pPr>
            <w:r>
              <w:rPr>
                <w:b w:val="0"/>
                <w:sz w:val="20"/>
              </w:rPr>
              <w:t>解除 MOBILE_SCOPE 的固定项目装配</w:t>
            </w:r>
          </w:p>
        </w:tc>
        <w:tc>
          <w:tcPr>
            <w:tcW w:type="dxa" w:w="3345"/>
            <w:vAlign w:val="center"/>
            <w:tcMar>
              <w:top w:w="90" w:type="dxa"/>
              <w:bottom w:w="90" w:type="dxa"/>
              <w:left w:w="100" w:type="dxa"/>
              <w:right w:w="100" w:type="dxa"/>
            </w:tcMar>
          </w:tcPr>
          <w:p>
            <w:pPr>
              <w:keepNext w:val="0"/>
              <w:spacing w:after="0" w:line="264" w:lineRule="auto"/>
            </w:pPr>
            <w:r>
              <w:rPr>
                <w:b w:val="0"/>
                <w:sz w:val="20"/>
              </w:rPr>
              <w:t>不同项目登录与创建都写入正确项目</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apps/api/src/app.ts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项目参数、业务服务、组件注册和共享调用入口</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旧路由兼容，基础服务不依赖可选组件</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apps/api/src/browser-auth.ts</w:t>
            </w:r>
          </w:p>
        </w:tc>
        <w:tc>
          <w:tcPr>
            <w:tcW w:type="dxa" w:w="3912"/>
            <w:vAlign w:val="center"/>
            <w:tcMar>
              <w:top w:w="90" w:type="dxa"/>
              <w:bottom w:w="90" w:type="dxa"/>
              <w:left w:w="100" w:type="dxa"/>
              <w:right w:w="100" w:type="dxa"/>
            </w:tcMar>
          </w:tcPr>
          <w:p>
            <w:pPr>
              <w:keepNext w:val="0"/>
              <w:spacing w:after="0" w:line="264" w:lineRule="auto"/>
            </w:pPr>
            <w:r>
              <w:rPr>
                <w:b w:val="0"/>
                <w:sz w:val="20"/>
              </w:rPr>
              <w:t>登录接收项目，保留姓名与会话方式</w:t>
            </w:r>
          </w:p>
        </w:tc>
        <w:tc>
          <w:tcPr>
            <w:tcW w:type="dxa" w:w="3345"/>
            <w:vAlign w:val="center"/>
            <w:tcMar>
              <w:top w:w="90" w:type="dxa"/>
              <w:bottom w:w="90" w:type="dxa"/>
              <w:left w:w="100" w:type="dxa"/>
              <w:right w:w="100" w:type="dxa"/>
            </w:tcMar>
          </w:tcPr>
          <w:p>
            <w:pPr>
              <w:keepNext w:val="0"/>
              <w:spacing w:after="0" w:line="264" w:lineRule="auto"/>
            </w:pPr>
            <w:r>
              <w:rPr>
                <w:b w:val="0"/>
                <w:sz w:val="20"/>
              </w:rPr>
              <w:t>Web 和原生客户端的登录结果一致</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apps/api/src/people-config.ts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复用稳定姓名映射，处理项目成员登记</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历史人员和操作归属不变</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packages/storage/src/sqlite-migrations.ts</w:t>
            </w:r>
          </w:p>
        </w:tc>
        <w:tc>
          <w:tcPr>
            <w:tcW w:type="dxa" w:w="3912"/>
            <w:vAlign w:val="center"/>
            <w:tcMar>
              <w:top w:w="90" w:type="dxa"/>
              <w:bottom w:w="90" w:type="dxa"/>
              <w:left w:w="100" w:type="dxa"/>
              <w:right w:w="100" w:type="dxa"/>
            </w:tcMar>
          </w:tcPr>
          <w:p>
            <w:pPr>
              <w:keepNext w:val="0"/>
              <w:spacing w:after="0" w:line="264" w:lineRule="auto"/>
            </w:pPr>
            <w:r>
              <w:rPr>
                <w:b w:val="0"/>
                <w:sz w:val="20"/>
              </w:rPr>
              <w:t>组件配置与旁路归属迁移</w:t>
            </w:r>
          </w:p>
        </w:tc>
        <w:tc>
          <w:tcPr>
            <w:tcW w:type="dxa" w:w="3345"/>
            <w:vAlign w:val="center"/>
            <w:tcMar>
              <w:top w:w="90" w:type="dxa"/>
              <w:bottom w:w="90" w:type="dxa"/>
              <w:left w:w="100" w:type="dxa"/>
              <w:right w:w="100" w:type="dxa"/>
            </w:tcMar>
          </w:tcPr>
          <w:p>
            <w:pPr>
              <w:keepNext w:val="0"/>
              <w:spacing w:after="0" w:line="264" w:lineRule="auto"/>
            </w:pPr>
            <w:r>
              <w:rPr>
                <w:b w:val="0"/>
                <w:sz w:val="20"/>
              </w:rPr>
              <w:t>数据完整、可回退、不重编号</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mobile-project-directory-store.ts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复用并补齐项目列表与成员操作</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员工只见所属项目，GM 见全部</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sqlite-mobile-bug-store.ts 及相关 store</w:t>
            </w:r>
          </w:p>
        </w:tc>
        <w:tc>
          <w:tcPr>
            <w:tcW w:type="dxa" w:w="3912"/>
            <w:vAlign w:val="center"/>
            <w:tcMar>
              <w:top w:w="90" w:type="dxa"/>
              <w:bottom w:w="90" w:type="dxa"/>
              <w:left w:w="100" w:type="dxa"/>
              <w:right w:w="100" w:type="dxa"/>
            </w:tcMar>
          </w:tcPr>
          <w:p>
            <w:pPr>
              <w:keepNext w:val="0"/>
              <w:spacing w:after="0" w:line="264" w:lineRule="auto"/>
            </w:pPr>
            <w:r>
              <w:rPr>
                <w:b w:val="0"/>
                <w:sz w:val="20"/>
              </w:rPr>
              <w:t>动态项目读写、记录归属和过滤</w:t>
            </w:r>
          </w:p>
        </w:tc>
        <w:tc>
          <w:tcPr>
            <w:tcW w:type="dxa" w:w="3345"/>
            <w:vAlign w:val="center"/>
            <w:tcMar>
              <w:top w:w="90" w:type="dxa"/>
              <w:bottom w:w="90" w:type="dxa"/>
              <w:left w:w="100" w:type="dxa"/>
              <w:right w:w="100" w:type="dxa"/>
            </w:tcMar>
          </w:tcPr>
          <w:p>
            <w:pPr>
              <w:keepNext w:val="0"/>
              <w:spacing w:after="0" w:line="264" w:lineRule="auto"/>
            </w:pPr>
            <w:r>
              <w:rPr>
                <w:b w:val="0"/>
                <w:sz w:val="20"/>
              </w:rPr>
              <w:t>详情、附件、统计等旁路同样正确</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apps/api/src/mobile-user-management.ts</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项目内名单、关联和停用</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A 项目操作不影响 B 项目人员关系</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jenkins-builds.ts</w:t>
            </w:r>
          </w:p>
        </w:tc>
        <w:tc>
          <w:tcPr>
            <w:tcW w:type="dxa" w:w="3912"/>
            <w:vAlign w:val="center"/>
            <w:tcMar>
              <w:top w:w="90" w:type="dxa"/>
              <w:bottom w:w="90" w:type="dxa"/>
              <w:left w:w="100" w:type="dxa"/>
              <w:right w:w="100" w:type="dxa"/>
            </w:tcMar>
          </w:tcPr>
          <w:p>
            <w:pPr>
              <w:keepNext w:val="0"/>
              <w:spacing w:after="0" w:line="264" w:lineRule="auto"/>
            </w:pPr>
            <w:r>
              <w:rPr>
                <w:b w:val="0"/>
                <w:sz w:val="20"/>
              </w:rPr>
              <w:t>项目化任务与参数配置</w:t>
            </w:r>
          </w:p>
        </w:tc>
        <w:tc>
          <w:tcPr>
            <w:tcW w:type="dxa" w:w="3345"/>
            <w:vAlign w:val="center"/>
            <w:tcMar>
              <w:top w:w="90" w:type="dxa"/>
              <w:bottom w:w="90" w:type="dxa"/>
              <w:left w:w="100" w:type="dxa"/>
              <w:right w:w="100" w:type="dxa"/>
            </w:tcMar>
          </w:tcPr>
          <w:p>
            <w:pPr>
              <w:keepNext w:val="0"/>
              <w:spacing w:after="0" w:line="264" w:lineRule="auto"/>
            </w:pPr>
            <w:r>
              <w:rPr>
                <w:b w:val="0"/>
                <w:sz w:val="20"/>
              </w:rPr>
              <w:t>不再绑定原项目 Job 与固定预设</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increment-upload.ts 及 uploader host</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队列、快照、目标、凭据引用加项目</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列表、取消、重试、恢复不串任务</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Relay production 相关服务</w:t>
            </w:r>
          </w:p>
        </w:tc>
        <w:tc>
          <w:tcPr>
            <w:tcW w:type="dxa" w:w="3912"/>
            <w:vAlign w:val="center"/>
            <w:tcMar>
              <w:top w:w="90" w:type="dxa"/>
              <w:bottom w:w="90" w:type="dxa"/>
              <w:left w:w="100" w:type="dxa"/>
              <w:right w:w="100" w:type="dxa"/>
            </w:tcMar>
          </w:tcPr>
          <w:p>
            <w:pPr>
              <w:keepNext w:val="0"/>
              <w:spacing w:after="0" w:line="264" w:lineRule="auto"/>
            </w:pPr>
            <w:r>
              <w:rPr>
                <w:b w:val="0"/>
                <w:sz w:val="20"/>
              </w:rPr>
              <w:t>项目绑定、任务映射、后台触发开关</w:t>
            </w:r>
          </w:p>
        </w:tc>
        <w:tc>
          <w:tcPr>
            <w:tcW w:type="dxa" w:w="3345"/>
            <w:vAlign w:val="center"/>
            <w:tcMar>
              <w:top w:w="90" w:type="dxa"/>
              <w:bottom w:w="90" w:type="dxa"/>
              <w:left w:w="100" w:type="dxa"/>
              <w:right w:w="100" w:type="dxa"/>
            </w:tcMar>
          </w:tcPr>
          <w:p>
            <w:pPr>
              <w:keepNext w:val="0"/>
              <w:spacing w:after="0" w:line="264" w:lineRule="auto"/>
            </w:pPr>
            <w:r>
              <w:rPr>
                <w:b w:val="0"/>
                <w:sz w:val="20"/>
              </w:rPr>
              <w:t>关闭组件后不创建新任务，历史可查看</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apps/desktop/src/mcp-api.ts 等</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共用动作适配、新工具与附件处理</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与 HTTP 同结果，保留本地调用兼容</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Web 项目导航和草稿相关页面</w:t>
            </w:r>
          </w:p>
        </w:tc>
        <w:tc>
          <w:tcPr>
            <w:tcW w:type="dxa" w:w="3912"/>
            <w:vAlign w:val="center"/>
            <w:tcMar>
              <w:top w:w="90" w:type="dxa"/>
              <w:bottom w:w="90" w:type="dxa"/>
              <w:left w:w="100" w:type="dxa"/>
              <w:right w:w="100" w:type="dxa"/>
            </w:tcMar>
          </w:tcPr>
          <w:p>
            <w:pPr>
              <w:keepNext w:val="0"/>
              <w:spacing w:after="0" w:line="264" w:lineRule="auto"/>
            </w:pPr>
            <w:r>
              <w:rPr>
                <w:b w:val="0"/>
                <w:sz w:val="20"/>
              </w:rPr>
              <w:t>项目选择、配置刷新、缓存键</w:t>
            </w:r>
          </w:p>
        </w:tc>
        <w:tc>
          <w:tcPr>
            <w:tcW w:type="dxa" w:w="3345"/>
            <w:vAlign w:val="center"/>
            <w:tcMar>
              <w:top w:w="90" w:type="dxa"/>
              <w:bottom w:w="90" w:type="dxa"/>
              <w:left w:w="100" w:type="dxa"/>
              <w:right w:w="100" w:type="dxa"/>
            </w:tcMar>
          </w:tcPr>
          <w:p>
            <w:pPr>
              <w:keepNext w:val="0"/>
              <w:spacing w:after="0" w:line="264" w:lineRule="auto"/>
            </w:pPr>
            <w:r>
              <w:rPr>
                <w:b w:val="0"/>
                <w:sz w:val="20"/>
              </w:rPr>
              <w:t>快速切换、双窗口和保存中刷新</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Android ScopedRepository.kt 等</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项目登录、仓库、偏好、组件界面</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真机升级、草稿保留、完整 Bug 流程</w:t>
            </w:r>
          </w:p>
        </w:tc>
      </w:tr>
    </w:tbl>
    <w:p>
      <w:pPr>
        <w:spacing w:after="20"/>
      </w:pPr>
    </w:p>
    <w:p>
      <w:pPr>
        <w:pStyle w:val="Heading1"/>
      </w:pPr>
      <w:r>
        <w:t>13 验收清单</w:t>
      </w:r>
    </w:p>
    <w:p>
      <w:r>
        <w:t>测试至少准备项目 A、项目 B、仅属于 A 的员工、仅属于 B 的员工、同时属于两者的员工和一个 GM。两项目使用不同 Bug、附件、上传目标与 Relay 外部项目。以下为必须通过的业务验收，而不是仅检查页面是否显示。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422"/>
        <w:gridCol w:w="4422"/>
      </w:tblGrid>
      <w:tr>
        <w:trPr>
          <w:cantSplit/>
          <w:tblHeader/>
        </w:trPr>
        <w:tc>
          <w:tcPr>
            <w:tcW w:type="dxa" w:w="794"/>
            <w:vAlign w:val="center"/>
            <w:tcMar>
              <w:top w:w="90" w:type="dxa"/>
              <w:bottom w:w="90" w:type="dxa"/>
              <w:left w:w="100" w:type="dxa"/>
              <w:right w:w="100" w:type="dxa"/>
            </w:tcMar>
            <w:shd w:fill="DDEBF7"/>
          </w:tcPr>
          <w:p>
            <w:pPr>
              <w:keepNext/>
              <w:spacing w:after="0" w:line="264" w:lineRule="auto"/>
              <w:jc w:val="center"/>
            </w:pPr>
            <w:r>
              <w:rPr>
                <w:b/>
                <w:sz w:val="20"/>
              </w:rPr>
              <w:t>编号</w:t>
            </w:r>
          </w:p>
        </w:tc>
        <w:tc>
          <w:tcPr>
            <w:tcW w:type="dxa" w:w="4422"/>
            <w:vAlign w:val="center"/>
            <w:tcMar>
              <w:top w:w="90" w:type="dxa"/>
              <w:bottom w:w="90" w:type="dxa"/>
              <w:left w:w="100" w:type="dxa"/>
              <w:right w:w="100" w:type="dxa"/>
            </w:tcMar>
            <w:shd w:fill="DDEBF7"/>
          </w:tcPr>
          <w:p>
            <w:pPr>
              <w:keepNext/>
              <w:spacing w:after="0" w:line="264" w:lineRule="auto"/>
            </w:pPr>
            <w:r>
              <w:rPr>
                <w:b/>
                <w:sz w:val="20"/>
              </w:rPr>
              <w:t>场景</w:t>
            </w:r>
          </w:p>
        </w:tc>
        <w:tc>
          <w:tcPr>
            <w:tcW w:type="dxa" w:w="4422"/>
            <w:vAlign w:val="center"/>
            <w:tcMar>
              <w:top w:w="90" w:type="dxa"/>
              <w:bottom w:w="90" w:type="dxa"/>
              <w:left w:w="100" w:type="dxa"/>
              <w:right w:w="100" w:type="dxa"/>
            </w:tcMar>
            <w:shd w:fill="DDEBF7"/>
          </w:tcPr>
          <w:p>
            <w:pPr>
              <w:keepNext/>
              <w:spacing w:after="0" w:line="264" w:lineRule="auto"/>
            </w:pPr>
            <w:r>
              <w:rPr>
                <w:b/>
                <w:sz w:val="20"/>
              </w:rPr>
              <w:t>通过标准</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01</w:t>
            </w:r>
          </w:p>
        </w:tc>
        <w:tc>
          <w:tcPr>
            <w:tcW w:type="dxa" w:w="4422"/>
            <w:vAlign w:val="center"/>
            <w:tcMar>
              <w:top w:w="90" w:type="dxa"/>
              <w:bottom w:w="90" w:type="dxa"/>
              <w:left w:w="100" w:type="dxa"/>
              <w:right w:w="100" w:type="dxa"/>
            </w:tcMar>
          </w:tcPr>
          <w:p>
            <w:pPr>
              <w:keepNext w:val="0"/>
              <w:spacing w:after="0" w:line="264" w:lineRule="auto"/>
            </w:pPr>
            <w:r>
              <w:rPr>
                <w:b w:val="0"/>
                <w:sz w:val="20"/>
              </w:rPr>
              <w:t>项目入口姓名登录</w:t>
            </w:r>
          </w:p>
        </w:tc>
        <w:tc>
          <w:tcPr>
            <w:tcW w:type="dxa" w:w="4422"/>
            <w:vAlign w:val="center"/>
            <w:tcMar>
              <w:top w:w="90" w:type="dxa"/>
              <w:bottom w:w="90" w:type="dxa"/>
              <w:left w:w="100" w:type="dxa"/>
              <w:right w:w="100" w:type="dxa"/>
            </w:tcMar>
          </w:tcPr>
          <w:p>
            <w:pPr>
              <w:keepNext w:val="0"/>
              <w:spacing w:after="0" w:line="264" w:lineRule="auto"/>
            </w:pPr>
            <w:r>
              <w:rPr>
                <w:b w:val="0"/>
                <w:sz w:val="20"/>
              </w:rPr>
              <w:t>首次登录只登记到入口项目，原有姓名仍解析为原人员</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单项目和多项目人员</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单项目直接进入，多项目列表仅出现有效所属项目</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03</w:t>
            </w:r>
          </w:p>
        </w:tc>
        <w:tc>
          <w:tcPr>
            <w:tcW w:type="dxa" w:w="4422"/>
            <w:vAlign w:val="center"/>
            <w:tcMar>
              <w:top w:w="90" w:type="dxa"/>
              <w:bottom w:w="90" w:type="dxa"/>
              <w:left w:w="100" w:type="dxa"/>
              <w:right w:w="100" w:type="dxa"/>
            </w:tcMar>
          </w:tcPr>
          <w:p>
            <w:pPr>
              <w:keepNext w:val="0"/>
              <w:spacing w:after="0" w:line="264" w:lineRule="auto"/>
            </w:pPr>
            <w:r>
              <w:rPr>
                <w:b w:val="0"/>
                <w:sz w:val="20"/>
              </w:rPr>
              <w:t>GM 管理</w:t>
            </w:r>
          </w:p>
        </w:tc>
        <w:tc>
          <w:tcPr>
            <w:tcW w:type="dxa" w:w="4422"/>
            <w:vAlign w:val="center"/>
            <w:tcMar>
              <w:top w:w="90" w:type="dxa"/>
              <w:bottom w:w="90" w:type="dxa"/>
              <w:left w:w="100" w:type="dxa"/>
              <w:right w:w="100" w:type="dxa"/>
            </w:tcMar>
          </w:tcPr>
          <w:p>
            <w:pPr>
              <w:keepNext w:val="0"/>
              <w:spacing w:after="0" w:line="264" w:lineRule="auto"/>
            </w:pPr>
            <w:r>
              <w:rPr>
                <w:b w:val="0"/>
                <w:sz w:val="20"/>
              </w:rPr>
              <w:t>唯一 GM 可管理全部项目，普通名字 gm 不获得管理能力</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人员停用</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 停用不影响 B，重新姓名登录不自动恢复被停用关系</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05</w:t>
            </w:r>
          </w:p>
        </w:tc>
        <w:tc>
          <w:tcPr>
            <w:tcW w:type="dxa" w:w="4422"/>
            <w:vAlign w:val="center"/>
            <w:tcMar>
              <w:top w:w="90" w:type="dxa"/>
              <w:bottom w:w="90" w:type="dxa"/>
              <w:left w:w="100" w:type="dxa"/>
              <w:right w:w="100" w:type="dxa"/>
            </w:tcMar>
          </w:tcPr>
          <w:p>
            <w:pPr>
              <w:keepNext w:val="0"/>
              <w:spacing w:after="0" w:line="264" w:lineRule="auto"/>
            </w:pPr>
            <w:r>
              <w:rPr>
                <w:b w:val="0"/>
                <w:sz w:val="20"/>
              </w:rPr>
              <w:t>非所属项目读取</w:t>
            </w:r>
          </w:p>
        </w:tc>
        <w:tc>
          <w:tcPr>
            <w:tcW w:type="dxa" w:w="4422"/>
            <w:vAlign w:val="center"/>
            <w:tcMar>
              <w:top w:w="90" w:type="dxa"/>
              <w:bottom w:w="90" w:type="dxa"/>
              <w:left w:w="100" w:type="dxa"/>
              <w:right w:w="100" w:type="dxa"/>
            </w:tcMar>
          </w:tcPr>
          <w:p>
            <w:pPr>
              <w:keepNext w:val="0"/>
              <w:spacing w:after="0" w:line="264" w:lineRule="auto"/>
            </w:pPr>
            <w:r>
              <w:rPr>
                <w:b w:val="0"/>
                <w:sz w:val="20"/>
              </w:rPr>
              <w:t>列表、详情、附件、日志、统计都不返回其他项目数据</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写入归属</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修改、评论、上传绑定和状态操作不能写入错误项目</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07</w:t>
            </w:r>
          </w:p>
        </w:tc>
        <w:tc>
          <w:tcPr>
            <w:tcW w:type="dxa" w:w="4422"/>
            <w:vAlign w:val="center"/>
            <w:tcMar>
              <w:top w:w="90" w:type="dxa"/>
              <w:bottom w:w="90" w:type="dxa"/>
              <w:left w:w="100" w:type="dxa"/>
              <w:right w:w="100" w:type="dxa"/>
            </w:tcMar>
          </w:tcPr>
          <w:p>
            <w:pPr>
              <w:keepNext w:val="0"/>
              <w:spacing w:after="0" w:line="264" w:lineRule="auto"/>
            </w:pPr>
            <w:r>
              <w:rPr>
                <w:b w:val="0"/>
                <w:sz w:val="20"/>
              </w:rPr>
              <w:t>项目快速切换</w:t>
            </w:r>
          </w:p>
        </w:tc>
        <w:tc>
          <w:tcPr>
            <w:tcW w:type="dxa" w:w="4422"/>
            <w:vAlign w:val="center"/>
            <w:tcMar>
              <w:top w:w="90" w:type="dxa"/>
              <w:bottom w:w="90" w:type="dxa"/>
              <w:left w:w="100" w:type="dxa"/>
              <w:right w:w="100" w:type="dxa"/>
            </w:tcMar>
          </w:tcPr>
          <w:p>
            <w:pPr>
              <w:keepNext w:val="0"/>
              <w:spacing w:after="0" w:line="264" w:lineRule="auto"/>
            </w:pPr>
            <w:r>
              <w:rPr>
                <w:b w:val="0"/>
                <w:sz w:val="20"/>
              </w:rPr>
              <w:t>A 的迟到请求、草稿、人员选择不覆盖 B</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08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多窗口与多客户端</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同一员工并行打开不同项目，互不改变请求归属</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09</w:t>
            </w:r>
          </w:p>
        </w:tc>
        <w:tc>
          <w:tcPr>
            <w:tcW w:type="dxa" w:w="4422"/>
            <w:vAlign w:val="center"/>
            <w:tcMar>
              <w:top w:w="90" w:type="dxa"/>
              <w:bottom w:w="90" w:type="dxa"/>
              <w:left w:w="100" w:type="dxa"/>
              <w:right w:w="100" w:type="dxa"/>
            </w:tcMar>
          </w:tcPr>
          <w:p>
            <w:pPr>
              <w:keepNext w:val="0"/>
              <w:spacing w:after="0" w:line="264" w:lineRule="auto"/>
            </w:pPr>
            <w:r>
              <w:rPr>
                <w:b w:val="0"/>
                <w:sz w:val="20"/>
              </w:rPr>
              <w:t>基础完整流程</w:t>
            </w:r>
          </w:p>
        </w:tc>
        <w:tc>
          <w:tcPr>
            <w:tcW w:type="dxa" w:w="4422"/>
            <w:vAlign w:val="center"/>
            <w:tcMar>
              <w:top w:w="90" w:type="dxa"/>
              <w:bottom w:w="90" w:type="dxa"/>
              <w:left w:w="100" w:type="dxa"/>
              <w:right w:w="100" w:type="dxa"/>
            </w:tcMar>
          </w:tcPr>
          <w:p>
            <w:pPr>
              <w:keepNext w:val="0"/>
              <w:spacing w:after="0" w:line="264" w:lineRule="auto"/>
            </w:pPr>
            <w:r>
              <w:rPr>
                <w:b w:val="0"/>
                <w:sz w:val="20"/>
              </w:rPr>
              <w:t>全部组件关闭时，APK、EXE 均可从提交走到人工验收关闭</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人员管理一致</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两端均按现有方式完成项目人员查看、关联与停用</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11</w:t>
            </w:r>
          </w:p>
        </w:tc>
        <w:tc>
          <w:tcPr>
            <w:tcW w:type="dxa" w:w="4422"/>
            <w:vAlign w:val="center"/>
            <w:tcMar>
              <w:top w:w="90" w:type="dxa"/>
              <w:bottom w:w="90" w:type="dxa"/>
              <w:left w:w="100" w:type="dxa"/>
              <w:right w:w="100" w:type="dxa"/>
            </w:tcMar>
          </w:tcPr>
          <w:p>
            <w:pPr>
              <w:keepNext w:val="0"/>
              <w:spacing w:after="0" w:line="264" w:lineRule="auto"/>
            </w:pPr>
            <w:r>
              <w:rPr>
                <w:b w:val="0"/>
                <w:sz w:val="20"/>
              </w:rPr>
              <w:t>API 独立调用</w:t>
            </w:r>
          </w:p>
        </w:tc>
        <w:tc>
          <w:tcPr>
            <w:tcW w:type="dxa" w:w="4422"/>
            <w:vAlign w:val="center"/>
            <w:tcMar>
              <w:top w:w="90" w:type="dxa"/>
              <w:bottom w:w="90" w:type="dxa"/>
              <w:left w:w="100" w:type="dxa"/>
              <w:right w:w="100" w:type="dxa"/>
            </w:tcMar>
          </w:tcPr>
          <w:p>
            <w:pPr>
              <w:keepNext w:val="0"/>
              <w:spacing w:after="0" w:line="264" w:lineRule="auto"/>
            </w:pPr>
            <w:r>
              <w:rPr>
                <w:b w:val="0"/>
                <w:sz w:val="20"/>
              </w:rPr>
              <w:t>关闭 EXE 后，外部程序仍可登录、查询、评论和改状态</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MCP 独立调用</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服务端 MCP 不依赖 EXE，并覆盖同样主要 Bug 动作</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13</w:t>
            </w:r>
          </w:p>
        </w:tc>
        <w:tc>
          <w:tcPr>
            <w:tcW w:type="dxa" w:w="4422"/>
            <w:vAlign w:val="center"/>
            <w:tcMar>
              <w:top w:w="90" w:type="dxa"/>
              <w:bottom w:w="90" w:type="dxa"/>
              <w:left w:w="100" w:type="dxa"/>
              <w:right w:w="100" w:type="dxa"/>
            </w:tcMar>
          </w:tcPr>
          <w:p>
            <w:pPr>
              <w:keepNext w:val="0"/>
              <w:spacing w:after="0" w:line="264" w:lineRule="auto"/>
            </w:pPr>
            <w:r>
              <w:rPr>
                <w:b w:val="0"/>
                <w:sz w:val="20"/>
              </w:rPr>
              <w:t>API 与 MCP 对等</w:t>
            </w:r>
          </w:p>
        </w:tc>
        <w:tc>
          <w:tcPr>
            <w:tcW w:type="dxa" w:w="4422"/>
            <w:vAlign w:val="center"/>
            <w:tcMar>
              <w:top w:w="90" w:type="dxa"/>
              <w:bottom w:w="90" w:type="dxa"/>
              <w:left w:w="100" w:type="dxa"/>
              <w:right w:w="100" w:type="dxa"/>
            </w:tcMar>
          </w:tcPr>
          <w:p>
            <w:pPr>
              <w:keepNext w:val="0"/>
              <w:spacing w:after="0" w:line="264" w:lineRule="auto"/>
            </w:pPr>
            <w:r>
              <w:rPr>
                <w:b w:val="0"/>
                <w:sz w:val="20"/>
              </w:rPr>
              <w:t>相同输入得到相同状态、版本、操作人和错误结果</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并发与重复提交</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旧版本被拒绝，同一幂等请求不重复执行</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15</w:t>
            </w:r>
          </w:p>
        </w:tc>
        <w:tc>
          <w:tcPr>
            <w:tcW w:type="dxa" w:w="4422"/>
            <w:vAlign w:val="center"/>
            <w:tcMar>
              <w:top w:w="90" w:type="dxa"/>
              <w:bottom w:w="90" w:type="dxa"/>
              <w:left w:w="100" w:type="dxa"/>
              <w:right w:w="100" w:type="dxa"/>
            </w:tcMar>
          </w:tcPr>
          <w:p>
            <w:pPr>
              <w:keepNext w:val="0"/>
              <w:spacing w:after="0" w:line="264" w:lineRule="auto"/>
            </w:pPr>
            <w:r>
              <w:rPr>
                <w:b w:val="0"/>
                <w:sz w:val="20"/>
              </w:rPr>
              <w:t>附件</w:t>
            </w:r>
          </w:p>
        </w:tc>
        <w:tc>
          <w:tcPr>
            <w:tcW w:type="dxa" w:w="4422"/>
            <w:vAlign w:val="center"/>
            <w:tcMar>
              <w:top w:w="90" w:type="dxa"/>
              <w:bottom w:w="90" w:type="dxa"/>
              <w:left w:w="100" w:type="dxa"/>
              <w:right w:w="100" w:type="dxa"/>
            </w:tcMar>
          </w:tcPr>
          <w:p>
            <w:pPr>
              <w:keepNext w:val="0"/>
              <w:spacing w:after="0" w:line="264" w:lineRule="auto"/>
            </w:pPr>
            <w:r>
              <w:rPr>
                <w:b w:val="0"/>
                <w:sz w:val="20"/>
              </w:rPr>
              <w:t>HTTP 下载、远端 MCP 资源、本地 MCP 落盘均归属正确且可用</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组件开关</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 开启不影响 B，禁用后旧 API/MCP 请求不能新建任务</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17</w:t>
            </w:r>
          </w:p>
        </w:tc>
        <w:tc>
          <w:tcPr>
            <w:tcW w:type="dxa" w:w="4422"/>
            <w:vAlign w:val="center"/>
            <w:tcMar>
              <w:top w:w="90" w:type="dxa"/>
              <w:bottom w:w="90" w:type="dxa"/>
              <w:left w:w="100" w:type="dxa"/>
              <w:right w:w="100" w:type="dxa"/>
            </w:tcMar>
          </w:tcPr>
          <w:p>
            <w:pPr>
              <w:keepNext w:val="0"/>
              <w:spacing w:after="0" w:line="264" w:lineRule="auto"/>
            </w:pPr>
            <w:r>
              <w:rPr>
                <w:b w:val="0"/>
                <w:sz w:val="20"/>
              </w:rPr>
              <w:t>组件依赖</w:t>
            </w:r>
          </w:p>
        </w:tc>
        <w:tc>
          <w:tcPr>
            <w:tcW w:type="dxa" w:w="4422"/>
            <w:vAlign w:val="center"/>
            <w:tcMar>
              <w:top w:w="90" w:type="dxa"/>
              <w:bottom w:w="90" w:type="dxa"/>
              <w:left w:w="100" w:type="dxa"/>
              <w:right w:w="100" w:type="dxa"/>
            </w:tcMar>
          </w:tcPr>
          <w:p>
            <w:pPr>
              <w:keepNext w:val="0"/>
              <w:spacing w:after="0" w:line="264" w:lineRule="auto"/>
            </w:pPr>
            <w:r>
              <w:rPr>
                <w:b w:val="0"/>
                <w:sz w:val="20"/>
              </w:rPr>
              <w:t>单次打包上传依赖清楚，缺配置显示待配置且不拖累 Bug 页面</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18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停用运行中组件</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排队任务暂停、运行任务按规则收尾、历史与产物保留</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19</w:t>
            </w:r>
          </w:p>
        </w:tc>
        <w:tc>
          <w:tcPr>
            <w:tcW w:type="dxa" w:w="4422"/>
            <w:vAlign w:val="center"/>
            <w:tcMar>
              <w:top w:w="90" w:type="dxa"/>
              <w:bottom w:w="90" w:type="dxa"/>
              <w:left w:w="100" w:type="dxa"/>
              <w:right w:w="100" w:type="dxa"/>
            </w:tcMar>
          </w:tcPr>
          <w:p>
            <w:pPr>
              <w:keepNext w:val="0"/>
              <w:spacing w:after="0" w:line="264" w:lineRule="auto"/>
            </w:pPr>
            <w:r>
              <w:rPr>
                <w:b w:val="0"/>
                <w:sz w:val="20"/>
              </w:rPr>
              <w:t>上传与 Relay 归属</w:t>
            </w:r>
          </w:p>
        </w:tc>
        <w:tc>
          <w:tcPr>
            <w:tcW w:type="dxa" w:w="4422"/>
            <w:vAlign w:val="center"/>
            <w:tcMar>
              <w:top w:w="90" w:type="dxa"/>
              <w:bottom w:w="90" w:type="dxa"/>
              <w:left w:w="100" w:type="dxa"/>
              <w:right w:w="100" w:type="dxa"/>
            </w:tcMar>
          </w:tcPr>
          <w:p>
            <w:pPr>
              <w:keepNext w:val="0"/>
              <w:spacing w:after="0" w:line="264" w:lineRule="auto"/>
            </w:pPr>
            <w:r>
              <w:rPr>
                <w:b w:val="0"/>
                <w:sz w:val="20"/>
              </w:rPr>
              <w:t>列表、日志、取消、重试、回调仅作用于对应项目任务</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20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外部失败与人工处理</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Relay、打包、同步失败不阻止本地 Bug 人工完成与关闭</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21</w:t>
            </w:r>
          </w:p>
        </w:tc>
        <w:tc>
          <w:tcPr>
            <w:tcW w:type="dxa" w:w="4422"/>
            <w:vAlign w:val="center"/>
            <w:tcMar>
              <w:top w:w="90" w:type="dxa"/>
              <w:bottom w:w="90" w:type="dxa"/>
              <w:left w:w="100" w:type="dxa"/>
              <w:right w:w="100" w:type="dxa"/>
            </w:tcMar>
          </w:tcPr>
          <w:p>
            <w:pPr>
              <w:keepNext w:val="0"/>
              <w:spacing w:after="0" w:line="264" w:lineRule="auto"/>
            </w:pPr>
            <w:r>
              <w:rPr>
                <w:b w:val="0"/>
                <w:sz w:val="20"/>
              </w:rPr>
              <w:t>旧数据迁移</w:t>
            </w:r>
          </w:p>
        </w:tc>
        <w:tc>
          <w:tcPr>
            <w:tcW w:type="dxa" w:w="4422"/>
            <w:vAlign w:val="center"/>
            <w:tcMar>
              <w:top w:w="90" w:type="dxa"/>
              <w:bottom w:w="90" w:type="dxa"/>
              <w:left w:w="100" w:type="dxa"/>
              <w:right w:w="100" w:type="dxa"/>
            </w:tcMar>
          </w:tcPr>
          <w:p>
            <w:pPr>
              <w:keepNext w:val="0"/>
              <w:spacing w:after="0" w:line="264" w:lineRule="auto"/>
            </w:pPr>
            <w:r>
              <w:rPr>
                <w:b w:val="0"/>
                <w:sz w:val="20"/>
              </w:rPr>
              <w:t>原 Bug、人员 ID、附件、操作历史和未完成任务数量可核对</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22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APK 共存与升级</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新旧应用可同时安装，专用测试环境中升级和证据保留通过</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23</w:t>
            </w:r>
          </w:p>
        </w:tc>
        <w:tc>
          <w:tcPr>
            <w:tcW w:type="dxa" w:w="4422"/>
            <w:vAlign w:val="center"/>
            <w:tcMar>
              <w:top w:w="90" w:type="dxa"/>
              <w:bottom w:w="90" w:type="dxa"/>
              <w:left w:w="100" w:type="dxa"/>
              <w:right w:w="100" w:type="dxa"/>
            </w:tcMar>
          </w:tcPr>
          <w:p>
            <w:pPr>
              <w:keepNext w:val="0"/>
              <w:spacing w:after="0" w:line="264" w:lineRule="auto"/>
            </w:pPr>
            <w:r>
              <w:rPr>
                <w:b w:val="0"/>
                <w:sz w:val="20"/>
              </w:rPr>
              <w:t>EXE 共存与升级</w:t>
            </w:r>
          </w:p>
        </w:tc>
        <w:tc>
          <w:tcPr>
            <w:tcW w:type="dxa" w:w="4422"/>
            <w:vAlign w:val="center"/>
            <w:tcMar>
              <w:top w:w="90" w:type="dxa"/>
              <w:bottom w:w="90" w:type="dxa"/>
              <w:left w:w="100" w:type="dxa"/>
              <w:right w:w="100" w:type="dxa"/>
            </w:tcMar>
          </w:tcPr>
          <w:p>
            <w:pPr>
              <w:keepNext w:val="0"/>
              <w:spacing w:after="0" w:line="264" w:lineRule="auto"/>
            </w:pPr>
            <w:r>
              <w:rPr>
                <w:b w:val="0"/>
                <w:sz w:val="20"/>
              </w:rPr>
              <w:t>新旧真实客户端可同时运行，独立测试配置升级重启及草稿保留通过</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24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回退演练</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能按文档恢复服务并保留回退前新增数据和任务证据</w:t>
            </w:r>
          </w:p>
        </w:tc>
      </w:tr>
    </w:tbl>
    <w:p>
      <w:pPr>
        <w:spacing w:after="20"/>
      </w:pPr>
    </w:p>
    <w:p>
      <w:r>
        <w:t>组件验收还应选择一个启用打包上传的项目，从 APK 和 EXE 分别发起真实任务，核对最终构建记录、产物、上传目标与结果。仅看到“排队成功”不能代替完整链路验收。纯 Bug 项目则证明无需准备这些外部服务也能正常使用。</w:t>
      </w:r>
    </w:p>
    <w:p>
      <w:pPr>
        <w:pStyle w:val="Heading1"/>
      </w:pPr>
      <w:r>
        <w:t>14 实施顺序与工作量</w:t>
      </w:r>
    </w:p>
    <w:p>
      <w:r>
        <w:t>以下是基于本次代码检查的初步工程估算，不是交付承诺。假设首批 2 至 5 个内部项目，复用当前 Jenkins、上传器、Relay 和客户端框架，不新增构建平台、不重做客户端 UI、不开发新的 Unity 增量算法。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3685"/>
        <w:gridCol w:w="3742"/>
        <w:gridCol w:w="1474"/>
      </w:tblGrid>
      <w:tr>
        <w:trPr>
          <w:cantSplit/>
          <w:tblHeader/>
        </w:trPr>
        <w:tc>
          <w:tcPr>
            <w:tcW w:type="dxa" w:w="737"/>
            <w:vAlign w:val="center"/>
            <w:tcMar>
              <w:top w:w="90" w:type="dxa"/>
              <w:bottom w:w="90" w:type="dxa"/>
              <w:left w:w="100" w:type="dxa"/>
              <w:right w:w="100" w:type="dxa"/>
            </w:tcMar>
            <w:shd w:fill="DDEBF7"/>
          </w:tcPr>
          <w:p>
            <w:pPr>
              <w:keepNext/>
              <w:spacing w:after="0" w:line="264" w:lineRule="auto"/>
            </w:pPr>
            <w:r>
              <w:rPr>
                <w:b/>
                <w:sz w:val="20"/>
              </w:rPr>
              <w:t>阶段</w:t>
            </w:r>
          </w:p>
        </w:tc>
        <w:tc>
          <w:tcPr>
            <w:tcW w:type="dxa" w:w="3685"/>
            <w:vAlign w:val="center"/>
            <w:tcMar>
              <w:top w:w="90" w:type="dxa"/>
              <w:bottom w:w="90" w:type="dxa"/>
              <w:left w:w="100" w:type="dxa"/>
              <w:right w:w="100" w:type="dxa"/>
            </w:tcMar>
            <w:shd w:fill="DDEBF7"/>
          </w:tcPr>
          <w:p>
            <w:pPr>
              <w:keepNext/>
              <w:spacing w:after="0" w:line="264" w:lineRule="auto"/>
            </w:pPr>
            <w:r>
              <w:rPr>
                <w:b/>
                <w:sz w:val="20"/>
              </w:rPr>
              <w:t>内容</w:t>
            </w:r>
          </w:p>
        </w:tc>
        <w:tc>
          <w:tcPr>
            <w:tcW w:type="dxa" w:w="3742"/>
            <w:vAlign w:val="center"/>
            <w:tcMar>
              <w:top w:w="90" w:type="dxa"/>
              <w:bottom w:w="90" w:type="dxa"/>
              <w:left w:w="100" w:type="dxa"/>
              <w:right w:w="100" w:type="dxa"/>
            </w:tcMar>
            <w:shd w:fill="DDEBF7"/>
          </w:tcPr>
          <w:p>
            <w:pPr>
              <w:keepNext/>
              <w:spacing w:after="0" w:line="264" w:lineRule="auto"/>
            </w:pPr>
            <w:r>
              <w:rPr>
                <w:b/>
                <w:sz w:val="20"/>
              </w:rPr>
              <w:t>交付结果</w:t>
            </w:r>
          </w:p>
        </w:tc>
        <w:tc>
          <w:tcPr>
            <w:tcW w:type="dxa" w:w="1474"/>
            <w:vAlign w:val="center"/>
            <w:tcMar>
              <w:top w:w="90" w:type="dxa"/>
              <w:bottom w:w="90" w:type="dxa"/>
              <w:left w:w="100" w:type="dxa"/>
              <w:right w:w="100" w:type="dxa"/>
            </w:tcMar>
            <w:shd w:fill="DDEBF7"/>
          </w:tcPr>
          <w:p>
            <w:pPr>
              <w:keepNext/>
              <w:spacing w:after="0" w:line="264" w:lineRule="auto"/>
            </w:pPr>
            <w:r>
              <w:rPr>
                <w:b/>
                <w:sz w:val="20"/>
              </w:rPr>
              <w:t>估算人日</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1</w:t>
            </w:r>
          </w:p>
        </w:tc>
        <w:tc>
          <w:tcPr>
            <w:tcW w:type="dxa" w:w="3685"/>
            <w:vAlign w:val="center"/>
            <w:tcMar>
              <w:top w:w="90" w:type="dxa"/>
              <w:bottom w:w="90" w:type="dxa"/>
              <w:left w:w="100" w:type="dxa"/>
              <w:right w:w="100" w:type="dxa"/>
            </w:tcMar>
          </w:tcPr>
          <w:p>
            <w:pPr>
              <w:keepNext w:val="0"/>
              <w:spacing w:after="0" w:line="264" w:lineRule="auto"/>
            </w:pPr>
            <w:r>
              <w:rPr>
                <w:b w:val="0"/>
                <w:sz w:val="20"/>
              </w:rPr>
              <w:t>细化项目登录及迁移清单</w:t>
            </w:r>
          </w:p>
        </w:tc>
        <w:tc>
          <w:tcPr>
            <w:tcW w:type="dxa" w:w="3742"/>
            <w:vAlign w:val="center"/>
            <w:tcMar>
              <w:top w:w="90" w:type="dxa"/>
              <w:bottom w:w="90" w:type="dxa"/>
              <w:left w:w="100" w:type="dxa"/>
              <w:right w:w="100" w:type="dxa"/>
            </w:tcMar>
          </w:tcPr>
          <w:p>
            <w:pPr>
              <w:keepNext w:val="0"/>
              <w:spacing w:after="0" w:line="264" w:lineRule="auto"/>
            </w:pPr>
            <w:r>
              <w:rPr>
                <w:b w:val="0"/>
                <w:sz w:val="20"/>
              </w:rPr>
              <w:t>接口合同、现有数据映射、回退方案</w:t>
            </w:r>
          </w:p>
        </w:tc>
        <w:tc>
          <w:tcPr>
            <w:tcW w:type="dxa" w:w="1474"/>
            <w:vAlign w:val="center"/>
            <w:tcMar>
              <w:top w:w="90" w:type="dxa"/>
              <w:bottom w:w="90" w:type="dxa"/>
              <w:left w:w="100" w:type="dxa"/>
              <w:right w:w="100" w:type="dxa"/>
            </w:tcMar>
          </w:tcPr>
          <w:p>
            <w:pPr>
              <w:keepNext w:val="0"/>
              <w:spacing w:after="0" w:line="264" w:lineRule="auto"/>
            </w:pPr>
            <w:r>
              <w:rPr>
                <w:b w:val="0"/>
                <w:sz w:val="20"/>
              </w:rPr>
              <w:t>2 至 3</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2</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项目、姓名登录、成员与 GM</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多项目服务及基础页面可使用</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5 至 7</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3</w:t>
            </w:r>
          </w:p>
        </w:tc>
        <w:tc>
          <w:tcPr>
            <w:tcW w:type="dxa" w:w="3685"/>
            <w:vAlign w:val="center"/>
            <w:tcMar>
              <w:top w:w="90" w:type="dxa"/>
              <w:bottom w:w="90" w:type="dxa"/>
              <w:left w:w="100" w:type="dxa"/>
              <w:right w:w="100" w:type="dxa"/>
            </w:tcMar>
          </w:tcPr>
          <w:p>
            <w:pPr>
              <w:keepNext w:val="0"/>
              <w:spacing w:after="0" w:line="264" w:lineRule="auto"/>
            </w:pPr>
            <w:r>
              <w:rPr>
                <w:b w:val="0"/>
                <w:sz w:val="20"/>
              </w:rPr>
              <w:t>Bug 共用业务和 API MCP 补齐</w:t>
            </w:r>
          </w:p>
        </w:tc>
        <w:tc>
          <w:tcPr>
            <w:tcW w:type="dxa" w:w="3742"/>
            <w:vAlign w:val="center"/>
            <w:tcMar>
              <w:top w:w="90" w:type="dxa"/>
              <w:bottom w:w="90" w:type="dxa"/>
              <w:left w:w="100" w:type="dxa"/>
              <w:right w:w="100" w:type="dxa"/>
            </w:tcMar>
          </w:tcPr>
          <w:p>
            <w:pPr>
              <w:keepNext w:val="0"/>
              <w:spacing w:after="0" w:line="264" w:lineRule="auto"/>
            </w:pPr>
            <w:r>
              <w:rPr>
                <w:b w:val="0"/>
                <w:sz w:val="20"/>
              </w:rPr>
              <w:t>两种入口独立操作完整 Bug 流程</w:t>
            </w:r>
          </w:p>
        </w:tc>
        <w:tc>
          <w:tcPr>
            <w:tcW w:type="dxa" w:w="1474"/>
            <w:vAlign w:val="center"/>
            <w:tcMar>
              <w:top w:w="90" w:type="dxa"/>
              <w:bottom w:w="90" w:type="dxa"/>
              <w:left w:w="100" w:type="dxa"/>
              <w:right w:w="100" w:type="dxa"/>
            </w:tcMar>
          </w:tcPr>
          <w:p>
            <w:pPr>
              <w:keepNext w:val="0"/>
              <w:spacing w:after="0" w:line="264" w:lineRule="auto"/>
            </w:pPr>
            <w:r>
              <w:rPr>
                <w:b w:val="0"/>
                <w:sz w:val="20"/>
              </w:rPr>
              <w:t>5 至 7</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4</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组件拆分与任务项目化</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可配置打包、上传、Relay 等组件</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7 至 10</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5</w:t>
            </w:r>
          </w:p>
        </w:tc>
        <w:tc>
          <w:tcPr>
            <w:tcW w:type="dxa" w:w="3685"/>
            <w:vAlign w:val="center"/>
            <w:tcMar>
              <w:top w:w="90" w:type="dxa"/>
              <w:bottom w:w="90" w:type="dxa"/>
              <w:left w:w="100" w:type="dxa"/>
              <w:right w:w="100" w:type="dxa"/>
            </w:tcMar>
          </w:tcPr>
          <w:p>
            <w:pPr>
              <w:keepNext w:val="0"/>
              <w:spacing w:after="0" w:line="264" w:lineRule="auto"/>
            </w:pPr>
            <w:r>
              <w:rPr>
                <w:b w:val="0"/>
                <w:sz w:val="20"/>
              </w:rPr>
              <w:t>APK EXE Web 同步适配</w:t>
            </w:r>
          </w:p>
        </w:tc>
        <w:tc>
          <w:tcPr>
            <w:tcW w:type="dxa" w:w="3742"/>
            <w:vAlign w:val="center"/>
            <w:tcMar>
              <w:top w:w="90" w:type="dxa"/>
              <w:bottom w:w="90" w:type="dxa"/>
              <w:left w:w="100" w:type="dxa"/>
              <w:right w:w="100" w:type="dxa"/>
            </w:tcMar>
          </w:tcPr>
          <w:p>
            <w:pPr>
              <w:keepNext w:val="0"/>
              <w:spacing w:after="0" w:line="264" w:lineRule="auto"/>
            </w:pPr>
            <w:r>
              <w:rPr>
                <w:b w:val="0"/>
                <w:sz w:val="20"/>
              </w:rPr>
              <w:t>项目切换、组件页面、草稿和升级迁移</w:t>
            </w:r>
          </w:p>
        </w:tc>
        <w:tc>
          <w:tcPr>
            <w:tcW w:type="dxa" w:w="1474"/>
            <w:vAlign w:val="center"/>
            <w:tcMar>
              <w:top w:w="90" w:type="dxa"/>
              <w:bottom w:w="90" w:type="dxa"/>
              <w:left w:w="100" w:type="dxa"/>
              <w:right w:w="100" w:type="dxa"/>
            </w:tcMar>
          </w:tcPr>
          <w:p>
            <w:pPr>
              <w:keepNext w:val="0"/>
              <w:spacing w:after="0" w:line="264" w:lineRule="auto"/>
            </w:pPr>
            <w:r>
              <w:rPr>
                <w:b w:val="0"/>
                <w:sz w:val="20"/>
              </w:rPr>
              <w:t>7 至 10</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6</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集成回归与实际安装验收</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双端安装包、迁移与真实任务验收记录</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6 至 9</w:t>
            </w:r>
          </w:p>
        </w:tc>
      </w:tr>
      <w:tr>
        <w:trPr>
          <w:cantSplit/>
        </w:trPr>
        <w:tc>
          <w:tcPr>
            <w:tcW w:type="dxa" w:w="737"/>
            <w:vAlign w:val="center"/>
            <w:tcMar>
              <w:top w:w="90" w:type="dxa"/>
              <w:bottom w:w="90" w:type="dxa"/>
              <w:left w:w="100" w:type="dxa"/>
              <w:right w:w="100" w:type="dxa"/>
            </w:tcMar>
          </w:tcPr>
          <w:p>
            <w:pPr>
              <w:keepNext w:val="0"/>
              <w:spacing w:after="0" w:line="264" w:lineRule="auto"/>
            </w:pPr>
            <w:r>
              <w:rPr>
                <w:b w:val="0"/>
                <w:sz w:val="20"/>
              </w:rPr>
              <w:t>7</w:t>
            </w:r>
          </w:p>
        </w:tc>
        <w:tc>
          <w:tcPr>
            <w:tcW w:type="dxa" w:w="3685"/>
            <w:vAlign w:val="center"/>
            <w:tcMar>
              <w:top w:w="90" w:type="dxa"/>
              <w:bottom w:w="90" w:type="dxa"/>
              <w:left w:w="100" w:type="dxa"/>
              <w:right w:w="100" w:type="dxa"/>
            </w:tcMar>
          </w:tcPr>
          <w:p>
            <w:pPr>
              <w:keepNext w:val="0"/>
              <w:spacing w:after="0" w:line="264" w:lineRule="auto"/>
            </w:pPr>
            <w:r>
              <w:rPr>
                <w:b w:val="0"/>
                <w:sz w:val="20"/>
              </w:rPr>
              <w:t>并行实例与全功能真实验收补充</w:t>
            </w:r>
          </w:p>
        </w:tc>
        <w:tc>
          <w:tcPr>
            <w:tcW w:type="dxa" w:w="3742"/>
            <w:vAlign w:val="center"/>
            <w:tcMar>
              <w:top w:w="90" w:type="dxa"/>
              <w:bottom w:w="90" w:type="dxa"/>
              <w:left w:w="100" w:type="dxa"/>
              <w:right w:w="100" w:type="dxa"/>
            </w:tcMar>
          </w:tcPr>
          <w:p>
            <w:pPr>
              <w:keepNext w:val="0"/>
              <w:spacing w:after="0" w:line="264" w:lineRule="auto"/>
            </w:pPr>
            <w:r>
              <w:rPr>
                <w:b w:val="0"/>
                <w:sz w:val="20"/>
              </w:rPr>
              <w:t>独立运行交付、共存与故障验证、完整证据矩阵</w:t>
            </w:r>
          </w:p>
        </w:tc>
        <w:tc>
          <w:tcPr>
            <w:tcW w:type="dxa" w:w="1474"/>
            <w:vAlign w:val="center"/>
            <w:tcMar>
              <w:top w:w="90" w:type="dxa"/>
              <w:bottom w:w="90" w:type="dxa"/>
              <w:left w:w="100" w:type="dxa"/>
              <w:right w:w="100" w:type="dxa"/>
            </w:tcMar>
          </w:tcPr>
          <w:p>
            <w:pPr>
              <w:keepNext w:val="0"/>
              <w:spacing w:after="0" w:line="264" w:lineRule="auto"/>
            </w:pPr>
            <w:r>
              <w:rPr>
                <w:b w:val="0"/>
                <w:sz w:val="20"/>
              </w:rPr>
              <w:t>5 至 8</w:t>
            </w:r>
          </w:p>
        </w:tc>
      </w:tr>
      <w:tr>
        <w:trPr>
          <w:cantSplit/>
        </w:trPr>
        <w:tc>
          <w:tcPr>
            <w:tcW w:type="dxa" w:w="737"/>
            <w:vAlign w:val="center"/>
            <w:tcMar>
              <w:top w:w="90" w:type="dxa"/>
              <w:bottom w:w="90" w:type="dxa"/>
              <w:left w:w="100" w:type="dxa"/>
              <w:right w:w="100" w:type="dxa"/>
            </w:tcMar>
            <w:shd w:fill="F5F7FA"/>
          </w:tcPr>
          <w:p>
            <w:pPr>
              <w:keepNext w:val="0"/>
              <w:spacing w:after="0" w:line="264" w:lineRule="auto"/>
            </w:pPr>
            <w:r>
              <w:rPr>
                <w:b w:val="0"/>
                <w:sz w:val="20"/>
              </w:rPr>
              <w:t>合计</w:t>
            </w:r>
          </w:p>
        </w:tc>
        <w:tc>
          <w:tcPr>
            <w:tcW w:type="dxa" w:w="3685"/>
            <w:vAlign w:val="center"/>
            <w:tcMar>
              <w:top w:w="90" w:type="dxa"/>
              <w:bottom w:w="90" w:type="dxa"/>
              <w:left w:w="100" w:type="dxa"/>
              <w:right w:w="100" w:type="dxa"/>
            </w:tcMar>
            <w:shd w:fill="F5F7FA"/>
          </w:tcPr>
          <w:p>
            <w:pPr>
              <w:keepNext w:val="0"/>
              <w:spacing w:after="0" w:line="264" w:lineRule="auto"/>
            </w:pPr>
            <w:r>
              <w:rPr>
                <w:b w:val="0"/>
                <w:sz w:val="20"/>
              </w:rPr>
              <w:t>按上述范围</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开发与测试总工作量</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37 至 54</w:t>
            </w:r>
          </w:p>
        </w:tc>
      </w:tr>
    </w:tbl>
    <w:p>
      <w:pPr>
        <w:spacing w:after="20"/>
      </w:pPr>
    </w:p>
    <w:p>
      <w:r>
        <w:t>建议另留约 20% 的不确定性余量，总体约 44 至 65 人日。2 名开发配合测试投入时，日历周期可先按约 6 至 8 周安排，再根据 Android 组件页面补齐量、原有固定配置数量、独立外部测试目标准备和真实构建耗时调整。人日可以并行分配，不能直接把总人日当作等待天数。本次新增并行运行要求已经计入阶段 7，不是完成开发后的可选检查。</w:t>
      </w:r>
    </w:p>
    <w:p>
      <w:r>
        <w:t>顺序上先打通两个测试项目的纯 Bug 流程和双端登录，再验证 API 与 MCP，然后逐个接入组件。阶段 2 至 5 可按模块交错推进，但 APK 必须同步参与。正式开放第二个项目以前，要先完成基础 Bug 和所有数据归属验收，不能等上线后才补旁路过滤。</w:t>
      </w:r>
    </w:p>
    <w:p>
      <w:pPr>
        <w:pStyle w:val="Heading1"/>
      </w:pPr>
      <w:r>
        <w:t>15 本次范围与最终交付标准</w:t>
      </w:r>
    </w:p>
    <w:p>
      <w:r>
        <w:t>本次必须完成项目一级管理、项目姓名登录、员工与 GM 两种身份、项目内人员管理、所有数据及任务的明确项目归属、Bug 基础模块、按项目配置的组件、HTTP API 与 MCP 对等能力，以及 APK 与 EXE 同步兼容。</w:t>
      </w:r>
    </w:p>
    <w:p>
      <w:r>
        <w:t>工作室层、多级角色、自定义权限策略、SSO、OAuth、计费套餐、每项目独立部署和插件市场均不纳入本次。共享数据库的项目级独立恢复、跨机器执行器扩容和新的构建优化算法也不作为首期前置条件。</w:t>
      </w:r>
    </w:p>
    <w:p>
      <w:r>
        <w:t>最终交付应让 GM 能在独立新版实例中新建一个仅有 Bug 管理的项目，安排人员按名字登录，并在需要时开启打包、上传或 Relay 组件；项目员工可在 APK 或 EXE 中完成相同业务，外部程序可任选 HTTP API 或 MCP 操作。上述流程通过真实安装、数据副本迁移、全功能操作与任务结果验证，并证明旧生产仍正常工作后，才算完成改造。新版制作和验收完成后继续保留并行运行，生产替换由用户另行决定。</w:t>
      </w:r>
    </w:p>
    <w:p>
      <w:pPr>
        <w:pStyle w:val="Heading1"/>
      </w:pPr>
      <w:r>
        <w:t>16 新工作树与生产并行运行</w:t>
      </w:r>
    </w:p>
    <w:p>
      <w:pPr>
        <w:pStyle w:val="Heading2"/>
      </w:pPr>
      <w:r>
        <w:t>16 1 本次实施边界</w:t>
      </w:r>
    </w:p>
    <w:p>
      <w:r>
        <w:t xml:space="preserve">使用新的 Git 工作树和独立开发分支制作全部程序改动，分支采用 codex 前缀。现有 </w:t>
      </w:r>
      <w:r>
        <w:rPr>
          <w:rFonts w:ascii="Consolas" w:hAnsi="Consolas"/>
          <w:sz w:val="20"/>
        </w:rPr>
        <w:t>D:\Relay-QA-Hub</w:t>
      </w:r>
      <w:r>
        <w:t xml:space="preserve"> 主分支工作目录继续承担当前工作，不在其中修改应用代码、构建输出、生产脚本或运行配置。本次对设计文档的更新属于方案交付，后续开发把这份文档复制到新工作树并记录版本与来源。</w:t>
      </w:r>
    </w:p>
    <w:p>
      <w:r>
        <w:t>先核对工作树路径、分支、起始提交、未提交改动及生产进程的实际启动路径，再安装依赖和运行任何脚本。Git 工作树会共享仓库对象和引用，它不会自动分开数据库、环境变量、全局工具配置、绝对路径和外部服务。开发脚本中指向原目录的路径必须检查，不能以“已经是新工作树”为理由默认安全。</w:t>
      </w:r>
    </w:p>
    <w:p>
      <w:r>
        <w:t>本次授权包含在独立环境完成实现、构建、运行和真实测试。它不包含合并 main、推送到生产分支、覆盖生产发布文件、重启生产服务、关闭日常 EXE、卸载或覆盖日常 APK。既往“验证后直接发布”的习惯在本任务中只适用于独立预览通道，不能解释为生产替换授权。</w:t>
      </w:r>
    </w:p>
    <w:p>
      <w:pPr>
        <w:pStyle w:val="Heading2"/>
      </w:pPr>
      <w:r>
        <w:t>16 2 必须独立的运行资源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资源</w:t>
            </w:r>
          </w:p>
        </w:tc>
        <w:tc>
          <w:tcPr>
            <w:tcW w:type="dxa" w:w="3742"/>
            <w:vAlign w:val="center"/>
            <w:tcMar>
              <w:top w:w="90" w:type="dxa"/>
              <w:bottom w:w="90" w:type="dxa"/>
              <w:left w:w="100" w:type="dxa"/>
              <w:right w:w="100" w:type="dxa"/>
            </w:tcMar>
            <w:shd w:fill="DDEBF7"/>
          </w:tcPr>
          <w:p>
            <w:pPr>
              <w:keepNext/>
              <w:spacing w:after="0" w:line="264" w:lineRule="auto"/>
            </w:pPr>
            <w:r>
              <w:rPr>
                <w:b/>
                <w:sz w:val="20"/>
              </w:rPr>
              <w:t>新版要求</w:t>
            </w:r>
          </w:p>
        </w:tc>
        <w:tc>
          <w:tcPr>
            <w:tcW w:type="dxa" w:w="4082"/>
            <w:vAlign w:val="center"/>
            <w:tcMar>
              <w:top w:w="90" w:type="dxa"/>
              <w:bottom w:w="90" w:type="dxa"/>
              <w:left w:w="100" w:type="dxa"/>
              <w:right w:w="100" w:type="dxa"/>
            </w:tcMar>
            <w:shd w:fill="DDEBF7"/>
          </w:tcPr>
          <w:p>
            <w:pPr>
              <w:keepNext/>
              <w:spacing w:after="0" w:line="264" w:lineRule="auto"/>
            </w:pPr>
            <w:r>
              <w:rPr>
                <w:b/>
                <w:sz w:val="20"/>
              </w:rPr>
              <w:t>旧生产保护要求</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代码与产物</w:t>
            </w:r>
          </w:p>
        </w:tc>
        <w:tc>
          <w:tcPr>
            <w:tcW w:type="dxa" w:w="3742"/>
            <w:vAlign w:val="center"/>
            <w:tcMar>
              <w:top w:w="90" w:type="dxa"/>
              <w:bottom w:w="90" w:type="dxa"/>
              <w:left w:w="100" w:type="dxa"/>
              <w:right w:w="100" w:type="dxa"/>
            </w:tcMar>
          </w:tcPr>
          <w:p>
            <w:pPr>
              <w:keepNext w:val="0"/>
              <w:spacing w:after="0" w:line="264" w:lineRule="auto"/>
            </w:pPr>
            <w:r>
              <w:rPr>
                <w:b w:val="0"/>
                <w:sz w:val="20"/>
              </w:rPr>
              <w:t>新工作树、独立分支、独立输出目录</w:t>
            </w:r>
          </w:p>
        </w:tc>
        <w:tc>
          <w:tcPr>
            <w:tcW w:type="dxa" w:w="4082"/>
            <w:vAlign w:val="center"/>
            <w:tcMar>
              <w:top w:w="90" w:type="dxa"/>
              <w:bottom w:w="90" w:type="dxa"/>
              <w:left w:w="100" w:type="dxa"/>
              <w:right w:w="100" w:type="dxa"/>
            </w:tcMar>
          </w:tcPr>
          <w:p>
            <w:pPr>
              <w:keepNext w:val="0"/>
              <w:spacing w:after="0" w:line="264" w:lineRule="auto"/>
            </w:pPr>
            <w:r>
              <w:rPr>
                <w:b w:val="0"/>
                <w:sz w:val="20"/>
              </w:rPr>
              <w:t>不在原目录执行清理、重置、重编译或覆盖</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API Web MCP</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独立实例及实测空闲端口，记录监听地址和进程</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不占用现有端口，不替换反向代理与生产路由</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数据库</w:t>
            </w:r>
          </w:p>
        </w:tc>
        <w:tc>
          <w:tcPr>
            <w:tcW w:type="dxa" w:w="3742"/>
            <w:vAlign w:val="center"/>
            <w:tcMar>
              <w:top w:w="90" w:type="dxa"/>
              <w:bottom w:w="90" w:type="dxa"/>
              <w:left w:w="100" w:type="dxa"/>
              <w:right w:w="100" w:type="dxa"/>
            </w:tcMar>
          </w:tcPr>
          <w:p>
            <w:pPr>
              <w:keepNext w:val="0"/>
              <w:spacing w:after="0" w:line="264" w:lineRule="auto"/>
            </w:pPr>
            <w:r>
              <w:rPr>
                <w:b w:val="0"/>
                <w:sz w:val="20"/>
              </w:rPr>
              <w:t>独立 SQLite 文件及 WAL、SHM、备份目录</w:t>
            </w:r>
          </w:p>
        </w:tc>
        <w:tc>
          <w:tcPr>
            <w:tcW w:type="dxa" w:w="4082"/>
            <w:vAlign w:val="center"/>
            <w:tcMar>
              <w:top w:w="90" w:type="dxa"/>
              <w:bottom w:w="90" w:type="dxa"/>
              <w:left w:w="100" w:type="dxa"/>
              <w:right w:w="100" w:type="dxa"/>
            </w:tcMar>
          </w:tcPr>
          <w:p>
            <w:pPr>
              <w:keepNext w:val="0"/>
              <w:spacing w:after="0" w:line="264" w:lineRule="auto"/>
            </w:pPr>
            <w:r>
              <w:rPr>
                <w:b w:val="0"/>
                <w:sz w:val="20"/>
              </w:rPr>
              <w:t>不引用生产库路径，不执行生产迁移</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附件与缓存</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新根目录，导入副本具有独立可写路径</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不使用指向生产可写目录的链接或 junction</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队列与外部状态</w:t>
            </w:r>
          </w:p>
        </w:tc>
        <w:tc>
          <w:tcPr>
            <w:tcW w:type="dxa" w:w="3742"/>
            <w:vAlign w:val="center"/>
            <w:tcMar>
              <w:top w:w="90" w:type="dxa"/>
              <w:bottom w:w="90" w:type="dxa"/>
              <w:left w:w="100" w:type="dxa"/>
              <w:right w:w="100" w:type="dxa"/>
            </w:tcMar>
          </w:tcPr>
          <w:p>
            <w:pPr>
              <w:keepNext w:val="0"/>
              <w:spacing w:after="0" w:line="264" w:lineRule="auto"/>
            </w:pPr>
            <w:r>
              <w:rPr>
                <w:b w:val="0"/>
                <w:sz w:val="20"/>
              </w:rPr>
              <w:t>独立上传库、outbox、Relay 映射和任务日志</w:t>
            </w:r>
          </w:p>
        </w:tc>
        <w:tc>
          <w:tcPr>
            <w:tcW w:type="dxa" w:w="4082"/>
            <w:vAlign w:val="center"/>
            <w:tcMar>
              <w:top w:w="90" w:type="dxa"/>
              <w:bottom w:w="90" w:type="dxa"/>
              <w:left w:w="100" w:type="dxa"/>
              <w:right w:w="100" w:type="dxa"/>
            </w:tcMar>
          </w:tcPr>
          <w:p>
            <w:pPr>
              <w:keepNext w:val="0"/>
              <w:spacing w:after="0" w:line="264" w:lineRule="auto"/>
            </w:pPr>
            <w:r>
              <w:rPr>
                <w:b w:val="0"/>
                <w:sz w:val="20"/>
              </w:rPr>
              <w:t>导入任务默认暂停，不重放旧生产任务</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配置与凭据</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独立配置文件、凭据命名和明确测试连接</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不改系统级默认值，不覆盖生产凭据项</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进程与后台服务</w:t>
            </w:r>
          </w:p>
        </w:tc>
        <w:tc>
          <w:tcPr>
            <w:tcW w:type="dxa" w:w="3742"/>
            <w:vAlign w:val="center"/>
            <w:tcMar>
              <w:top w:w="90" w:type="dxa"/>
              <w:bottom w:w="90" w:type="dxa"/>
              <w:left w:w="100" w:type="dxa"/>
              <w:right w:w="100" w:type="dxa"/>
            </w:tcMar>
          </w:tcPr>
          <w:p>
            <w:pPr>
              <w:keepNext w:val="0"/>
              <w:spacing w:after="0" w:line="264" w:lineRule="auto"/>
            </w:pPr>
            <w:r>
              <w:rPr>
                <w:b w:val="0"/>
                <w:sz w:val="20"/>
              </w:rPr>
              <w:t>独立实例 ID、日志、PID、服务与计划任务名</w:t>
            </w:r>
          </w:p>
        </w:tc>
        <w:tc>
          <w:tcPr>
            <w:tcW w:type="dxa" w:w="4082"/>
            <w:vAlign w:val="center"/>
            <w:tcMar>
              <w:top w:w="90" w:type="dxa"/>
              <w:bottom w:w="90" w:type="dxa"/>
              <w:left w:w="100" w:type="dxa"/>
              <w:right w:w="100" w:type="dxa"/>
            </w:tcMar>
          </w:tcPr>
          <w:p>
            <w:pPr>
              <w:keepNext w:val="0"/>
              <w:spacing w:after="0" w:line="264" w:lineRule="auto"/>
            </w:pPr>
            <w:r>
              <w:rPr>
                <w:b w:val="0"/>
                <w:sz w:val="20"/>
              </w:rPr>
              <w:t>停止脚本只管理新版进程，不按通用进程名杀进程</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EXE</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独立应用标识、用户目录、单实例锁、快捷方式与协议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日常 EXE 同时运行，配置、会话和更新源保持原样</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APK</w:t>
            </w:r>
          </w:p>
        </w:tc>
        <w:tc>
          <w:tcPr>
            <w:tcW w:type="dxa" w:w="3742"/>
            <w:vAlign w:val="center"/>
            <w:tcMar>
              <w:top w:w="90" w:type="dxa"/>
              <w:bottom w:w="90" w:type="dxa"/>
              <w:left w:w="100" w:type="dxa"/>
              <w:right w:w="100" w:type="dxa"/>
            </w:tcMar>
          </w:tcPr>
          <w:p>
            <w:pPr>
              <w:keepNext w:val="0"/>
              <w:spacing w:after="0" w:line="264" w:lineRule="auto"/>
            </w:pPr>
            <w:r>
              <w:rPr>
                <w:b w:val="0"/>
                <w:sz w:val="20"/>
              </w:rPr>
              <w:t>独立 applicationId 与 provider 等派生标识，名称清楚区分</w:t>
            </w:r>
          </w:p>
        </w:tc>
        <w:tc>
          <w:tcPr>
            <w:tcW w:type="dxa" w:w="4082"/>
            <w:vAlign w:val="center"/>
            <w:tcMar>
              <w:top w:w="90" w:type="dxa"/>
              <w:bottom w:w="90" w:type="dxa"/>
              <w:left w:w="100" w:type="dxa"/>
              <w:right w:w="100" w:type="dxa"/>
            </w:tcMar>
          </w:tcPr>
          <w:p>
            <w:pPr>
              <w:keepNext w:val="0"/>
              <w:spacing w:after="0" w:line="264" w:lineRule="auto"/>
            </w:pPr>
            <w:r>
              <w:rPr>
                <w:b w:val="0"/>
                <w:sz w:val="20"/>
              </w:rPr>
              <w:t>同设备可共存，不卸载、不覆盖、不清日常应用数据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Web 登录</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独立浏览器存储及会话 cookie 名称或独立主机名</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不能仅凭端口不同就假定 cookie 已隔离</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发布与升级</w:t>
            </w:r>
          </w:p>
        </w:tc>
        <w:tc>
          <w:tcPr>
            <w:tcW w:type="dxa" w:w="3742"/>
            <w:vAlign w:val="center"/>
            <w:tcMar>
              <w:top w:w="90" w:type="dxa"/>
              <w:bottom w:w="90" w:type="dxa"/>
              <w:left w:w="100" w:type="dxa"/>
              <w:right w:w="100" w:type="dxa"/>
            </w:tcMar>
          </w:tcPr>
          <w:p>
            <w:pPr>
              <w:keepNext w:val="0"/>
              <w:spacing w:after="0" w:line="264" w:lineRule="auto"/>
            </w:pPr>
            <w:r>
              <w:rPr>
                <w:b w:val="0"/>
                <w:sz w:val="20"/>
              </w:rPr>
              <w:t>独立下载目录、更新清单、版本通道和目标检查</w:t>
            </w:r>
          </w:p>
        </w:tc>
        <w:tc>
          <w:tcPr>
            <w:tcW w:type="dxa" w:w="4082"/>
            <w:vAlign w:val="center"/>
            <w:tcMar>
              <w:top w:w="90" w:type="dxa"/>
              <w:bottom w:w="90" w:type="dxa"/>
              <w:left w:w="100" w:type="dxa"/>
              <w:right w:w="100" w:type="dxa"/>
            </w:tcMar>
          </w:tcPr>
          <w:p>
            <w:pPr>
              <w:keepNext w:val="0"/>
              <w:spacing w:after="0" w:line="264" w:lineRule="auto"/>
            </w:pPr>
            <w:r>
              <w:rPr>
                <w:b w:val="0"/>
                <w:sz w:val="20"/>
              </w:rPr>
              <w:t>不覆盖生产安装包、下载地址、更新 manifest</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外部执行</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独立 Job、工作区、测试项目、上传前缀或频道</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不发布到生产 CDN 路径，不改真实订单和当前制作任务</w:t>
            </w:r>
          </w:p>
        </w:tc>
      </w:tr>
    </w:tbl>
    <w:p>
      <w:pPr>
        <w:spacing w:after="20"/>
      </w:pPr>
    </w:p>
    <w:p>
      <w:r>
        <w:t>Windows 还需核对应用用户模型 ID、通知跳转、自动更新安装位置和凭据存储键。Android 还需核对深链、文件提供者 authorities、后台任务和通知归属。两端打开通知、更新或附件时，不能启动旧版或回连生产 API。</w:t>
      </w:r>
    </w:p>
    <w:p>
      <w:r>
        <w:t>浏览器 cookie 不按端口区分，Web 页面即使换了端口也可能干扰旧登录。因此新版必须使用独立 cookie 名称或独立主机名；跨域、WebSocket、下载、MCP 和 CSRF 配置都明确指向新版服务。</w:t>
      </w:r>
    </w:p>
    <w:p>
      <w:pPr>
        <w:pStyle w:val="Heading2"/>
      </w:pPr>
      <w:r>
        <w:t>16 3 启动与停止必须可核对</w:t>
      </w:r>
    </w:p>
    <w:p>
      <w:r>
        <w:t>提供新版专用启动、停止、状态查看和日志入口，普通维护人员可以照说明手动操作。启动脚本输出实例名称、工作树、API/Web/MCP 地址及数据根目录，不输出凭据。没有明确填写新版配置时直接停止并提示，不能回退到生产默认配置。</w:t>
      </w:r>
    </w:p>
    <w:p>
      <w:r>
        <w:t>启动前解析真实绝对路径并检查数据库、附件、队列、备份、发布目录不落在已识别生产目录内；同时核对端口和服务名没有冲突。检查目录链接的最终指向。运行时继续保留实例标识，帮助日志和测试结果辨认环境。</w:t>
      </w:r>
    </w:p>
    <w:p>
      <w:r>
        <w:t>停止脚本只作用于本次实例创建并核对过的 PID、进程启动时间、命令行路径或独立服务名。新版启动失败、端口冲突、迁移失败时不得通过杀掉旧进程、改生产端口、借用生产目录或重启宿主机解决。</w:t>
      </w:r>
    </w:p>
    <w:p>
      <w:pPr>
        <w:pStyle w:val="Heading2"/>
      </w:pPr>
      <w:r>
        <w:t>16 4 数据副本与外部服务</w:t>
      </w:r>
    </w:p>
    <w:p>
      <w:r>
        <w:t>初始演练优先使用独立测试数据；需要验证历史兼容时，从生产取得一致性备份并在新版目录中恢复。数据副本要记录来源时间，但不建立新旧双向写入或自动同步。新版测试产生的 Bug、评论、状态与附件不回写生产。</w:t>
      </w:r>
    </w:p>
    <w:p>
      <w:r>
        <w:t>从生产复制的定时任务、上传命令、outbox 和外部连接默认禁止执行，待绑定独立测试目标后才启用。真实 Jenkins、上传器或 Relay 可以是现有平台上的专用测试 Job、项目和发布目录，但必须确保输入、工作区、输出、回调和任务关联都属于测试环境。</w:t>
      </w:r>
    </w:p>
    <w:p>
      <w:r>
        <w:t>先检查磁盘、CPU、内存及 Worker 是否有可用容量，再开展真实构建。使用保守并发上限，不抢占生产任务、不清理生产缓存。若共享硬件无法提供不影响日常工作的测试容量，继续其他功能制作并登记具体待验证项，待独立资源可用再执行；不能为了赶进度影响生产。</w:t>
      </w:r>
    </w:p>
    <w:p>
      <w:pPr>
        <w:pStyle w:val="Heading2"/>
      </w:pPr>
      <w:r>
        <w:t>16 5 并行运行的验收</w:t>
      </w:r>
    </w:p>
    <w:p>
      <w:r>
        <w:t>记录旧生产的分支与提交、运行路径、监听地址、配置及更新文件校验值和就绪状态。测试开始、关键任务前后、新版停止后分别只读核对旧生产可用性。生产人员正常操作会让业务数据变化，不以生产数据库哈希不变作为判定条件，而是检查新版没有连接或写入生产资源。</w:t>
      </w:r>
    </w:p>
    <w:p>
      <w:r>
        <w:t>至少完成新旧 EXE 同开、新旧 APK 共存、新旧 Web 登录互不覆盖、API 与 MCP 并行、独立更新演练以及新版异常退出后的旧版可用性检查。故障演练只针对新版进程和测试目录；不对生产注入错误，也不通过真实生产 Bug 写操作证明旧版健康。</w:t>
      </w:r>
    </w:p>
    <w:p>
      <w:r>
        <w:t>制作完成后保留独立运行入口、安装包、数据目录、日志和停止说明。新版故障的处置是停止或回退新版；现有工作继续使用旧入口。任何未来生产切换都需要单独安排数据合并、切换窗口和回退步骤，不属于本次完成条件。</w:t>
      </w:r>
    </w:p>
    <w:p>
      <w:pPr>
        <w:pStyle w:val="Heading1"/>
      </w:pPr>
      <w:r>
        <w:t>17 覆盖全部功能的真实端到端测试</w:t>
      </w:r>
    </w:p>
    <w:p>
      <w:pPr>
        <w:pStyle w:val="Heading2"/>
      </w:pPr>
      <w:r>
        <w:t>17 1 从功能清单逐项建立证据</w:t>
      </w:r>
    </w:p>
    <w:p>
      <w:r>
        <w:t>第 13 节的 24 个场景是最低验收基线，不能代替“全部功能点”。制作过程中盘点实际页面、按钮、业务动作、HTTP 路由、MCP 工具、组件任务和后台恢复能力，给每项分配测试编号，映射到文档要求和实际实现。</w:t>
      </w:r>
    </w:p>
    <w:p>
      <w:r>
        <w:t>测试矩阵至少记录功能、适用客户端、项目与人员、前置条件、真实操作步骤、预期结果、实际结果、证据位置和最终状态。APK、EXE、Web、HTTP API、服务端 MCP、EXE 本地 MCP 分别标记适用范围。多个入口共享实现仍要验证各自接入，不能只测其中一个就勾选全部。</w:t>
      </w:r>
    </w:p>
    <w:p>
      <w:pPr>
        <w:pStyle w:val="Heading2"/>
      </w:pPr>
      <w:r>
        <w:t>17 2 必须真实走通的功能组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功能组</w:t>
            </w:r>
          </w:p>
        </w:tc>
        <w:tc>
          <w:tcPr>
            <w:tcW w:type="dxa" w:w="3742"/>
            <w:vAlign w:val="center"/>
            <w:tcMar>
              <w:top w:w="90" w:type="dxa"/>
              <w:bottom w:w="90" w:type="dxa"/>
              <w:left w:w="100" w:type="dxa"/>
              <w:right w:w="100" w:type="dxa"/>
            </w:tcMar>
            <w:shd w:fill="DDEBF7"/>
          </w:tcPr>
          <w:p>
            <w:pPr>
              <w:keepNext/>
              <w:spacing w:after="0" w:line="264" w:lineRule="auto"/>
            </w:pPr>
            <w:r>
              <w:rPr>
                <w:b/>
                <w:sz w:val="20"/>
              </w:rPr>
              <w:t>真实操作内容</w:t>
            </w:r>
          </w:p>
        </w:tc>
        <w:tc>
          <w:tcPr>
            <w:tcW w:type="dxa" w:w="4082"/>
            <w:vAlign w:val="center"/>
            <w:tcMar>
              <w:top w:w="90" w:type="dxa"/>
              <w:bottom w:w="90" w:type="dxa"/>
              <w:left w:w="100" w:type="dxa"/>
              <w:right w:w="100" w:type="dxa"/>
            </w:tcMar>
            <w:shd w:fill="DDEBF7"/>
          </w:tcPr>
          <w:p>
            <w:pPr>
              <w:keepNext/>
              <w:spacing w:after="0" w:line="264" w:lineRule="auto"/>
            </w:pPr>
            <w:r>
              <w:rPr>
                <w:b/>
                <w:sz w:val="20"/>
              </w:rPr>
              <w:t>结果证据</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项目与人员</w:t>
            </w:r>
          </w:p>
        </w:tc>
        <w:tc>
          <w:tcPr>
            <w:tcW w:type="dxa" w:w="3742"/>
            <w:vAlign w:val="center"/>
            <w:tcMar>
              <w:top w:w="90" w:type="dxa"/>
              <w:bottom w:w="90" w:type="dxa"/>
              <w:left w:w="100" w:type="dxa"/>
              <w:right w:w="100" w:type="dxa"/>
            </w:tcMar>
          </w:tcPr>
          <w:p>
            <w:pPr>
              <w:keepNext w:val="0"/>
              <w:spacing w:after="0" w:line="264" w:lineRule="auto"/>
            </w:pPr>
            <w:r>
              <w:rPr>
                <w:b w:val="0"/>
                <w:sz w:val="20"/>
              </w:rPr>
              <w:t>GM 建项目、分配、姓名登录、切换、关联、停用和恢复</w:t>
            </w:r>
          </w:p>
        </w:tc>
        <w:tc>
          <w:tcPr>
            <w:tcW w:type="dxa" w:w="4082"/>
            <w:vAlign w:val="center"/>
            <w:tcMar>
              <w:top w:w="90" w:type="dxa"/>
              <w:bottom w:w="90" w:type="dxa"/>
              <w:left w:w="100" w:type="dxa"/>
              <w:right w:w="100" w:type="dxa"/>
            </w:tcMar>
          </w:tcPr>
          <w:p>
            <w:pPr>
              <w:keepNext w:val="0"/>
              <w:spacing w:after="0" w:line="264" w:lineRule="auto"/>
            </w:pPr>
            <w:r>
              <w:rPr>
                <w:b w:val="0"/>
                <w:sz w:val="20"/>
              </w:rPr>
              <w:t>客户端画面、接口结果、实际人员与项目关系</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Bug 全流程</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创建编辑、指派、筛选、评论、附件、开始修复、提交、人工完成、验收、退回、关闭、删除</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实际状态与版本变化、事件、附件下载及列表结果</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API 与 MCP</w:t>
            </w:r>
          </w:p>
        </w:tc>
        <w:tc>
          <w:tcPr>
            <w:tcW w:type="dxa" w:w="3742"/>
            <w:vAlign w:val="center"/>
            <w:tcMar>
              <w:top w:w="90" w:type="dxa"/>
              <w:bottom w:w="90" w:type="dxa"/>
              <w:left w:w="100" w:type="dxa"/>
              <w:right w:w="100" w:type="dxa"/>
            </w:tcMar>
          </w:tcPr>
          <w:p>
            <w:pPr>
              <w:keepNext w:val="0"/>
              <w:spacing w:after="0" w:line="264" w:lineRule="auto"/>
            </w:pPr>
            <w:r>
              <w:rPr>
                <w:b w:val="0"/>
                <w:sz w:val="20"/>
              </w:rPr>
              <w:t>真实连接、登录、列表、详情、写入、状态动作、上传下载及错误</w:t>
            </w:r>
          </w:p>
        </w:tc>
        <w:tc>
          <w:tcPr>
            <w:tcW w:type="dxa" w:w="4082"/>
            <w:vAlign w:val="center"/>
            <w:tcMar>
              <w:top w:w="90" w:type="dxa"/>
              <w:bottom w:w="90" w:type="dxa"/>
              <w:left w:w="100" w:type="dxa"/>
              <w:right w:w="100" w:type="dxa"/>
            </w:tcMar>
          </w:tcPr>
          <w:p>
            <w:pPr>
              <w:keepNext w:val="0"/>
              <w:spacing w:after="0" w:line="264" w:lineRule="auto"/>
            </w:pPr>
            <w:r>
              <w:rPr>
                <w:b w:val="0"/>
                <w:sz w:val="20"/>
              </w:rPr>
              <w:t>请求响应记录、业务读回、接口与工具覆盖表</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打包与单次上传</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从 APK 和 EXE 发起各自测试任务，等待构建和上传完成</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外部任务 ID、最终产物、哈希、上传目标与下载核对</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增量上传</w:t>
            </w:r>
          </w:p>
        </w:tc>
        <w:tc>
          <w:tcPr>
            <w:tcW w:type="dxa" w:w="3742"/>
            <w:vAlign w:val="center"/>
            <w:tcMar>
              <w:top w:w="90" w:type="dxa"/>
              <w:bottom w:w="90" w:type="dxa"/>
              <w:left w:w="100" w:type="dxa"/>
              <w:right w:w="100" w:type="dxa"/>
            </w:tcMar>
          </w:tcPr>
          <w:p>
            <w:pPr>
              <w:keepNext w:val="0"/>
              <w:spacing w:after="0" w:line="264" w:lineRule="auto"/>
            </w:pPr>
            <w:r>
              <w:rPr>
                <w:b w:val="0"/>
                <w:sz w:val="20"/>
              </w:rPr>
              <w:t>实际测试产物上传、进度、失败重试、允许的取消与恢复</w:t>
            </w:r>
          </w:p>
        </w:tc>
        <w:tc>
          <w:tcPr>
            <w:tcW w:type="dxa" w:w="4082"/>
            <w:vAlign w:val="center"/>
            <w:tcMar>
              <w:top w:w="90" w:type="dxa"/>
              <w:bottom w:w="90" w:type="dxa"/>
              <w:left w:w="100" w:type="dxa"/>
              <w:right w:w="100" w:type="dxa"/>
            </w:tcMar>
          </w:tcPr>
          <w:p>
            <w:pPr>
              <w:keepNext w:val="0"/>
              <w:spacing w:after="0" w:line="264" w:lineRule="auto"/>
            </w:pPr>
            <w:r>
              <w:rPr>
                <w:b w:val="0"/>
                <w:sz w:val="20"/>
              </w:rPr>
              <w:t>真实队列记录、最终文件与目标位置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Relay 制作</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项目任务列表、创建、继续、动作、批次、附件及支持的重试</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独立测试任务结果、回调归属和持久记录</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第三方同步</w:t>
            </w:r>
          </w:p>
        </w:tc>
        <w:tc>
          <w:tcPr>
            <w:tcW w:type="dxa" w:w="3742"/>
            <w:vAlign w:val="center"/>
            <w:tcMar>
              <w:top w:w="90" w:type="dxa"/>
              <w:bottom w:w="90" w:type="dxa"/>
              <w:left w:w="100" w:type="dxa"/>
              <w:right w:w="100" w:type="dxa"/>
            </w:tcMar>
          </w:tcPr>
          <w:p>
            <w:pPr>
              <w:keepNext w:val="0"/>
              <w:spacing w:after="0" w:line="264" w:lineRule="auto"/>
            </w:pPr>
            <w:r>
              <w:rPr>
                <w:b w:val="0"/>
                <w:sz w:val="20"/>
              </w:rPr>
              <w:t>测试订单的查询、关联、状态同步及失败重试</w:t>
            </w:r>
          </w:p>
        </w:tc>
        <w:tc>
          <w:tcPr>
            <w:tcW w:type="dxa" w:w="4082"/>
            <w:vAlign w:val="center"/>
            <w:tcMar>
              <w:top w:w="90" w:type="dxa"/>
              <w:bottom w:w="90" w:type="dxa"/>
              <w:left w:w="100" w:type="dxa"/>
              <w:right w:w="100" w:type="dxa"/>
            </w:tcMar>
          </w:tcPr>
          <w:p>
            <w:pPr>
              <w:keepNext w:val="0"/>
              <w:spacing w:after="0" w:line="264" w:lineRule="auto"/>
            </w:pPr>
            <w:r>
              <w:rPr>
                <w:b w:val="0"/>
                <w:sz w:val="20"/>
              </w:rPr>
              <w:t>第三方测试结果与本地操作不被阻塞的证据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组件设置</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按项目开关、依赖、缺配置、运行中停用和历史查询</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菜单与调用结果、任务是否按规则执行</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持久化与升级</w:t>
            </w:r>
          </w:p>
        </w:tc>
        <w:tc>
          <w:tcPr>
            <w:tcW w:type="dxa" w:w="3742"/>
            <w:vAlign w:val="center"/>
            <w:tcMar>
              <w:top w:w="90" w:type="dxa"/>
              <w:bottom w:w="90" w:type="dxa"/>
              <w:left w:w="100" w:type="dxa"/>
              <w:right w:w="100" w:type="dxa"/>
            </w:tcMar>
          </w:tcPr>
          <w:p>
            <w:pPr>
              <w:keepNext w:val="0"/>
              <w:spacing w:after="0" w:line="264" w:lineRule="auto"/>
            </w:pPr>
            <w:r>
              <w:rPr>
                <w:b w:val="0"/>
                <w:sz w:val="20"/>
              </w:rPr>
              <w:t>新版服务重启、客户端重启、草稿、未传证据、复制库迁移与回退</w:t>
            </w:r>
          </w:p>
        </w:tc>
        <w:tc>
          <w:tcPr>
            <w:tcW w:type="dxa" w:w="4082"/>
            <w:vAlign w:val="center"/>
            <w:tcMar>
              <w:top w:w="90" w:type="dxa"/>
              <w:bottom w:w="90" w:type="dxa"/>
              <w:left w:w="100" w:type="dxa"/>
              <w:right w:w="100" w:type="dxa"/>
            </w:tcMar>
          </w:tcPr>
          <w:p>
            <w:pPr>
              <w:keepNext w:val="0"/>
              <w:spacing w:after="0" w:line="264" w:lineRule="auto"/>
            </w:pPr>
            <w:r>
              <w:rPr>
                <w:b w:val="0"/>
                <w:sz w:val="20"/>
              </w:rPr>
              <w:t>重启前后结果、独立安装升级及恢复记录</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新旧共存</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同开、独立登录、独立更新、新版异常及停止</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新旧实例标识、旧生产只读健康记录与操作画面</w:t>
            </w:r>
          </w:p>
        </w:tc>
      </w:tr>
    </w:tbl>
    <w:p>
      <w:pPr>
        <w:spacing w:after="20"/>
      </w:pPr>
    </w:p>
    <w:p>
      <w:r>
        <w:t>状态动作按实际支持的全部状态及合法转换逐项验证，并覆盖错误项目、无所属关系、旧版本、重复提交、记录已删除和组件已关闭等异常输入。对真实外部任务只使用独立测试记录，不处理同名或相似的生产任务。</w:t>
      </w:r>
    </w:p>
    <w:p>
      <w:pPr>
        <w:pStyle w:val="Heading2"/>
      </w:pPr>
      <w:r>
        <w:t>17 3 真实操作与完成判定</w:t>
      </w:r>
    </w:p>
    <w:p>
      <w:r>
        <w:t>使用实际可安装包进行 Windows 客户端操作和 Android 设备操作；Android 可先用模拟器开发验证，最终还需实际设备验证适用的取证、文件与升级行为。浏览器自动化、客户端 UI 自动化和 API 脚本可以辅助执行，但必须点击或调用真实运行中的产品并读回实际结果。</w:t>
      </w:r>
    </w:p>
    <w:p>
      <w:r>
        <w:t>单元测试、mock 返回、界面截图、监听端口存在、任务进入队列和构建命令退出成功都不能单独算作端到端通过。构建上传需验证最终文件及目标，Relay 需核对真实任务结果，Bug 操作需读回状态与事件；不得以 assume-success 或伪造产物代替完成证据。</w:t>
      </w:r>
    </w:p>
    <w:p>
      <w:r>
        <w:t>没有可用测试设备、外部测试账号、独立执行器或其他依赖时，准确记录缺什么、影响哪些功能、已完成什么以及继续所需条件。通过、失败、未执行和不适用必须分开；用户要求的功能不能因为实现困难被自行归为不适用。任何必测功能失败或未执行，都不能宣称全部完成或将目标标记为已达成。</w:t>
      </w:r>
    </w:p>
    <w:p>
      <w:r>
        <w:t>修复测试发现的问题后，重跑受影响场景及相关主流程。交付报告应包含需求到测试的覆盖矩阵、真实步骤与证据索引、安装包与提交标识、独立运行操作说明，以及旧生产未受本次操作干扰的核对结果。保留测试数据、任务日志和产物，便于用户复查。</w:t>
      </w:r>
    </w:p>
    <w:p>
      <w:pPr>
        <w:pStyle w:val="Heading1"/>
      </w:pPr>
      <w:r>
        <w:t>附录 源码核对索引</w:t>
      </w:r>
    </w:p>
    <w:p>
      <w:r>
        <w:t>以下为本次设计所依据的代码定位点，使用文件与符号便于后续实现时搜索。未列出的行为仍需在开发阶段补充完整回归。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912"/>
        <w:gridCol w:w="3345"/>
      </w:tblGrid>
      <w:tr>
        <w:trPr>
          <w:cantSplit/>
          <w:tblHeader/>
        </w:trPr>
        <w:tc>
          <w:tcPr>
            <w:tcW w:type="dxa" w:w="2381"/>
            <w:vAlign w:val="center"/>
            <w:tcMar>
              <w:top w:w="90" w:type="dxa"/>
              <w:bottom w:w="90" w:type="dxa"/>
              <w:left w:w="100" w:type="dxa"/>
              <w:right w:w="100" w:type="dxa"/>
            </w:tcMar>
            <w:shd w:fill="DDEBF7"/>
          </w:tcPr>
          <w:p>
            <w:pPr>
              <w:keepNext/>
              <w:spacing w:after="0" w:line="264" w:lineRule="auto"/>
            </w:pPr>
            <w:r>
              <w:rPr>
                <w:b/>
                <w:sz w:val="20"/>
              </w:rPr>
              <w:t>主题</w:t>
            </w:r>
          </w:p>
        </w:tc>
        <w:tc>
          <w:tcPr>
            <w:tcW w:type="dxa" w:w="3912"/>
            <w:vAlign w:val="center"/>
            <w:tcMar>
              <w:top w:w="90" w:type="dxa"/>
              <w:bottom w:w="90" w:type="dxa"/>
              <w:left w:w="100" w:type="dxa"/>
              <w:right w:w="100" w:type="dxa"/>
            </w:tcMar>
            <w:shd w:fill="DDEBF7"/>
          </w:tcPr>
          <w:p>
            <w:pPr>
              <w:keepNext/>
              <w:spacing w:after="0" w:line="264" w:lineRule="auto"/>
            </w:pPr>
            <w:r>
              <w:rPr>
                <w:b/>
                <w:sz w:val="20"/>
              </w:rPr>
              <w:t>代码证据</w:t>
            </w:r>
          </w:p>
        </w:tc>
        <w:tc>
          <w:tcPr>
            <w:tcW w:type="dxa" w:w="3345"/>
            <w:vAlign w:val="center"/>
            <w:tcMar>
              <w:top w:w="90" w:type="dxa"/>
              <w:bottom w:w="90" w:type="dxa"/>
              <w:left w:w="100" w:type="dxa"/>
              <w:right w:w="100" w:type="dxa"/>
            </w:tcMar>
            <w:shd w:fill="DDEBF7"/>
          </w:tcPr>
          <w:p>
            <w:pPr>
              <w:keepNext/>
              <w:spacing w:after="0" w:line="264" w:lineRule="auto"/>
            </w:pPr>
            <w:r>
              <w:rPr>
                <w:b/>
                <w:sz w:val="20"/>
              </w:rPr>
              <w:t>设计依据</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既有项目与人员关系</w:t>
            </w:r>
          </w:p>
        </w:tc>
        <w:tc>
          <w:tcPr>
            <w:tcW w:type="dxa" w:w="3912"/>
            <w:vAlign w:val="center"/>
            <w:tcMar>
              <w:top w:w="90" w:type="dxa"/>
              <w:bottom w:w="90" w:type="dxa"/>
              <w:left w:w="100" w:type="dxa"/>
              <w:right w:w="100" w:type="dxa"/>
            </w:tcMar>
          </w:tcPr>
          <w:p>
            <w:pPr>
              <w:keepNext w:val="0"/>
              <w:spacing w:after="0" w:line="264" w:lineRule="auto"/>
            </w:pPr>
            <w:r>
              <w:rPr>
                <w:b w:val="0"/>
                <w:sz w:val="20"/>
              </w:rPr>
              <w:t>sqlite-migrations.ts 中 accounts、users、projects、memberships、membership_roles</w:t>
            </w:r>
          </w:p>
        </w:tc>
        <w:tc>
          <w:tcPr>
            <w:tcW w:type="dxa" w:w="3345"/>
            <w:vAlign w:val="center"/>
            <w:tcMar>
              <w:top w:w="90" w:type="dxa"/>
              <w:bottom w:w="90" w:type="dxa"/>
              <w:left w:w="100" w:type="dxa"/>
              <w:right w:w="100" w:type="dxa"/>
            </w:tcMar>
          </w:tcPr>
          <w:p>
            <w:pPr>
              <w:keepNext w:val="0"/>
              <w:spacing w:after="0" w:line="264" w:lineRule="auto"/>
            </w:pPr>
            <w:r>
              <w:rPr>
                <w:b w:val="0"/>
                <w:sz w:val="20"/>
              </w:rPr>
              <w:t>可以复用项目一级关系，不必增加工作室层</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固定项目入口</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main.ts 中 MOBILE_SCOPE 及各 SQLite store 装配</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需要解除固定项目运行假设</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可见项目列表</w:t>
            </w:r>
          </w:p>
        </w:tc>
        <w:tc>
          <w:tcPr>
            <w:tcW w:type="dxa" w:w="3912"/>
            <w:vAlign w:val="center"/>
            <w:tcMar>
              <w:top w:w="90" w:type="dxa"/>
              <w:bottom w:w="90" w:type="dxa"/>
              <w:left w:w="100" w:type="dxa"/>
              <w:right w:w="100" w:type="dxa"/>
            </w:tcMar>
          </w:tcPr>
          <w:p>
            <w:pPr>
              <w:keepNext w:val="0"/>
              <w:spacing w:after="0" w:line="264" w:lineRule="auto"/>
            </w:pPr>
            <w:r>
              <w:rPr>
                <w:b w:val="0"/>
                <w:sz w:val="20"/>
              </w:rPr>
              <w:t>mobile-project-directory-store.ts 中 listMobileVisibleProjects</w:t>
            </w:r>
          </w:p>
        </w:tc>
        <w:tc>
          <w:tcPr>
            <w:tcW w:type="dxa" w:w="3345"/>
            <w:vAlign w:val="center"/>
            <w:tcMar>
              <w:top w:w="90" w:type="dxa"/>
              <w:bottom w:w="90" w:type="dxa"/>
              <w:left w:w="100" w:type="dxa"/>
              <w:right w:w="100" w:type="dxa"/>
            </w:tcMar>
          </w:tcPr>
          <w:p>
            <w:pPr>
              <w:keepNext w:val="0"/>
              <w:spacing w:after="0" w:line="264" w:lineRule="auto"/>
            </w:pPr>
            <w:r>
              <w:rPr>
                <w:b w:val="0"/>
                <w:sz w:val="20"/>
              </w:rPr>
              <w:t>已有按有效成员关系查询的基础</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姓名登录与 ID</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browser-auth.ts 登录处理；people-config.ts 中 qaLoginEmail、qaUserId</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保留姓名习惯和稳定历史 ID</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项目人员管理</w:t>
            </w:r>
          </w:p>
        </w:tc>
        <w:tc>
          <w:tcPr>
            <w:tcW w:type="dxa" w:w="3912"/>
            <w:vAlign w:val="center"/>
            <w:tcMar>
              <w:top w:w="90" w:type="dxa"/>
              <w:bottom w:w="90" w:type="dxa"/>
              <w:left w:w="100" w:type="dxa"/>
              <w:right w:w="100" w:type="dxa"/>
            </w:tcMar>
          </w:tcPr>
          <w:p>
            <w:pPr>
              <w:keepNext w:val="0"/>
              <w:spacing w:after="0" w:line="264" w:lineRule="auto"/>
            </w:pPr>
            <w:r>
              <w:rPr>
                <w:b w:val="0"/>
                <w:sz w:val="20"/>
              </w:rPr>
              <w:t>mobile-user-management.ts 中 users、identity-link 等路由</w:t>
            </w:r>
          </w:p>
        </w:tc>
        <w:tc>
          <w:tcPr>
            <w:tcW w:type="dxa" w:w="3345"/>
            <w:vAlign w:val="center"/>
            <w:tcMar>
              <w:top w:w="90" w:type="dxa"/>
              <w:bottom w:w="90" w:type="dxa"/>
              <w:left w:w="100" w:type="dxa"/>
              <w:right w:w="100" w:type="dxa"/>
            </w:tcMar>
          </w:tcPr>
          <w:p>
            <w:pPr>
              <w:keepNext w:val="0"/>
              <w:spacing w:after="0" w:line="264" w:lineRule="auto"/>
            </w:pPr>
            <w:r>
              <w:rPr>
                <w:b w:val="0"/>
                <w:sz w:val="20"/>
              </w:rPr>
              <w:t>维持当前交互，限定修改的项目关系</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MCP Bug 工具</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apps/desktop/src/mcp-api.ts 中工具定义</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有查询和修复工具，需补全创建与状态动作</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MCP 运行入口</w:t>
            </w:r>
          </w:p>
        </w:tc>
        <w:tc>
          <w:tcPr>
            <w:tcW w:type="dxa" w:w="3912"/>
            <w:vAlign w:val="center"/>
            <w:tcMar>
              <w:top w:w="90" w:type="dxa"/>
              <w:bottom w:w="90" w:type="dxa"/>
              <w:left w:w="100" w:type="dxa"/>
              <w:right w:w="100" w:type="dxa"/>
            </w:tcMar>
          </w:tcPr>
          <w:p>
            <w:pPr>
              <w:keepNext w:val="0"/>
              <w:spacing w:after="0" w:line="264" w:lineRule="auto"/>
            </w:pPr>
            <w:r>
              <w:rPr>
                <w:b w:val="0"/>
                <w:sz w:val="20"/>
              </w:rPr>
              <w:t>apps/desktop/src/mcp-server.ts 中 loopback 启动</w:t>
            </w:r>
          </w:p>
        </w:tc>
        <w:tc>
          <w:tcPr>
            <w:tcW w:type="dxa" w:w="3345"/>
            <w:vAlign w:val="center"/>
            <w:tcMar>
              <w:top w:w="90" w:type="dxa"/>
              <w:bottom w:w="90" w:type="dxa"/>
              <w:left w:w="100" w:type="dxa"/>
              <w:right w:w="100" w:type="dxa"/>
            </w:tcMar>
          </w:tcPr>
          <w:p>
            <w:pPr>
              <w:keepNext w:val="0"/>
              <w:spacing w:after="0" w:line="264" w:lineRule="auto"/>
            </w:pPr>
            <w:r>
              <w:rPr>
                <w:b w:val="0"/>
                <w:sz w:val="20"/>
              </w:rPr>
              <w:t>当前本地入口不能代替独立远端服务</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Relay 工具</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apps/desktop/src/mcp-production.ts 中制作与批次工具</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应随 Relay 组件按项目启用</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固定打包配置</w:t>
            </w:r>
          </w:p>
        </w:tc>
        <w:tc>
          <w:tcPr>
            <w:tcW w:type="dxa" w:w="3912"/>
            <w:vAlign w:val="center"/>
            <w:tcMar>
              <w:top w:w="90" w:type="dxa"/>
              <w:bottom w:w="90" w:type="dxa"/>
              <w:left w:w="100" w:type="dxa"/>
              <w:right w:w="100" w:type="dxa"/>
            </w:tcMar>
          </w:tcPr>
          <w:p>
            <w:pPr>
              <w:keepNext w:val="0"/>
              <w:spacing w:after="0" w:line="264" w:lineRule="auto"/>
            </w:pPr>
            <w:r>
              <w:rPr>
                <w:b w:val="0"/>
                <w:sz w:val="20"/>
              </w:rPr>
              <w:t>jenkins-builds.ts；app.ts 中 JenkinsBuildService</w:t>
            </w:r>
          </w:p>
        </w:tc>
        <w:tc>
          <w:tcPr>
            <w:tcW w:type="dxa" w:w="3345"/>
            <w:vAlign w:val="center"/>
            <w:tcMar>
              <w:top w:w="90" w:type="dxa"/>
              <w:bottom w:w="90" w:type="dxa"/>
              <w:left w:w="100" w:type="dxa"/>
              <w:right w:w="100" w:type="dxa"/>
            </w:tcMar>
          </w:tcPr>
          <w:p>
            <w:pPr>
              <w:keepNext w:val="0"/>
              <w:spacing w:after="0" w:line="264" w:lineRule="auto"/>
            </w:pPr>
            <w:r>
              <w:rPr>
                <w:b w:val="0"/>
                <w:sz w:val="20"/>
              </w:rPr>
              <w:t>需要项目化配置与组件注册</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上传任务归属</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increment-upload.ts 中 upload_commands、snapshot、buildChains</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队列和历史必须补充项目维度</w:t>
            </w:r>
          </w:p>
        </w:tc>
      </w:tr>
      <w:tr>
        <w:trPr>
          <w:cantSplit/>
        </w:trPr>
        <w:tc>
          <w:tcPr>
            <w:tcW w:type="dxa" w:w="2381"/>
            <w:vAlign w:val="center"/>
            <w:tcMar>
              <w:top w:w="90" w:type="dxa"/>
              <w:bottom w:w="90" w:type="dxa"/>
              <w:left w:w="100" w:type="dxa"/>
              <w:right w:w="100" w:type="dxa"/>
            </w:tcMar>
          </w:tcPr>
          <w:p>
            <w:pPr>
              <w:keepNext w:val="0"/>
              <w:spacing w:after="0" w:line="264" w:lineRule="auto"/>
            </w:pPr>
            <w:r>
              <w:rPr>
                <w:b w:val="0"/>
                <w:sz w:val="20"/>
              </w:rPr>
              <w:t>端侧缓存</w:t>
            </w:r>
          </w:p>
        </w:tc>
        <w:tc>
          <w:tcPr>
            <w:tcW w:type="dxa" w:w="3912"/>
            <w:vAlign w:val="center"/>
            <w:tcMar>
              <w:top w:w="90" w:type="dxa"/>
              <w:bottom w:w="90" w:type="dxa"/>
              <w:left w:w="100" w:type="dxa"/>
              <w:right w:w="100" w:type="dxa"/>
            </w:tcMar>
          </w:tcPr>
          <w:p>
            <w:pPr>
              <w:keepNext w:val="0"/>
              <w:spacing w:after="0" w:line="264" w:lineRule="auto"/>
            </w:pPr>
            <w:r>
              <w:rPr>
                <w:b w:val="0"/>
                <w:sz w:val="20"/>
              </w:rPr>
              <w:t>Web 上传草稿键；Android BugDraftPreferences.kt</w:t>
            </w:r>
          </w:p>
        </w:tc>
        <w:tc>
          <w:tcPr>
            <w:tcW w:type="dxa" w:w="3345"/>
            <w:vAlign w:val="center"/>
            <w:tcMar>
              <w:top w:w="90" w:type="dxa"/>
              <w:bottom w:w="90" w:type="dxa"/>
              <w:left w:w="100" w:type="dxa"/>
              <w:right w:w="100" w:type="dxa"/>
            </w:tcMar>
          </w:tcPr>
          <w:p>
            <w:pPr>
              <w:keepNext w:val="0"/>
              <w:spacing w:after="0" w:line="264" w:lineRule="auto"/>
            </w:pPr>
            <w:r>
              <w:rPr>
                <w:b w:val="0"/>
                <w:sz w:val="20"/>
              </w:rPr>
              <w:t>仅按用户保存的内容可能跨项目混用</w:t>
            </w:r>
          </w:p>
        </w:tc>
      </w:tr>
      <w:tr>
        <w:trPr>
          <w:cantSplit/>
        </w:trPr>
        <w:tc>
          <w:tcPr>
            <w:tcW w:type="dxa" w:w="2381"/>
            <w:vAlign w:val="center"/>
            <w:tcMar>
              <w:top w:w="90" w:type="dxa"/>
              <w:bottom w:w="90" w:type="dxa"/>
              <w:left w:w="100" w:type="dxa"/>
              <w:right w:w="100" w:type="dxa"/>
            </w:tcMar>
            <w:shd w:fill="F5F7FA"/>
          </w:tcPr>
          <w:p>
            <w:pPr>
              <w:keepNext w:val="0"/>
              <w:spacing w:after="0" w:line="264" w:lineRule="auto"/>
            </w:pPr>
            <w:r>
              <w:rPr>
                <w:b w:val="0"/>
                <w:sz w:val="20"/>
              </w:rPr>
              <w:t>Android 基础</w:t>
            </w:r>
          </w:p>
        </w:tc>
        <w:tc>
          <w:tcPr>
            <w:tcW w:type="dxa" w:w="3912"/>
            <w:vAlign w:val="center"/>
            <w:tcMar>
              <w:top w:w="90" w:type="dxa"/>
              <w:bottom w:w="90" w:type="dxa"/>
              <w:left w:w="100" w:type="dxa"/>
              <w:right w:w="100" w:type="dxa"/>
            </w:tcMar>
            <w:shd w:fill="F5F7FA"/>
          </w:tcPr>
          <w:p>
            <w:pPr>
              <w:keepNext w:val="0"/>
              <w:spacing w:after="0" w:line="264" w:lineRule="auto"/>
            </w:pPr>
            <w:r>
              <w:rPr>
                <w:b w:val="0"/>
                <w:sz w:val="20"/>
              </w:rPr>
              <w:t>ScopedRepository.kt 中项目与人员上下文</w:t>
            </w:r>
          </w:p>
        </w:tc>
        <w:tc>
          <w:tcPr>
            <w:tcW w:type="dxa" w:w="3345"/>
            <w:vAlign w:val="center"/>
            <w:tcMar>
              <w:top w:w="90" w:type="dxa"/>
              <w:bottom w:w="90" w:type="dxa"/>
              <w:left w:w="100" w:type="dxa"/>
              <w:right w:w="100" w:type="dxa"/>
            </w:tcMar>
            <w:shd w:fill="F5F7FA"/>
          </w:tcPr>
          <w:p>
            <w:pPr>
              <w:keepNext w:val="0"/>
              <w:spacing w:after="0" w:line="264" w:lineRule="auto"/>
            </w:pPr>
            <w:r>
              <w:rPr>
                <w:b w:val="0"/>
                <w:sz w:val="20"/>
              </w:rPr>
              <w:t>有可复用结构，仍需完整页面和升级验证</w:t>
            </w:r>
          </w:p>
        </w:tc>
      </w:tr>
    </w:tbl>
    <w:p>
      <w:pPr>
        <w:spacing w:after="20"/>
      </w:pP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2026 年 9 月 9 日   ·   </w:t>
    </w:r>
    <w:fldSimple w:instr="PAGE"/>
    <w:r>
      <w:rPr>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QA Hub 项目制与组件化改造方案  |  版本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Microsoft YaHei" w:hAnsi="Microsoft YaHei" w:eastAsia="Microsoft YaHei" w:cs="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cs="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Microsoft YaHei" w:hAnsi="Microsoft YaHei" w:eastAsia="Microsoft YaHei" w:cs="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00" w:lineRule="auto"/>
    </w:pPr>
    <w:rPr>
      <w:rFonts w:ascii="Microsoft YaHei" w:hAnsi="Microsoft YaHei" w:eastAsia="Microsoft YaHei" w:cs="Microsoft YaHei"/>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00" w:lineRule="auto" w:after="120"/>
      <w:contextualSpacing/>
    </w:pPr>
    <w:rPr>
      <w:rFonts w:ascii="Microsoft YaHei" w:hAnsi="Microsoft YaHei" w:eastAsia="Microsoft YaHei" w:cs="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00" w:lineRule="auto" w:after="120"/>
      <w:contextualSpacing/>
    </w:pPr>
    <w:rPr>
      <w:rFonts w:ascii="Microsoft YaHei" w:hAnsi="Microsoft YaHei" w:eastAsia="Microsoft YaHei" w:cs="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Hub 项目制与组件化改造方案</dc:title>
  <dc:subject>项目姓名登录 Bug 基础管理 可选组件 HTTP API 与 MCP APK 与 EXE 同步兼容</dc:subject>
  <dc:creator>Codex</dc:creator>
  <cp:keywords/>
  <dc:description>Based on source review at 62b4495c9b28dc3aea1d5633e870be4e1fdf841f; proposal only.</dc:description>
  <cp:lastModifiedBy/>
  <cp:revision>1</cp:revision>
  <dcterms:created xsi:type="dcterms:W3CDTF">2013-12-23T23:15:00Z</dcterms:created>
  <dcterms:modified xsi:type="dcterms:W3CDTF">2013-12-23T23:15:00Z</dcterms:modified>
  <cp:category/>
</cp:coreProperties>
</file>