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8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120"/>
        <w:gridCol w:w="2698"/>
        <w:gridCol w:w="2122"/>
      </w:tblGrid>
      <w:tr>
        <w:tc>
          <w:tcPr>
            <w:tcW w:type="dxa" w:w="2698"/>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b/>
                <w:bCs/>
                <w:color w:val="1A1A2E"/>
                <w:sz w:val="18"/>
                <w:szCs w:val="18"/>
              </w:rPr>
              <w:t xml:space="preserve">Issued to:</w:t>
            </w:r>
          </w:p>
        </w:tc>
        <w:tc>
          <w:tcPr>
            <w:tcW w:type="dxa" w:w="212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8"/>
                <w:szCs w:val="18"/>
              </w:rPr>
              <w:t xml:space="preserve">[Contact TBC]</w:t>
            </w:r>
          </w:p>
        </w:tc>
        <w:tc>
          <w:tcPr>
            <w:tcW w:type="dxa" w:w="2698"/>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b/>
                <w:bCs/>
                <w:color w:val="1A1A2E"/>
                <w:sz w:val="18"/>
                <w:szCs w:val="18"/>
              </w:rPr>
              <w:t xml:space="preserve">Date:</w:t>
            </w:r>
          </w:p>
        </w:tc>
        <w:tc>
          <w:tcPr>
            <w:tcW w:type="dxa" w:w="2122"/>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8"/>
                <w:szCs w:val="18"/>
              </w:rPr>
              <w:t xml:space="preserve">2 June 2026</w:t>
            </w:r>
          </w:p>
        </w:tc>
      </w:tr>
      <w:tr>
        <w:tc>
          <w:tcPr>
            <w:tcW w:type="dxa" w:w="2698"/>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b/>
                <w:bCs/>
                <w:color w:val="1A1A2E"/>
                <w:sz w:val="18"/>
                <w:szCs w:val="18"/>
              </w:rPr>
              <w:t xml:space="preserve">Sales:</w:t>
            </w:r>
          </w:p>
        </w:tc>
        <w:tc>
          <w:tcPr>
            <w:tcW w:type="dxa" w:w="212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8"/>
                <w:szCs w:val="18"/>
              </w:rPr>
              <w:t xml:space="preserve">Dan Brownsword 07442399616</w:t>
            </w:r>
          </w:p>
        </w:tc>
        <w:tc>
          <w:tcPr>
            <w:tcW w:type="dxa" w:w="2698"/>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b/>
                <w:bCs/>
                <w:color w:val="1A1A2E"/>
                <w:sz w:val="18"/>
                <w:szCs w:val="18"/>
              </w:rPr>
              <w:t xml:space="preserve">Estimator:</w:t>
            </w:r>
          </w:p>
        </w:tc>
        <w:tc>
          <w:tcPr>
            <w:tcW w:type="dxa" w:w="2122"/>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333333"/>
                <w:sz w:val="18"/>
                <w:szCs w:val="18"/>
              </w:rPr>
              <w:t xml:space="preserve">Jimmy Hogg 07392765933</w:t>
            </w:r>
          </w:p>
        </w:tc>
      </w:tr>
    </w:tbl>
    <w:p>
      <w:pPr>
        <w:spacing w:after="8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1349"/>
        <w:gridCol w:w="1349"/>
        <w:gridCol w:w="1349"/>
        <w:gridCol w:w="1351"/>
      </w:tblGrid>
      <w:tr>
        <w:tc>
          <w:tcPr>
            <w:tcW w:type="dxa" w:w="2891"/>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pPr>
              <w:spacing w:after="0" w:before="0"/>
              <w:jc w:val="left"/>
            </w:pPr>
            <w:r>
              <w:rPr>
                <w:rFonts w:ascii="Arial" w:cs="Arial" w:eastAsia="Arial" w:hAnsi="Arial"/>
                <w:b/>
                <w:bCs/>
                <w:color w:val="FFFFFF"/>
                <w:sz w:val="18"/>
                <w:szCs w:val="18"/>
              </w:rPr>
              <w:t xml:space="preserve">Summary:</w:t>
            </w:r>
          </w:p>
        </w:tc>
        <w:tc>
          <w:tcPr>
            <w:tcW w:type="dxa" w:w="1349"/>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pPr>
              <w:spacing w:after="0" w:before="0"/>
              <w:jc w:val="left"/>
            </w:pPr>
            <w:r>
              <w:rPr>
                <w:rFonts w:ascii="Arial" w:cs="Arial" w:eastAsia="Arial" w:hAnsi="Arial"/>
                <w:b/>
                <w:bCs/>
                <w:color w:val="FFFFFF"/>
                <w:sz w:val="18"/>
                <w:szCs w:val="18"/>
              </w:rPr>
              <w:t xml:space="preserve">Studios</w:t>
            </w:r>
          </w:p>
        </w:tc>
        <w:tc>
          <w:tcPr>
            <w:tcW w:type="dxa" w:w="1349"/>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pPr>
              <w:spacing w:after="0" w:before="0"/>
              <w:jc w:val="right"/>
            </w:pPr>
            <w:r>
              <w:rPr>
                <w:rFonts w:ascii="Arial" w:cs="Arial" w:eastAsia="Arial" w:hAnsi="Arial"/>
                <w:b/>
                <w:bCs/>
                <w:color w:val="FFFFFF"/>
                <w:sz w:val="18"/>
                <w:szCs w:val="18"/>
              </w:rPr>
              <w:t xml:space="preserve"/>
            </w:r>
          </w:p>
        </w:tc>
        <w:tc>
          <w:tcPr>
            <w:tcW w:type="dxa" w:w="1349"/>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pPr>
              <w:spacing w:after="0" w:before="0"/>
              <w:jc w:val="right"/>
            </w:pPr>
            <w:r>
              <w:rPr>
                <w:rFonts w:ascii="Arial" w:cs="Arial" w:eastAsia="Arial" w:hAnsi="Arial"/>
                <w:b/>
                <w:bCs/>
                <w:color w:val="FFFFFF"/>
                <w:sz w:val="18"/>
                <w:szCs w:val="18"/>
              </w:rPr>
              <w:t xml:space="preserve"/>
            </w:r>
          </w:p>
        </w:tc>
        <w:tc>
          <w:tcPr>
            <w:tcW w:type="dxa" w:w="1349"/>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pPr>
              <w:spacing w:after="0" w:before="0"/>
              <w:jc w:val="right"/>
            </w:pPr>
            <w:r>
              <w:rPr>
                <w:rFonts w:ascii="Arial" w:cs="Arial" w:eastAsia="Arial" w:hAnsi="Arial"/>
                <w:b/>
                <w:bCs/>
                <w:color w:val="FFFFFF"/>
                <w:sz w:val="18"/>
                <w:szCs w:val="18"/>
              </w:rPr>
              <w:t xml:space="preserve"/>
            </w:r>
          </w:p>
        </w:tc>
        <w:tc>
          <w:tcPr>
            <w:tcW w:type="dxa" w:w="1349"/>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pPr>
              <w:spacing w:after="0" w:before="0"/>
              <w:jc w:val="right"/>
            </w:pPr>
            <w:r>
              <w:rPr>
                <w:rFonts w:ascii="Arial" w:cs="Arial" w:eastAsia="Arial" w:hAnsi="Arial"/>
                <w:b/>
                <w:bCs/>
                <w:color w:val="FFFFFF"/>
                <w:sz w:val="18"/>
                <w:szCs w:val="18"/>
              </w:rPr>
              <w:t xml:space="preserve"/>
            </w:r>
          </w:p>
        </w:tc>
      </w:tr>
      <w:tr>
        <w:tc>
          <w:tcPr>
            <w:tcW w:type="dxa" w:w="2891"/>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color w:val="333333"/>
                <w:sz w:val="17"/>
                <w:szCs w:val="17"/>
              </w:rPr>
              <w:t xml:space="preserve"/>
            </w:r>
          </w:p>
        </w:tc>
        <w:tc>
          <w:tcPr>
            <w:tcW w:type="dxa" w:w="6747"/>
            <w:gridSpan w:val="5"/>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pPr>
            <w:r>
              <w:rPr>
                <w:rFonts w:ascii="Arial" w:cs="Arial" w:eastAsia="Arial" w:hAnsi="Arial"/>
                <w:b/>
                <w:bCs/>
                <w:color w:val="333333"/>
                <w:sz w:val="18"/>
                <w:szCs w:val="18"/>
              </w:rPr>
              <w:t>Studios: 770   ACC Studios: 43   Total: 813</w:t>
            </w:r>
          </w:p>
        </w:tc>
      </w:tr>
      <w:tr>
        <w:tc>
          <w:tcPr>
            <w:tcW w:type="dxa" w:w="2891"/>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b/>
                <w:bCs/>
                <w:color w:val="1A1A2E"/>
                <w:sz w:val="18"/>
                <w:szCs w:val="18"/>
              </w:rPr>
              <w:t xml:space="preserve">Bedrooms</w:t>
            </w:r>
          </w:p>
        </w:tc>
        <w:tc>
          <w:tcPr>
            <w:tcW w:type="dxa" w:w="6747"/>
            <w:gridSpan w:val="5"/>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jc w:val="right"/>
            </w:pPr>
            <w:r>
              <w:rPr>
                <w:rFonts w:ascii="Arial" w:cs="Arial" w:eastAsia="Arial" w:hAnsi="Arial"/>
                <w:color w:val="333333"/>
                <w:sz w:val="18"/>
                <w:szCs w:val="18"/>
              </w:rPr>
              <w:t xml:space="preserve">£1,238,100.52</w:t>
            </w:r>
          </w:p>
        </w:tc>
      </w:tr>
      <w:tr>
        <w:tc>
          <w:tcPr>
            <w:tcW w:type="dxa" w:w="2891"/>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b/>
                <w:bCs/>
                <w:color w:val="1A1A2E"/>
                <w:sz w:val="18"/>
                <w:szCs w:val="18"/>
              </w:rPr>
              <w:t xml:space="preserve">Kitchens</w:t>
            </w:r>
          </w:p>
        </w:tc>
        <w:tc>
          <w:tcPr>
            <w:tcW w:type="dxa" w:w="6747"/>
            <w:gridSpan w:val="5"/>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jc w:val="right"/>
            </w:pPr>
            <w:r>
              <w:rPr>
                <w:rFonts w:ascii="Arial" w:cs="Arial" w:eastAsia="Arial" w:hAnsi="Arial"/>
                <w:color w:val="333333"/>
                <w:sz w:val="18"/>
                <w:szCs w:val="18"/>
              </w:rPr>
              <w:t xml:space="preserve">£1,119,341.24</w:t>
            </w:r>
          </w:p>
        </w:tc>
      </w:tr>
      <w:tr>
        <w:tc>
          <w:tcPr>
            <w:tcW w:type="dxa" w:w="2891"/>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b/>
                <w:bCs/>
                <w:color w:val="1A1A2E"/>
                <w:sz w:val="18"/>
                <w:szCs w:val="18"/>
              </w:rPr>
              <w:t xml:space="preserve">Loose Goods</w:t>
            </w:r>
          </w:p>
        </w:tc>
        <w:tc>
          <w:tcPr>
            <w:tcW w:type="dxa" w:w="6747"/>
            <w:gridSpan w:val="5"/>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jc w:val="right"/>
            </w:pPr>
            <w:r>
              <w:rPr>
                <w:rFonts w:ascii="Arial" w:cs="Arial" w:eastAsia="Arial" w:hAnsi="Arial"/>
                <w:color w:val="333333"/>
                <w:sz w:val="18"/>
                <w:szCs w:val="18"/>
              </w:rPr>
              <w:t xml:space="preserve">£467,084.76</w:t>
            </w:r>
          </w:p>
        </w:tc>
      </w:tr>
      <w:tr>
        <w:tc>
          <w:tcPr>
            <w:tcW w:type="dxa" w:w="2891"/>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b/>
                <w:bCs/>
                <w:color w:val="1A1A2E"/>
                <w:sz w:val="18"/>
                <w:szCs w:val="18"/>
              </w:rPr>
              <w:t xml:space="preserve">Appliances</w:t>
            </w:r>
          </w:p>
        </w:tc>
        <w:tc>
          <w:tcPr>
            <w:tcW w:type="dxa" w:w="6747"/>
            <w:gridSpan w:val="5"/>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jc w:val="right"/>
            </w:pPr>
            <w:r>
              <w:rPr>
                <w:rFonts w:ascii="Arial" w:cs="Arial" w:eastAsia="Arial" w:hAnsi="Arial"/>
                <w:color w:val="333333"/>
                <w:sz w:val="18"/>
                <w:szCs w:val="18"/>
              </w:rPr>
              <w:t xml:space="preserve">£704,860.32</w:t>
            </w:r>
          </w:p>
        </w:tc>
      </w:tr>
      <w:tr>
        <w:tc>
          <w:tcPr>
            <w:tcW w:type="dxa" w:w="2891"/>
            <w:tcBorders>
              <w:top w:val="single" w:color="EEEEEE" w:sz="1"/>
              <w:left w:val="single" w:color="EEEEEE" w:sz="1"/>
              <w:bottom w:val="single" w:color="EEEEEE" w:sz="1"/>
              <w:right w:val="single" w:color="EEEEEE" w:sz="1"/>
            </w:tcBorders>
            <w:shd w:fill="F7F5F0" w:val="clear"/>
            <w:tcMar>
              <w:top w:type="dxa" w:w="60"/>
              <w:left w:type="dxa" w:w="120"/>
              <w:bottom w:type="dxa" w:w="60"/>
              <w:right w:type="dxa" w:w="120"/>
            </w:tcMar>
          </w:tcPr>
          <w:p>
            <w:pPr>
              <w:spacing w:after="0" w:before="0"/>
            </w:pPr>
            <w:r>
              <w:rPr>
                <w:rFonts w:ascii="Arial" w:cs="Arial" w:eastAsia="Arial" w:hAnsi="Arial"/>
                <w:b/>
                <w:bCs/>
                <w:color w:val="1A1A2E"/>
                <w:sz w:val="18"/>
                <w:szCs w:val="18"/>
              </w:rPr>
              <w:t xml:space="preserve">Project Management Fee</w:t>
            </w:r>
          </w:p>
        </w:tc>
        <w:tc>
          <w:tcPr>
            <w:tcW w:type="dxa" w:w="6747"/>
            <w:gridSpan w:val="5"/>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pPr>
              <w:spacing w:after="0" w:before="0"/>
              <w:jc w:val="right"/>
            </w:pPr>
            <w:r>
              <w:rPr>
                <w:rFonts w:ascii="Arial" w:cs="Arial" w:eastAsia="Arial" w:hAnsi="Arial"/>
                <w:color w:val="333333"/>
                <w:sz w:val="18"/>
                <w:szCs w:val="18"/>
              </w:rPr>
              <w:t xml:space="preserve">£55,633.59</w:t>
            </w:r>
          </w:p>
        </w:tc>
      </w:tr>
      <w:tr>
        <w:tc>
          <w:tcPr>
            <w:tcW w:type="dxa" w:w="2891"/>
            <w:tcBorders>
              <w:top w:val="single" w:color="1A1A2E" w:sz="6"/>
              <w:left w:val="single" w:color="1A1A2E" w:sz="6"/>
              <w:bottom w:val="single" w:color="1A1A2E" w:sz="1"/>
              <w:right w:val="single" w:color="1A1A2E" w:sz="1"/>
            </w:tcBorders>
            <w:shd w:fill="FFF9E0" w:val="clear"/>
            <w:tcMar>
              <w:top w:type="dxa" w:w="70"/>
              <w:left w:type="dxa" w:w="120"/>
              <w:bottom w:type="dxa" w:w="70"/>
              <w:right w:type="dxa" w:w="120"/>
            </w:tcMar>
          </w:tcPr>
          <w:p>
            <w:pPr>
              <w:spacing w:after="0" w:before="0"/>
            </w:pPr>
            <w:r>
              <w:rPr>
                <w:rFonts w:ascii="Arial" w:cs="Arial" w:eastAsia="Arial" w:hAnsi="Arial"/>
                <w:b/>
                <w:bCs/>
                <w:color w:val="1A1A2E"/>
                <w:sz w:val="18"/>
                <w:szCs w:val="18"/>
              </w:rPr>
              <w:t xml:space="preserve">Sub-total</w:t>
            </w:r>
          </w:p>
        </w:tc>
        <w:tc>
          <w:tcPr>
            <w:tcW w:type="dxa" w:w="6747"/>
            <w:gridSpan w:val="5"/>
            <w:tcBorders>
              <w:top w:val="single" w:color="1A1A2E" w:sz="6"/>
              <w:left w:val="single" w:color="1A1A2E" w:sz="1"/>
              <w:bottom w:val="single" w:color="1A1A2E" w:sz="1"/>
              <w:right w:val="single" w:color="1A1A2E" w:sz="6"/>
            </w:tcBorders>
            <w:shd w:fill="FFF9E0" w:val="clear"/>
            <w:tcMar>
              <w:top w:type="dxa" w:w="70"/>
              <w:left w:type="dxa" w:w="120"/>
              <w:bottom w:type="dxa" w:w="70"/>
              <w:right w:type="dxa" w:w="120"/>
            </w:tcMar>
          </w:tcPr>
          <w:p>
            <w:pPr>
              <w:spacing w:after="0" w:before="0"/>
              <w:jc w:val="right"/>
            </w:pPr>
            <w:r>
              <w:rPr>
                <w:rFonts w:ascii="Arial" w:cs="Arial" w:eastAsia="Arial" w:hAnsi="Arial"/>
                <w:b/>
                <w:bCs/>
                <w:color w:val="1A1A2E"/>
                <w:sz w:val="18"/>
                <w:szCs w:val="18"/>
              </w:rPr>
              <w:t xml:space="preserve">£3,585,020.43</w:t>
            </w:r>
          </w:p>
        </w:tc>
      </w:tr>
      <w:tr>
        <w:tc>
          <w:tcPr>
            <w:tcW w:type="dxa" w:w="2891"/>
            <w:tcBorders>
              <w:top w:val="single" w:color="1A1A2E" w:sz="1"/>
              <w:left w:val="single" w:color="1A1A2E" w:sz="6"/>
              <w:bottom w:val="single" w:color="E8C547" w:sz="6"/>
              <w:right w:val="single" w:color="1A1A2E" w:sz="1"/>
            </w:tcBorders>
            <w:shd w:fill="E8C547" w:val="clear"/>
            <w:tcMar>
              <w:top w:type="dxa" w:w="70"/>
              <w:left w:type="dxa" w:w="120"/>
              <w:bottom w:type="dxa" w:w="70"/>
              <w:right w:type="dxa" w:w="120"/>
            </w:tcMar>
          </w:tcPr>
          <w:p>
            <w:pPr>
              <w:spacing w:after="0" w:before="0"/>
            </w:pPr>
            <w:r>
              <w:rPr>
                <w:rFonts w:ascii="Arial" w:cs="Arial" w:eastAsia="Arial" w:hAnsi="Arial"/>
                <w:b/>
                <w:bCs/>
                <w:color w:val="1A1A2E"/>
                <w:sz w:val="18"/>
                <w:szCs w:val="18"/>
              </w:rPr>
              <w:t xml:space="preserve">2.5% MCD</w:t>
            </w:r>
          </w:p>
        </w:tc>
        <w:tc>
          <w:tcPr>
            <w:tcW w:type="dxa" w:w="6747"/>
            <w:gridSpan w:val="5"/>
            <w:tcBorders>
              <w:top w:val="single" w:color="1A1A2E" w:sz="1"/>
              <w:left w:val="single" w:color="1A1A2E" w:sz="1"/>
              <w:bottom w:val="single" w:color="E8C547" w:sz="6"/>
              <w:right w:val="single" w:color="1A1A2E" w:sz="6"/>
            </w:tcBorders>
            <w:shd w:fill="E8C547" w:val="clear"/>
            <w:tcMar>
              <w:top w:type="dxa" w:w="70"/>
              <w:left w:type="dxa" w:w="120"/>
              <w:bottom w:type="dxa" w:w="70"/>
              <w:right w:type="dxa" w:w="120"/>
            </w:tcMar>
          </w:tcPr>
          <w:p>
            <w:pPr>
              <w:spacing w:after="0" w:before="0"/>
              <w:jc w:val="right"/>
            </w:pPr>
            <w:r>
              <w:rPr>
                <w:rFonts w:ascii="Arial" w:cs="Arial" w:eastAsia="Arial" w:hAnsi="Arial"/>
                <w:b/>
                <w:bCs/>
                <w:color w:val="C62828"/>
                <w:sz w:val="18"/>
                <w:szCs w:val="18"/>
              </w:rPr>
              <w:t xml:space="preserve">-£89,625.51</w:t>
            </w:r>
          </w:p>
        </w:tc>
      </w:tr>
      <w:tr>
        <w:tc>
          <w:tcPr>
            <w:tcW w:type="dxa" w:w="2891"/>
            <w:tcBorders>
              <w:top w:val="single" w:color="E8C547" w:sz="6"/>
              <w:left w:val="single" w:color="1A1A2E" w:sz="6"/>
              <w:bottom w:val="single" w:color="1A1A2E" w:sz="6"/>
              <w:right w:val="single" w:color="1A1A2E" w:sz="1"/>
            </w:tcBorders>
            <w:shd w:fill="1A1A2E" w:val="clear"/>
            <w:tcMar>
              <w:top w:type="dxa" w:w="90"/>
              <w:left w:type="dxa" w:w="120"/>
              <w:bottom w:type="dxa" w:w="90"/>
              <w:right w:type="dxa" w:w="120"/>
            </w:tcMar>
          </w:tcPr>
          <w:p>
            <w:pPr>
              <w:spacing w:after="0" w:before="0"/>
            </w:pPr>
            <w:r>
              <w:rPr>
                <w:rFonts w:ascii="Arial" w:cs="Arial" w:eastAsia="Arial" w:hAnsi="Arial"/>
                <w:b/>
                <w:bCs/>
                <w:color w:val="FFFFFF"/>
                <w:sz w:val="22"/>
                <w:szCs w:val="22"/>
              </w:rPr>
              <w:t xml:space="preserve">TOTAL</w:t>
            </w:r>
          </w:p>
        </w:tc>
        <w:tc>
          <w:tcPr>
            <w:tcW w:type="dxa" w:w="6747"/>
            <w:gridSpan w:val="5"/>
            <w:tcBorders>
              <w:top w:val="single" w:color="E8C547" w:sz="6"/>
              <w:left w:val="single" w:color="1A1A2E" w:sz="1"/>
              <w:bottom w:val="single" w:color="1A1A2E" w:sz="6"/>
              <w:right w:val="single" w:color="1A1A2E" w:sz="6"/>
            </w:tcBorders>
            <w:shd w:fill="1A1A2E" w:val="clear"/>
            <w:tcMar>
              <w:top w:type="dxa" w:w="90"/>
              <w:left w:type="dxa" w:w="120"/>
              <w:bottom w:type="dxa" w:w="90"/>
              <w:right w:type="dxa" w:w="120"/>
            </w:tcMar>
          </w:tcPr>
          <w:p>
            <w:pPr>
              <w:spacing w:after="0" w:before="0"/>
              <w:jc w:val="right"/>
            </w:pPr>
            <w:r>
              <w:rPr>
                <w:rFonts w:ascii="Arial" w:cs="Arial" w:eastAsia="Arial" w:hAnsi="Arial"/>
                <w:b/>
                <w:bCs/>
                <w:color w:val="E8C547"/>
                <w:sz w:val="22"/>
                <w:szCs w:val="22"/>
              </w:rPr>
              <w:t xml:space="preserve">£3,495,394.92</w:t>
            </w:r>
          </w:p>
        </w:tc>
      </w:tr>
    </w:tbl>
    <w:p>
      <w:pPr>
        <w:spacing w:after="60" w:before="0"/>
      </w:pPr>
      <w:r>
        <w:rPr>
          <w:rFonts w:ascii="Arial" w:cs="Arial" w:eastAsia="Arial" w:hAnsi="Arial"/>
          <w:color w:val="333333"/>
          <w:sz w:val="20"/>
          <w:szCs w:val="20"/>
        </w:rPr>
        <w:t xml:space="preserve"/>
      </w:r>
    </w:p>
    <w:p>
      <w:pPr>
        <w:spacing w:after="40" w:before="0"/>
      </w:pPr>
      <w:r>
        <w:rPr>
          <w:rFonts w:ascii="Arial" w:cs="Arial" w:eastAsia="Arial" w:hAnsi="Arial"/>
          <w:color w:val="7F8C8D"/>
          <w:sz w:val="16"/>
          <w:szCs w:val="16"/>
        </w:rPr>
        <w:t xml:space="preserve">excl. VAT (it is expected that Reverse Charge will apply)</w:t>
      </w:r>
    </w:p>
    <w:p>
      <w:pPr>
        <w:spacing w:after="20" w:before="0"/>
      </w:pPr>
      <w:r>
        <w:rPr>
          <w:rFonts w:ascii="Arial" w:cs="Arial" w:eastAsia="Arial" w:hAnsi="Arial"/>
          <w:b/>
          <w:bCs/>
          <w:color w:val="1A1A2E"/>
          <w:sz w:val="17"/>
          <w:szCs w:val="17"/>
        </w:rPr>
        <w:t xml:space="preserve">Inflation built in for commencement on site:</w:t>
      </w:r>
      <w:r>
        <w:rPr>
          <w:rFonts w:ascii="Arial" w:cs="Arial" w:eastAsia="Arial" w:hAnsi="Arial"/>
          <w:b/>
          <w:bCs/>
          <w:color w:val="333333"/>
          <w:sz w:val="17"/>
          <w:szCs w:val="17"/>
        </w:rPr>
        <w:t xml:space="preserve">  January 2027</w:t>
      </w:r>
    </w:p>
    <w:p>
      <w:pPr>
        <w:spacing w:after="20" w:before="0"/>
      </w:pPr>
      <w:r>
        <w:rPr>
          <w:rFonts w:ascii="Arial" w:cs="Arial" w:eastAsia="Arial" w:hAnsi="Arial"/>
          <w:b/>
          <w:bCs/>
          <w:color w:val="1A1A2E"/>
          <w:sz w:val="17"/>
          <w:szCs w:val="17"/>
        </w:rPr>
        <w:t xml:space="preserve">Priced for even and continuous delivery over following months:</w:t>
      </w:r>
      <w:r>
        <w:rPr>
          <w:rFonts w:ascii="Arial" w:cs="Arial" w:eastAsia="Arial" w:hAnsi="Arial"/>
          <w:b/>
          <w:bCs/>
          <w:color w:val="333333"/>
          <w:sz w:val="17"/>
          <w:szCs w:val="17"/>
        </w:rPr>
        <w:t xml:space="preserve">  8</w:t>
      </w:r>
    </w:p>
    <w:p>
      <w:pPr>
        <w:spacing w:after="80" w:before="0"/>
      </w:pPr>
      <w:r>
        <w:rPr>
          <w:rFonts w:ascii="Arial" w:cs="Arial" w:eastAsia="Arial" w:hAnsi="Arial"/>
          <w:color w:val="333333"/>
          <w:sz w:val="20"/>
          <w:szCs w:val="20"/>
        </w:rPr>
        <w:t xml:space="preserve"/>
      </w:r>
    </w:p>
    <w:p>
      <w:pPr>
        <w:spacing w:after="50" w:before="0"/>
      </w:pPr>
      <w:r>
        <w:rPr>
          <w:rFonts w:ascii="Arial" w:cs="Arial" w:eastAsia="Arial" w:hAnsi="Arial"/>
          <w:b/>
          <w:bCs/>
          <w:color w:val="1A1A2E"/>
          <w:sz w:val="17"/>
          <w:szCs w:val="17"/>
        </w:rPr>
        <w:t xml:space="preserve">1</w:t>
      </w:r>
      <w:r>
        <w:rPr>
          <w:rFonts w:ascii="Arial" w:cs="Arial" w:eastAsia="Arial" w:hAnsi="Arial"/>
          <w:color w:val="333333"/>
          <w:sz w:val="17"/>
          <w:szCs w:val="17"/>
        </w:rPr>
        <w:t xml:space="preserve">	Pricing based on following terms being met.</w:t>
      </w:r>
    </w:p>
    <w:p>
      <w:pPr>
        <w:spacing w:after="50" w:before="0"/>
      </w:pPr>
      <w:r>
        <w:rPr>
          <w:rFonts w:ascii="Arial" w:cs="Arial" w:eastAsia="Arial" w:hAnsi="Arial"/>
          <w:b/>
          <w:bCs/>
          <w:color w:val="1A1A2E"/>
          <w:sz w:val="17"/>
          <w:szCs w:val="17"/>
        </w:rPr>
        <w:t xml:space="preserve">2</w:t>
      </w:r>
      <w:r>
        <w:rPr>
          <w:rFonts w:ascii="Arial" w:cs="Arial" w:eastAsia="Arial" w:hAnsi="Arial"/>
          <w:color w:val="333333"/>
          <w:sz w:val="17"/>
          <w:szCs w:val="17"/>
        </w:rPr>
        <w:t xml:space="preserve">	All electrical connections (other than plug-in) by others.</w:t>
      </w:r>
    </w:p>
    <w:p>
      <w:pPr>
        <w:spacing w:after="50" w:before="0"/>
      </w:pPr>
      <w:r>
        <w:rPr>
          <w:rFonts w:ascii="Arial" w:cs="Arial" w:eastAsia="Arial" w:hAnsi="Arial"/>
          <w:b/>
          <w:bCs/>
          <w:color w:val="1A1A2E"/>
          <w:sz w:val="17"/>
          <w:szCs w:val="17"/>
        </w:rPr>
        <w:t xml:space="preserve">3</w:t>
      </w:r>
      <w:r>
        <w:rPr>
          <w:rFonts w:ascii="Arial" w:cs="Arial" w:eastAsia="Arial" w:hAnsi="Arial"/>
          <w:color w:val="333333"/>
          <w:sz w:val="17"/>
          <w:szCs w:val="17"/>
        </w:rPr>
        <w:t xml:space="preserve">	Sink traps excluded at this stage.</w:t>
      </w:r>
    </w:p>
    <w:p>
      <w:pPr>
        <w:spacing w:after="50" w:before="0"/>
      </w:pPr>
      <w:r>
        <w:rPr>
          <w:rFonts w:ascii="Arial" w:cs="Arial" w:eastAsia="Arial" w:hAnsi="Arial"/>
          <w:b/>
          <w:bCs/>
          <w:color w:val="1A1A2E"/>
          <w:sz w:val="17"/>
          <w:szCs w:val="17"/>
        </w:rPr>
        <w:t xml:space="preserve">4</w:t>
      </w:r>
      <w:r>
        <w:rPr>
          <w:rFonts w:ascii="Arial" w:cs="Arial" w:eastAsia="Arial" w:hAnsi="Arial"/>
          <w:color w:val="333333"/>
          <w:sz w:val="17"/>
          <w:szCs w:val="17"/>
        </w:rPr>
        <w:t xml:space="preserve">	Price includes dry fit of sinks and taps; all wet &amp; electrical connections by others.</w:t>
      </w:r>
    </w:p>
    <w:p>
      <w:pPr>
        <w:spacing w:after="50" w:before="0"/>
      </w:pPr>
      <w:r>
        <w:rPr>
          <w:rFonts w:ascii="Arial" w:cs="Arial" w:eastAsia="Arial" w:hAnsi="Arial"/>
          <w:b/>
          <w:bCs/>
          <w:color w:val="1A1A2E"/>
          <w:sz w:val="17"/>
          <w:szCs w:val="17"/>
        </w:rPr>
        <w:t xml:space="preserve">5</w:t>
      </w:r>
      <w:r>
        <w:rPr>
          <w:rFonts w:ascii="Arial" w:cs="Arial" w:eastAsia="Arial" w:hAnsi="Arial"/>
          <w:color w:val="333333"/>
          <w:sz w:val="17"/>
          <w:szCs w:val="17"/>
        </w:rPr>
        <w:t xml:space="preserve">	It is assumed that full articulated lorries will be allowed on site to offload materials.</w:t>
      </w:r>
    </w:p>
    <w:p>
      <w:pPr>
        <w:spacing w:after="50" w:before="0"/>
      </w:pPr>
      <w:r>
        <w:rPr>
          <w:rFonts w:ascii="Arial" w:cs="Arial" w:eastAsia="Arial" w:hAnsi="Arial"/>
          <w:b/>
          <w:bCs/>
          <w:color w:val="1A1A2E"/>
          <w:sz w:val="17"/>
          <w:szCs w:val="17"/>
        </w:rPr>
        <w:t xml:space="preserve">6</w:t>
      </w:r>
      <w:r>
        <w:rPr>
          <w:rFonts w:ascii="Arial" w:cs="Arial" w:eastAsia="Arial" w:hAnsi="Arial"/>
          <w:color w:val="333333"/>
          <w:sz w:val="17"/>
          <w:szCs w:val="17"/>
        </w:rPr>
        <w:t xml:space="preserve">	Skips excluded. Correx to Kitchen worktops only.</w:t>
      </w:r>
    </w:p>
    <w:p>
      <w:pPr>
        <w:spacing w:after="50" w:before="0"/>
      </w:pPr>
      <w:r>
        <w:rPr>
          <w:rFonts w:ascii="Arial" w:cs="Arial" w:eastAsia="Arial" w:hAnsi="Arial"/>
          <w:b/>
          <w:bCs/>
          <w:color w:val="1A1A2E"/>
          <w:sz w:val="17"/>
          <w:szCs w:val="17"/>
        </w:rPr>
        <w:t xml:space="preserve">7</w:t>
      </w:r>
      <w:r>
        <w:rPr>
          <w:rFonts w:ascii="Arial" w:cs="Arial" w:eastAsia="Arial" w:hAnsi="Arial"/>
          <w:color w:val="333333"/>
          <w:sz w:val="17"/>
          <w:szCs w:val="17"/>
        </w:rPr>
        <w:t xml:space="preserve">	It is assumed that vertical assistance for distribution will be provided by the Main Contractor.</w:t>
      </w:r>
    </w:p>
    <w:p>
      <w:pPr>
        <w:spacing w:after="50" w:before="0"/>
      </w:pPr>
      <w:r>
        <w:rPr>
          <w:rFonts w:ascii="Arial" w:cs="Arial" w:eastAsia="Arial" w:hAnsi="Arial"/>
          <w:b/>
          <w:bCs/>
          <w:color w:val="1A1A2E"/>
          <w:sz w:val="17"/>
          <w:szCs w:val="17"/>
        </w:rPr>
        <w:t xml:space="preserve">8</w:t>
      </w:r>
      <w:r>
        <w:rPr>
          <w:rFonts w:ascii="Arial" w:cs="Arial" w:eastAsia="Arial" w:hAnsi="Arial"/>
          <w:color w:val="333333"/>
          <w:sz w:val="17"/>
          <w:szCs w:val="17"/>
        </w:rPr>
        <w:t xml:space="preserve">	Sequencing of works to be agreed to allow sufficient quantities of rooms available for templating, delivery and install each visit.</w:t>
      </w:r>
    </w:p>
    <w:p>
      <w:pPr>
        <w:spacing w:after="50" w:before="0"/>
      </w:pPr>
      <w:r>
        <w:rPr>
          <w:rFonts w:ascii="Arial" w:cs="Arial" w:eastAsia="Arial" w:hAnsi="Arial"/>
          <w:b/>
          <w:bCs/>
          <w:color w:val="1A1A2E"/>
          <w:sz w:val="17"/>
          <w:szCs w:val="17"/>
        </w:rPr>
        <w:t xml:space="preserve">9</w:t>
      </w:r>
      <w:r>
        <w:rPr>
          <w:rFonts w:ascii="Arial" w:cs="Arial" w:eastAsia="Arial" w:hAnsi="Arial"/>
          <w:color w:val="333333"/>
          <w:sz w:val="17"/>
          <w:szCs w:val="17"/>
        </w:rPr>
        <w:t xml:space="preserve">	Flagstaffe's proposal is based on the information and drawings provided. Pricing is subject to a final site survey.</w:t>
      </w:r>
    </w:p>
    <w:p>
      <w:pPr>
        <w:spacing w:after="50" w:before="0"/>
      </w:pPr>
      <w:r>
        <w:rPr>
          <w:rFonts w:ascii="Arial" w:cs="Arial" w:eastAsia="Arial" w:hAnsi="Arial"/>
          <w:b/>
          <w:bCs/>
          <w:color w:val="1A1A2E"/>
          <w:sz w:val="17"/>
          <w:szCs w:val="17"/>
        </w:rPr>
        <w:t xml:space="preserve">10</w:t>
      </w:r>
      <w:r>
        <w:rPr>
          <w:rFonts w:ascii="Arial" w:cs="Arial" w:eastAsia="Arial" w:hAnsi="Arial"/>
          <w:color w:val="333333"/>
          <w:sz w:val="17"/>
          <w:szCs w:val="17"/>
        </w:rPr>
        <w:t xml:space="preserve">	Finishes priced - Kronospan Band A</w:t>
      </w:r>
    </w:p>
    <w:p>
      <w:pPr>
        <w:spacing w:after="50" w:before="0"/>
      </w:pPr>
      <w:r>
        <w:rPr>
          <w:rFonts w:ascii="Arial" w:cs="Arial" w:eastAsia="Arial" w:hAnsi="Arial"/>
          <w:b/>
          <w:bCs/>
          <w:color w:val="1A1A2E"/>
          <w:sz w:val="17"/>
          <w:szCs w:val="17"/>
        </w:rPr>
        <w:t xml:space="preserve">11</w:t>
      </w:r>
      <w:r>
        <w:rPr>
          <w:rFonts w:ascii="Arial" w:cs="Arial" w:eastAsia="Arial" w:hAnsi="Arial"/>
          <w:color w:val="333333"/>
          <w:sz w:val="17"/>
          <w:szCs w:val="17"/>
        </w:rPr>
        <w:t xml:space="preserve">	Items noted as RATE ONLY do not form part of this quotation. These rates are for the unit price only and does not allow for delivery, distribution or installation.</w:t>
      </w:r>
    </w:p>
    <w:p>
      <w:pPr>
        <w:spacing w:after="8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0" w:before="60"/>
      </w:pPr>
      <w:r>
        <w:rPr>
          <w:rFonts w:ascii="Arial" w:cs="Arial" w:eastAsia="Arial" w:hAnsi="Arial"/>
          <w:color w:val="7F8C8D"/>
          <w:sz w:val="15"/>
          <w:szCs w:val="15"/>
        </w:rPr>
        <w:t xml:space="preserve">enquiries@flagstaffe.com  |  01260 460 003  |  www.flagstaffe.com  |  CRN: 14154708  |  VAT: 421442927  |  UTR: 2239413036</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8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c>
          <w:tcPr>
            <w:tcW w:type="dxa" w:w="963"/>
            <w:tcBorders>
              <w:top w:val="single" w:color="1A1A2E" w:sz="1"/>
              <w:left w:val="single" w:color="1A1A2E" w:sz="1"/>
              <w:bottom w:val="single" w:color="1A1A2E" w:sz="1"/>
              <w:right w:val="single" w:color="1A1A2E" w:sz="1"/>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18"/>
                <w:szCs w:val="18"/>
              </w:rPr>
              <w:t xml:space="preserve">Revision</w:t>
            </w:r>
          </w:p>
        </w:tc>
        <w:tc>
          <w:tcPr>
            <w:tcW w:type="dxa" w:w="8675"/>
            <w:tcBorders>
              <w:top w:val="single" w:color="1A1A2E" w:sz="1"/>
              <w:left w:val="single" w:color="1A1A2E" w:sz="1"/>
              <w:bottom w:val="single" w:color="1A1A2E" w:sz="1"/>
              <w:right w:val="single" w:color="1A1A2E" w:sz="1"/>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18"/>
                <w:szCs w:val="18"/>
              </w:rPr>
              <w:t xml:space="preserve">Notes</w:t>
            </w:r>
          </w:p>
        </w:tc>
      </w:tr>
      <w:tr>
        <w:tc>
          <w:tcPr>
            <w:tcW w:type="dxa" w:w="963"/>
            <w:tcBorders>
              <w:top w:val="single" w:color="EEEEEE" w:sz="1"/>
              <w:left w:val="single" w:color="EEEEEE" w:sz="1"/>
              <w:bottom w:val="single" w:color="EEEEEE" w:sz="1"/>
              <w:right w:val="single" w:color="EEEEEE" w:sz="1"/>
            </w:tcBorders>
            <w:shd w:fill="F7F5F0" w:val="clear"/>
            <w:tcMar>
              <w:top w:type="dxa" w:w="120"/>
              <w:left w:type="dxa" w:w="160"/>
              <w:bottom w:type="dxa" w:w="120"/>
              <w:right w:type="dxa" w:w="160"/>
            </w:tcMar>
          </w:tcPr>
          <w:p>
            <w:pPr>
              <w:spacing w:after="0" w:before="0"/>
            </w:pPr>
            <w:r>
              <w:rPr>
                <w:rFonts w:ascii="Arial" w:cs="Arial" w:eastAsia="Arial" w:hAnsi="Arial"/>
                <w:b/>
                <w:bCs/>
                <w:color w:val="1A1A2E"/>
                <w:sz w:val="18"/>
                <w:szCs w:val="18"/>
              </w:rPr>
              <w:t xml:space="preserve">0</w:t>
            </w:r>
          </w:p>
        </w:tc>
        <w:tc>
          <w:tcPr>
            <w:tcW w:type="dxa" w:w="8675"/>
            <w:tcBorders>
              <w:top w:val="single" w:color="EEEEEE" w:sz="1"/>
              <w:left w:val="single" w:color="EEEEEE" w:sz="1"/>
              <w:bottom w:val="single" w:color="EEEEEE" w:sz="1"/>
              <w:right w:val="single" w:color="EEEEEE" w:sz="1"/>
            </w:tcBorders>
            <w:shd w:fill="FFFFFF" w:val="clear"/>
            <w:tcMar>
              <w:top w:type="dxa" w:w="120"/>
              <w:left w:type="dxa" w:w="160"/>
              <w:bottom w:type="dxa" w:w="120"/>
              <w:right w:type="dxa" w:w="160"/>
            </w:tcMar>
          </w:tcPr>
          <w:p>
            <w:pPr>
              <w:spacing w:after="60" w:before="0"/>
            </w:pPr>
            <w:r>
              <w:rPr>
                <w:rFonts w:ascii="Arial" w:cs="Arial" w:eastAsia="Arial" w:hAnsi="Arial"/>
                <w:color w:val="333333"/>
                <w:sz w:val="17"/>
                <w:szCs w:val="17"/>
              </w:rPr>
              <w:t xml:space="preserve">This is a budget quotation based on the following assumptions in the absence of drawings or confirmed specification.</w:t>
            </w:r>
          </w:p>
          <w:p>
            <w:pPr>
              <w:spacing w:after="50" w:before="0"/>
            </w:pPr>
            <w:r>
              <w:rPr>
                <w:rFonts w:ascii="Arial" w:cs="Arial" w:eastAsia="Arial" w:hAnsi="Arial"/>
                <w:color w:val="333333"/>
                <w:sz w:val="17"/>
                <w:szCs w:val="17"/>
              </w:rPr>
              <w:t xml:space="preserve">- Priced as 813 self-contained studios: 770 standard studios + 43 DDA/accessible studios.</w:t>
            </w:r>
          </w:p>
          <w:p>
            <w:pPr>
              <w:spacing w:after="50" w:before="0"/>
            </w:pPr>
            <w:r>
              <w:rPr>
                <w:rFonts w:ascii="Arial" w:cs="Arial" w:eastAsia="Arial" w:hAnsi="Arial"/>
                <w:color w:val="333333"/>
                <w:sz w:val="17"/>
                <w:szCs w:val="17"/>
              </w:rPr>
              <w:t xml:space="preserve">- Both PBSA and co-living units assumed to identical studio specification.</w:t>
            </w:r>
          </w:p>
          <w:p>
            <w:pPr>
              <w:spacing w:after="50" w:before="0"/>
            </w:pPr>
            <w:r>
              <w:rPr>
                <w:rFonts w:ascii="Arial" w:cs="Arial" w:eastAsia="Arial" w:hAnsi="Arial"/>
                <w:color w:val="333333"/>
                <w:sz w:val="17"/>
                <w:szCs w:val="17"/>
              </w:rPr>
              <w:t xml:space="preserve">- No cluster kitchens (KLDs). All kitchens are individual studio kitchens.</w:t>
            </w:r>
          </w:p>
          <w:p>
            <w:pPr>
              <w:spacing w:after="50" w:before="0"/>
            </w:pPr>
            <w:r>
              <w:rPr>
                <w:rFonts w:ascii="Arial" w:cs="Arial" w:eastAsia="Arial" w:hAnsi="Arial"/>
                <w:color w:val="333333"/>
                <w:sz w:val="17"/>
                <w:szCs w:val="17"/>
              </w:rPr>
              <w:t xml:space="preserve">- DDA/accessible count assumed at 5% (43 units). Adjust when Building Regs drawings confirm exact count.</w:t>
            </w:r>
          </w:p>
          <w:p>
            <w:pPr>
              <w:spacing w:after="50" w:before="0"/>
            </w:pPr>
            <w:r>
              <w:rPr>
                <w:rFonts w:ascii="Arial" w:cs="Arial" w:eastAsia="Arial" w:hAnsi="Arial"/>
                <w:color w:val="333333"/>
                <w:sz w:val="17"/>
                <w:szCs w:val="17"/>
              </w:rPr>
              <w:t xml:space="preserve">- Specification: Kronospan Band A, 18mm carcass, Metabox soft-close drawers, 155° hinges, Discreet Handle.</w:t>
            </w:r>
          </w:p>
          <w:p>
            <w:pPr>
              <w:spacing w:after="50" w:before="0"/>
            </w:pPr>
            <w:r>
              <w:rPr>
                <w:rFonts w:ascii="Arial" w:cs="Arial" w:eastAsia="Arial" w:hAnsi="Arial"/>
                <w:color w:val="333333"/>
                <w:sz w:val="17"/>
                <w:szCs w:val="17"/>
              </w:rPr>
              <w:t xml:space="preserve">- Appliances: Montpellier range throughout. Other options available.</w:t>
            </w:r>
          </w:p>
          <w:p>
            <w:pPr>
              <w:spacing w:after="50" w:before="0"/>
            </w:pPr>
            <w:r>
              <w:rPr>
                <w:rFonts w:ascii="Arial" w:cs="Arial" w:eastAsia="Arial" w:hAnsi="Arial"/>
                <w:color w:val="333333"/>
                <w:sz w:val="17"/>
                <w:szCs w:val="17"/>
              </w:rPr>
              <w:t xml:space="preserve">- Sinks/taps: Blanco (DINAS 45S MINI + MILA ECO) priced to align with previous projects.</w:t>
            </w:r>
          </w:p>
          <w:p>
            <w:pPr>
              <w:spacing w:after="50" w:before="0"/>
            </w:pPr>
            <w:r>
              <w:rPr>
                <w:rFonts w:ascii="Arial" w:cs="Arial" w:eastAsia="Arial" w:hAnsi="Arial"/>
                <w:color w:val="333333"/>
                <w:sz w:val="17"/>
                <w:szCs w:val="17"/>
              </w:rPr>
              <w:t xml:space="preserve">- Loose goods: mattresses, desk chairs, pedestal tables, bins and accessories.</w:t>
            </w:r>
          </w:p>
          <w:p>
            <w:pPr>
              <w:spacing w:after="50" w:before="0"/>
            </w:pPr>
            <w:r>
              <w:rPr>
                <w:rFonts w:ascii="Arial" w:cs="Arial" w:eastAsia="Arial" w:hAnsi="Arial"/>
                <w:color w:val="333333"/>
                <w:sz w:val="17"/>
                <w:szCs w:val="17"/>
              </w:rPr>
              <w:t xml:space="preserve">- Inflation: priced for January 2027 commencement. Rates will be reviewed if programme changes.</w:t>
            </w:r>
          </w:p>
          <w:p>
            <w:pPr>
              <w:spacing w:after="0" w:before="0"/>
            </w:pPr>
            <w:r>
              <w:rPr>
                <w:rFonts w:ascii="Arial" w:cs="Arial" w:eastAsia="Arial" w:hAnsi="Arial"/>
                <w:color w:val="333333"/>
                <w:sz w:val="17"/>
                <w:szCs w:val="17"/>
              </w:rPr>
              <w:t xml:space="preserve">- This quote is based on the standard studio format from Flag22167 (Stafford Street, Wolverhampton, April 2026). Confirmation of room dimensions and layouts required before final quotation.</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60" w:before="0"/>
      </w:pPr>
      <w:r>
        <w:rPr>
          <w:rFonts w:ascii="Arial" w:cs="Arial" w:eastAsia="Arial" w:hAnsi="Arial"/>
          <w:color w:val="333333"/>
          <w:sz w:val="20"/>
          <w:szCs w:val="20"/>
        </w:rPr>
        <w:t xml:space="preserve"/>
      </w:r>
    </w:p>
    <w:p>
      <w:pPr>
        <w:spacing w:after="60" w:before="0"/>
      </w:pPr>
      <w:r>
        <w:rPr>
          <w:rFonts w:ascii="Arial" w:cs="Arial" w:eastAsia="Arial" w:hAnsi="Arial"/>
          <w:color w:val="7F8C8D"/>
          <w:sz w:val="16"/>
          <w:szCs w:val="16"/>
        </w:rPr>
        <w:t xml:space="preserve">Finishes: Kronospan Band A  |  18mm carcass  |  Metabox soft close drawers  |  155° soft close hinges  |  Discreet Handle</w:t>
      </w:r>
    </w:p>
    <w:p>
      <w:pPr>
        <w:spacing w:after="4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505"/>
        <w:gridCol w:w="1252"/>
        <w:gridCol w:w="674"/>
        <w:gridCol w:w="674"/>
        <w:gridCol w:w="674"/>
        <w:gridCol w:w="481"/>
        <w:gridCol w:w="867"/>
        <w:gridCol w:w="385"/>
        <w:gridCol w:w="771"/>
        <w:gridCol w:w="874"/>
      </w:tblGrid>
      <w:tr>
        <w:tc>
          <w:tcPr>
            <w:tcW w:type="dxa" w:w="48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Code</w:t>
            </w:r>
          </w:p>
        </w:tc>
        <w:tc>
          <w:tcPr>
            <w:tcW w:type="dxa" w:w="2505"/>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Description</w:t>
            </w:r>
          </w:p>
        </w:tc>
        <w:tc>
          <w:tcPr>
            <w:tcW w:type="dxa" w:w="1252"/>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Spec</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Supplier</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Model</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6"/>
                <w:szCs w:val="16"/>
              </w:rPr>
              <w:t xml:space="preserve">Rate (£)</w:t>
            </w:r>
          </w:p>
        </w:tc>
        <w:tc>
          <w:tcPr>
            <w:tcW w:type="dxa" w:w="48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Studio
(770)</w:t>
            </w:r>
          </w:p>
        </w:tc>
        <w:tc>
          <w:tcPr>
            <w:tcW w:type="dxa" w:w="867"/>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Studio
sub-total</w:t>
            </w:r>
          </w:p>
        </w:tc>
        <w:tc>
          <w:tcPr>
            <w:tcW w:type="dxa" w:w="385"/>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ACC
(43)</w:t>
            </w:r>
          </w:p>
        </w:tc>
        <w:tc>
          <w:tcPr>
            <w:tcW w:type="dxa" w:w="77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ACC
sub-total</w:t>
            </w:r>
          </w:p>
        </w:tc>
        <w:tc>
          <w:tcPr>
            <w:tcW w:type="dxa" w:w="8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TOTAL (£)</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B1</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Desktop straight 1800 x 600 x 25mm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1x cable tidy 80mm, supporting batten</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£56.67</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£2,436.81</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£2,436.81</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B4</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Desktop straight 2100 x 600 x 25mm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1x cable tidy 80mm, supporting batten</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£73.90</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£56,903.00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£56,903.00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B10</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Desk Rise and Fall system — Hand Crank</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DDA rooms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RACK</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£368.33</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£15,838.19</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£15,838.19</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B13</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Drawers 400 x 725 x 570mm — 3 drawers</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£108.53</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£83,568.10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£83,568.10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B13</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ACC Pedestal — 3 drawers on castors</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DDA rooms</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£120.95</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£5,200.85</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£5,200.85</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B28</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Bed Double — 1420 x 1950 x 450mm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MFC with storage</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£207.11</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£159,474.70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£8,905.73</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£168,380.43</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B46</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Headboard Flat Double — 1400 x 550 x 18mm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£28.17</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£21,690.90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£1,211.31</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£22,902.21</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B43</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Extended Headboard Boxed 1650 x 1000 x 150mm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Service zone from kitchen</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£86.16</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£66,343.20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£66,343.20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B61</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Wardrobe 700 x 2100 x 600mm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 doors, full shelf, full hanging rail</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Station Rd</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£244.48</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£188,249.60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£188,249.60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B64</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Wardrobe 400 x 2100 x 600mm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1 door, full shelf, full hanging rail</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Station Rd</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£208.47</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£160,521.90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£160,521.90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B55</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Wardrobe 1000 x 2100 x 600mm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 doors, full shelf, full hanging rail</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£284.99</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£12,254.57</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£12,254.57</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B73</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Tall Open Shelving 400 x 2100 x 600mm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5 fixed shelves</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£124.27</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£95,687.90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£5,343.61</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£101,031.51</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B76</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Pull-down DDA rail within wardrobe</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Grey — DDA rooms</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Hafele</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805.20.056</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£95.38</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£4,101.34</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£4,101.34</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B82</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Coathooks on pattress</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Umbra</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£14.36</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£11,057.20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£617.48</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£11,674.68</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B64</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Tall infill 2100 x 70 x 18mm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£13.26</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£10,210.20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£570.18</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£10,780.38</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B84</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Mirror 500 x 1600 x 4mm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Chrome fixings, safety backed</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Tradesliders</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£46.31</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£35,658.70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£1,991.33</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£37,650.03</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B84</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Mirror back panel</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£26.92</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£20,728.40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£1,157.56</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£21,885.96</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B93</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Pinboard 1800 x 600 x 9mm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Polycolour, mechanically fixed</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Pitts</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Polycolour</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£48.46</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£2,083.78</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£2,083.78</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B96</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Pinboard 2100 x 600 x 9mm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Polycolour, mechanically fixed</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Pitts</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Polycolour</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£64.62</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£49,757.40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£49,757.40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INS</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Installation — Standard Studio bedroom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Offload, distribute, unpack, assemble, fix, waste, snag</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£242.75</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£186,917.50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£186,917.50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INS</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Installation — Studio ACC/DDA bedroom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£299.16</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£12,863.88</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£12,863.88</w:t>
            </w:r>
          </w:p>
        </w:tc>
      </w:tr>
      <w:tr>
        <w:tc>
          <w:tcPr>
            <w:tcW w:type="dxa" w:w="7993"/>
            <w:gridSpan w:val="9"/>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TOTAL</w:t>
            </w:r>
          </w:p>
        </w:tc>
        <w:tc>
          <w:tcPr>
            <w:tcW w:type="dxa" w:w="1645"/>
            <w:gridSpan w:val="2"/>
            <w:tcBorders>
              <w:top w:val="single" w:color="1A1A2E" w:sz="6"/>
              <w:left w:val="single" w:color="1A1A2E" w:sz="6"/>
              <w:bottom w:val="single" w:color="1A1A2E" w:sz="6"/>
              <w:right w:val="single" w:color="1A1A2E" w:sz="6"/>
            </w:tcBorders>
            <w:shd w:fill="E8C547" w:val="clear"/>
            <w:tcMar>
              <w:top w:type="dxa" w:w="80"/>
              <w:left w:type="dxa" w:w="100"/>
              <w:bottom w:type="dxa" w:w="80"/>
              <w:right w:type="dxa" w:w="100"/>
            </w:tcMar>
          </w:tcPr>
          <w:p>
            <w:pPr>
              <w:spacing w:after="0" w:before="0"/>
              <w:jc w:val="right"/>
            </w:pPr>
            <w:r>
              <w:rPr>
                <w:rFonts w:ascii="Arial" w:cs="Arial" w:eastAsia="Arial" w:hAnsi="Arial"/>
                <w:b/>
                <w:bCs/>
                <w:color w:val="1A1A2E"/>
                <w:sz w:val="18"/>
                <w:szCs w:val="18"/>
              </w:rPr>
              <w:t xml:space="preserve">£1,221,345.32</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60" w:before="0"/>
      </w:pPr>
      <w:r>
        <w:rPr>
          <w:rFonts w:ascii="Arial" w:cs="Arial" w:eastAsia="Arial" w:hAnsi="Arial"/>
          <w:color w:val="333333"/>
          <w:sz w:val="20"/>
          <w:szCs w:val="20"/>
        </w:rPr>
        <w:t xml:space="preserve"/>
      </w:r>
    </w:p>
    <w:p>
      <w:pPr>
        <w:spacing w:after="60" w:before="0"/>
      </w:pPr>
      <w:r>
        <w:rPr>
          <w:rFonts w:ascii="Arial" w:cs="Arial" w:eastAsia="Arial" w:hAnsi="Arial"/>
          <w:color w:val="7F8C8D"/>
          <w:sz w:val="16"/>
          <w:szCs w:val="16"/>
        </w:rPr>
        <w:t xml:space="preserve">Finishes: Kronospan Band A  |  18mm carcass  |  Metabox soft close drawers  |  155° soft close hinges  |  Discreet to base units, overhang to wall units</w:t>
      </w:r>
    </w:p>
    <w:p>
      <w:pPr>
        <w:spacing w:after="4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505"/>
        <w:gridCol w:w="1252"/>
        <w:gridCol w:w="674"/>
        <w:gridCol w:w="674"/>
        <w:gridCol w:w="674"/>
        <w:gridCol w:w="481"/>
        <w:gridCol w:w="867"/>
        <w:gridCol w:w="385"/>
        <w:gridCol w:w="771"/>
        <w:gridCol w:w="874"/>
      </w:tblGrid>
      <w:tr>
        <w:tc>
          <w:tcPr>
            <w:tcW w:type="dxa" w:w="48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Code</w:t>
            </w:r>
          </w:p>
        </w:tc>
        <w:tc>
          <w:tcPr>
            <w:tcW w:type="dxa" w:w="2505"/>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Description</w:t>
            </w:r>
          </w:p>
        </w:tc>
        <w:tc>
          <w:tcPr>
            <w:tcW w:type="dxa" w:w="1252"/>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Spec</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Supplier</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Model</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6"/>
                <w:szCs w:val="16"/>
              </w:rPr>
              <w:t xml:space="preserve">Rate (£)</w:t>
            </w:r>
          </w:p>
        </w:tc>
        <w:tc>
          <w:tcPr>
            <w:tcW w:type="dxa" w:w="48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Studio
(770)</w:t>
            </w:r>
          </w:p>
        </w:tc>
        <w:tc>
          <w:tcPr>
            <w:tcW w:type="dxa" w:w="867"/>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Studio
sub-total</w:t>
            </w:r>
          </w:p>
        </w:tc>
        <w:tc>
          <w:tcPr>
            <w:tcW w:type="dxa" w:w="385"/>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ACC
(43)</w:t>
            </w:r>
          </w:p>
        </w:tc>
        <w:tc>
          <w:tcPr>
            <w:tcW w:type="dxa" w:w="77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ACC
sub-total</w:t>
            </w:r>
          </w:p>
        </w:tc>
        <w:tc>
          <w:tcPr>
            <w:tcW w:type="dxa" w:w="8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TOTAL (£)</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K4</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Wall Unit 600 x 720 x 340mm — 1 door and shelf</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Studios and ACC</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£67.85</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£104,489.00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£5,835.10</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£110,324.10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K9</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Extractor Unit 600 x 720 x 340mm — top opening with shelf</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All kitchens</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£74.48</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£57,349.60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£3,202.64</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£60,552.24</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K13</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Base Unit 600 x 720 x 600mm highline</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ACC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£85.25</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£3,665.75</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£3,665.75</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K25</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Sink Unit 600 x 720 x 600mm inc removable back</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£79.03</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£60,853.10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£60,853.10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K25</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Undercounter Fridge Door 600 x 720 x 18mm on plinth</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Beeston</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£23.10</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£17,787.00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£17,787.00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K28</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Combi Housing 600 x 720 x 600mm with pan drawer</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£89.51</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£68,922.70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£68,922.70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K34</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ACC Tall Microwave Housing 600 x 2100 x 600mm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DDA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£254.50</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£10,943.50</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£10,943.50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K46</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DDA Adjustable Height Mechanism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Rak Systems HA-700-C-BOXY-SINK</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Rak Systems</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HA-700-C-BOXY-SINK</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£381.79</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£16,416.97</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£16,416.97</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K40</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HPL Worktop Square edge 4100 x 650 x 25mm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Egger — 0.5 board per studio/ACC</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Panelco</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£73.59</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£56,664.30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£3,164.37</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£59,828.67</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K52</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HPL Splashback per kitchen</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Egger — Studio: 0.72m2 | ACC: 1.44m2</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Panelco</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£65/m2</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£79.87</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£61,499.90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£61,499.90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K52</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HPL Splashback per kitchen (ACC)</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Egger — 1.44m2</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Panelco</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£65/m2</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£159.74</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£6,868.82</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£6,868.82</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K61</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Brushed SS Splashback 600 x 600 x 9mm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 ×2 | ACC ×1</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MPM</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£73.73</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£113,544.20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£3,170.39</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£116,714.59</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K64</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Wall infill 720 x 70 x 18mm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 ×2 | ACC ×1</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£6.41</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£9,871.40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£275.63</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£10,147.03</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K67</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Base infill 720 x 70 x 18mm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 ×2 | ACC ×1</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£6.61</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£10,179.40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£284.23</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£10,463.63</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K70</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Base End Panel</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ACC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£18.42</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£792.06</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£792.06</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K73</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Wall End Panel</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ACC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£11.60</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£498.80</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£498.80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K82</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DDA sink modesty panel 1200 x 200 x 18mm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ACC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Factory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 pricelist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£41.42</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£1,781.06</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£1,781.06</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K85</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BLANCO Sink and Tap</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DINAS 45S MINI + MILA ECO — dry fit only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Blanco</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Station Road</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£175.65</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£135,250.50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£7,552.95</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£142,803.45</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INS</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Installation — Studio kitchen</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Offload, distribute, unpack, assemble, fix, waste, snag</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£427.38</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£329,082.60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£329,082.60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INS</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Installation — Studio ACC kitchen</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£683.80</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£29,403.40</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£29,403.40</w:t>
            </w:r>
          </w:p>
        </w:tc>
      </w:tr>
      <w:tr>
        <w:tc>
          <w:tcPr>
            <w:tcW w:type="dxa" w:w="7993"/>
            <w:gridSpan w:val="9"/>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TOTAL</w:t>
            </w:r>
          </w:p>
        </w:tc>
        <w:tc>
          <w:tcPr>
            <w:tcW w:type="dxa" w:w="1645"/>
            <w:gridSpan w:val="2"/>
            <w:tcBorders>
              <w:top w:val="single" w:color="1A1A2E" w:sz="6"/>
              <w:left w:val="single" w:color="1A1A2E" w:sz="6"/>
              <w:bottom w:val="single" w:color="1A1A2E" w:sz="6"/>
              <w:right w:val="single" w:color="1A1A2E" w:sz="6"/>
            </w:tcBorders>
            <w:shd w:fill="E8C547" w:val="clear"/>
            <w:tcMar>
              <w:top w:type="dxa" w:w="80"/>
              <w:left w:type="dxa" w:w="100"/>
              <w:bottom w:type="dxa" w:w="80"/>
              <w:right w:type="dxa" w:w="100"/>
            </w:tcMar>
          </w:tcPr>
          <w:p>
            <w:pPr>
              <w:spacing w:after="0" w:before="0"/>
              <w:jc w:val="right"/>
            </w:pPr>
            <w:r>
              <w:rPr>
                <w:rFonts w:ascii="Arial" w:cs="Arial" w:eastAsia="Arial" w:hAnsi="Arial"/>
                <w:b/>
                <w:bCs/>
                <w:color w:val="1A1A2E"/>
                <w:sz w:val="18"/>
                <w:szCs w:val="18"/>
              </w:rPr>
              <w:t xml:space="preserve">£1,119,349.37</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60" w:before="0"/>
      </w:pPr>
      <w:r>
        <w:rPr>
          <w:rFonts w:ascii="Arial" w:cs="Arial" w:eastAsia="Arial" w:hAnsi="Arial"/>
          <w:color w:val="333333"/>
          <w:sz w:val="20"/>
          <w:szCs w:val="20"/>
        </w:rPr>
        <w:t xml:space="preserve"/>
      </w:r>
    </w:p>
    <w:p>
      <w:pPr>
        <w:spacing w:after="60" w:before="0"/>
      </w:pPr>
      <w:r>
        <w:rPr>
          <w:rFonts w:ascii="Arial" w:cs="Arial" w:eastAsia="Arial" w:hAnsi="Arial"/>
          <w:color w:val="7F8C8D"/>
          <w:sz w:val="16"/>
          <w:szCs w:val="16"/>
        </w:rPr>
        <w:t xml:space="preserve">Appliances: Montpellier range  |  Model numbers shown  |  Other options available on request</w:t>
      </w:r>
    </w:p>
    <w:p>
      <w:pPr>
        <w:spacing w:after="4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505"/>
        <w:gridCol w:w="1252"/>
        <w:gridCol w:w="674"/>
        <w:gridCol w:w="674"/>
        <w:gridCol w:w="674"/>
        <w:gridCol w:w="481"/>
        <w:gridCol w:w="867"/>
        <w:gridCol w:w="385"/>
        <w:gridCol w:w="771"/>
        <w:gridCol w:w="874"/>
      </w:tblGrid>
      <w:tr>
        <w:tc>
          <w:tcPr>
            <w:tcW w:type="dxa" w:w="48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Code</w:t>
            </w:r>
          </w:p>
        </w:tc>
        <w:tc>
          <w:tcPr>
            <w:tcW w:type="dxa" w:w="2505"/>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Description</w:t>
            </w:r>
          </w:p>
        </w:tc>
        <w:tc>
          <w:tcPr>
            <w:tcW w:type="dxa" w:w="1252"/>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Spec</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Supplier</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Model</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6"/>
                <w:szCs w:val="16"/>
              </w:rPr>
              <w:t xml:space="preserve">Rate (£)</w:t>
            </w:r>
          </w:p>
        </w:tc>
        <w:tc>
          <w:tcPr>
            <w:tcW w:type="dxa" w:w="48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Studio
(770)</w:t>
            </w:r>
          </w:p>
        </w:tc>
        <w:tc>
          <w:tcPr>
            <w:tcW w:type="dxa" w:w="867"/>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Studio
sub-total</w:t>
            </w:r>
          </w:p>
        </w:tc>
        <w:tc>
          <w:tcPr>
            <w:tcW w:type="dxa" w:w="385"/>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ACC
(43)</w:t>
            </w:r>
          </w:p>
        </w:tc>
        <w:tc>
          <w:tcPr>
            <w:tcW w:type="dxa" w:w="77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ACC
sub-total</w:t>
            </w:r>
          </w:p>
        </w:tc>
        <w:tc>
          <w:tcPr>
            <w:tcW w:type="dxa" w:w="8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TOTAL (£)</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A10</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Hob — 2 ring ceramic cut-off timer with plug</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Studios and ACC</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Montpellier</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MCH29T15</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£88.85</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£68,414.50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£3,820.55</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£72,235.05</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A25</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Extractor — canopy with charcoal filter</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Studios and ACC</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Montpellier</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MCA52S</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£82.11</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£63,224.70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£3,530.73</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£66,755.43</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A28</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Microwave — integrated combi 45L black</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Studios and ACC</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Montpellier</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MWBIC90044</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£403.87</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£310,979.90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£17,366.41</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£328,346.31</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A58</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Fridge — undercounter integrated with icebox</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Standard Studio</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Montpellier</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MBUR115E</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£249.05</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£191,768.50</w:t>
            </w:r>
          </w:p>
        </w:tc>
        <w:tc>
          <w:tcPr>
            <w:tcW w:type="dxa" w:w="385"/>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77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£191,768.50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A61</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Fridge — undercounter freestanding with icebox white</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Studio ACC</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Montpellier</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MDAUCIB54W</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£133.28</w:t>
            </w:r>
          </w:p>
        </w:tc>
        <w:tc>
          <w:tcPr>
            <w:tcW w:type="dxa" w:w="481"/>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867"/>
            <w:tcBorders>
              <w:top w:val="single" w:color="DDDDDD" w:sz="1"/>
              <w:left w:val="single" w:color="DDDDDD" w:sz="1"/>
              <w:bottom w:val="single" w:color="DDDDDD" w:sz="1"/>
              <w:right w:val="single" w:color="DDDDDD" w:sz="1"/>
            </w:tcBorders>
            <w:shd w:fill="F7F5F0" w:val="clear"/>
            <w:tcMar>
              <w:top w:type="dxa" w:w="60"/>
              <w:left w:type="dxa" w:w="100"/>
              <w:bottom w:type="dxa" w:w="60"/>
              <w:right w:type="dxa" w:w="100"/>
            </w:tcMar>
          </w:tcPr>
          <w:p>
            <w:pPr>
              <w:spacing w:after="0" w:before="0"/>
              <w:jc w:val="right"/>
            </w:pPr>
            <w:r>
              <w:rPr>
                <w:rFonts w:ascii="Arial" w:cs="Arial" w:eastAsia="Arial" w:hAnsi="Arial"/>
                <w:b w:val="false"/>
                <w:bCs w:val="false"/>
                <w:color w:val="CCCCCC"/>
                <w:sz w:val="15"/>
                <w:szCs w:val="15"/>
              </w:rPr>
              <w:t xml:space="preserve"/>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£5,731.04</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£5,731.04</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DIS</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Distribution of appliances and dry fit</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Per appliance — 4 per kitchen</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£12.31</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£37,914.80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£2,117.32</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£40,032.12</w:t>
            </w:r>
          </w:p>
        </w:tc>
      </w:tr>
      <w:tr>
        <w:tc>
          <w:tcPr>
            <w:tcW w:type="dxa" w:w="7993"/>
            <w:gridSpan w:val="9"/>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TOTAL</w:t>
            </w:r>
          </w:p>
        </w:tc>
        <w:tc>
          <w:tcPr>
            <w:tcW w:type="dxa" w:w="1645"/>
            <w:gridSpan w:val="2"/>
            <w:tcBorders>
              <w:top w:val="single" w:color="1A1A2E" w:sz="6"/>
              <w:left w:val="single" w:color="1A1A2E" w:sz="6"/>
              <w:bottom w:val="single" w:color="1A1A2E" w:sz="6"/>
              <w:right w:val="single" w:color="1A1A2E" w:sz="6"/>
            </w:tcBorders>
            <w:shd w:fill="E8C547" w:val="clear"/>
            <w:tcMar>
              <w:top w:type="dxa" w:w="80"/>
              <w:left w:type="dxa" w:w="100"/>
              <w:bottom w:type="dxa" w:w="80"/>
              <w:right w:type="dxa" w:w="100"/>
            </w:tcMar>
          </w:tcPr>
          <w:p>
            <w:pPr>
              <w:spacing w:after="0" w:before="0"/>
              <w:jc w:val="right"/>
            </w:pPr>
            <w:r>
              <w:rPr>
                <w:rFonts w:ascii="Arial" w:cs="Arial" w:eastAsia="Arial" w:hAnsi="Arial"/>
                <w:b/>
                <w:bCs/>
                <w:color w:val="1A1A2E"/>
                <w:sz w:val="18"/>
                <w:szCs w:val="18"/>
              </w:rPr>
              <w:t xml:space="preserve">£704,868.45</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60" w:before="0"/>
      </w:pPr>
      <w:r>
        <w:rPr>
          <w:rFonts w:ascii="Arial" w:cs="Arial" w:eastAsia="Arial" w:hAnsi="Arial"/>
          <w:color w:val="333333"/>
          <w:sz w:val="20"/>
          <w:szCs w:val="20"/>
        </w:rPr>
        <w:t xml:space="preserve"/>
      </w:r>
    </w:p>
    <w:p>
      <w:pPr>
        <w:spacing w:after="60" w:before="0"/>
      </w:pPr>
      <w:r>
        <w:rPr>
          <w:rFonts w:ascii="Arial" w:cs="Arial" w:eastAsia="Arial" w:hAnsi="Arial"/>
          <w:color w:val="7F8C8D"/>
          <w:sz w:val="16"/>
          <w:szCs w:val="16"/>
        </w:rPr>
        <w:t xml:space="preserve">Loose goods: mattresses, desk chairs, dining furniture, bins, accessories — per studio</w:t>
      </w:r>
    </w:p>
    <w:p>
      <w:pPr>
        <w:spacing w:after="4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505"/>
        <w:gridCol w:w="1252"/>
        <w:gridCol w:w="674"/>
        <w:gridCol w:w="674"/>
        <w:gridCol w:w="674"/>
        <w:gridCol w:w="481"/>
        <w:gridCol w:w="867"/>
        <w:gridCol w:w="385"/>
        <w:gridCol w:w="771"/>
        <w:gridCol w:w="874"/>
      </w:tblGrid>
      <w:tr>
        <w:tc>
          <w:tcPr>
            <w:tcW w:type="dxa" w:w="48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Code</w:t>
            </w:r>
          </w:p>
        </w:tc>
        <w:tc>
          <w:tcPr>
            <w:tcW w:type="dxa" w:w="2505"/>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Description</w:t>
            </w:r>
          </w:p>
        </w:tc>
        <w:tc>
          <w:tcPr>
            <w:tcW w:type="dxa" w:w="1252"/>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Spec</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Supplier</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left"/>
            </w:pPr>
            <w:r>
              <w:rPr>
                <w:rFonts w:ascii="Arial" w:cs="Arial" w:eastAsia="Arial" w:hAnsi="Arial"/>
                <w:b/>
                <w:bCs/>
                <w:color w:val="FFFFFF"/>
                <w:sz w:val="16"/>
                <w:szCs w:val="16"/>
              </w:rPr>
              <w:t xml:space="preserve">Model</w:t>
            </w:r>
          </w:p>
        </w:tc>
        <w:tc>
          <w:tcPr>
            <w:tcW w:type="dxa" w:w="6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6"/>
                <w:szCs w:val="16"/>
              </w:rPr>
              <w:t xml:space="preserve">Rate (£)</w:t>
            </w:r>
          </w:p>
        </w:tc>
        <w:tc>
          <w:tcPr>
            <w:tcW w:type="dxa" w:w="48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Studio
(770)</w:t>
            </w:r>
          </w:p>
        </w:tc>
        <w:tc>
          <w:tcPr>
            <w:tcW w:type="dxa" w:w="867"/>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Studio
sub-total</w:t>
            </w:r>
          </w:p>
        </w:tc>
        <w:tc>
          <w:tcPr>
            <w:tcW w:type="dxa" w:w="385"/>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ACC
(43)</w:t>
            </w:r>
          </w:p>
        </w:tc>
        <w:tc>
          <w:tcPr>
            <w:tcW w:type="dxa" w:w="771"/>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ACC
sub-total</w:t>
            </w:r>
          </w:p>
        </w:tc>
        <w:tc>
          <w:tcPr>
            <w:tcW w:type="dxa" w:w="874"/>
            <w:tcBorders>
              <w:top w:val="single" w:color="1A1A2E" w:sz="1"/>
              <w:left w:val="single" w:color="1A1A2E" w:sz="1"/>
              <w:bottom w:val="single" w:color="1A1A2E" w:sz="1"/>
              <w:right w:val="single" w:color="1A1A2E" w:sz="1"/>
            </w:tcBorders>
            <w:shd w:fill="1A1A2E" w:val="clear"/>
            <w:tcMar>
              <w:top w:type="dxa" w:w="60"/>
              <w:left w:type="dxa" w:w="100"/>
              <w:bottom w:type="dxa" w:w="60"/>
              <w:right w:type="dxa" w:w="100"/>
            </w:tcMar>
          </w:tcPr>
          <w:p>
            <w:pPr>
              <w:spacing w:after="0" w:before="0"/>
              <w:jc w:val="right"/>
            </w:pPr>
            <w:r>
              <w:rPr>
                <w:rFonts w:ascii="Arial" w:cs="Arial" w:eastAsia="Arial" w:hAnsi="Arial"/>
                <w:b/>
                <w:bCs/>
                <w:color w:val="FFFFFF"/>
                <w:sz w:val="14"/>
                <w:szCs w:val="14"/>
              </w:rPr>
              <w:t xml:space="preserve">TOTAL (£)</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L7</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Mattress Double — 1350 x 1900 x 190mm contract</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Stonehouse</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Mid matt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£88.51</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£68,152.70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£3,805.93</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£71,958.63</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L10</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Desk Chair — mesh gas lift arms crib 5 black</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TC</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Start</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£73.73</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£56,772.10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£3,170.39</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£59,942.49</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L26</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Pedestal Table 750 x 750 x 700mm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25mm MFC top, black base</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Global</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Poland</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£105.42</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£81,173.40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£4,533.06</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£85,706.46</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L53</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Wastepaper Bin — plastic 12L</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Plastic Box Shop</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NWDRB</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£5.14</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£3,957.80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£221.02</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£4,178.82</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L59</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Integrated Bin — 2 x 10L / 1 x 20L</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Emuca</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8199423</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£49.71</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£38,276.70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£2,137.53</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£40,414.23</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L64</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Fire blanket 1 x 1m</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Safety Supply Company</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SGI-GF-FB-10-10A</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£5.80</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£4,466.00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£249.40</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£4,715.40</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DIS</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Distribution — bins, accessories &amp; brown goods</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Per item — approx. 3 per studio</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£3.08</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£7,114.80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£397.32</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£7,512.12</w:t>
            </w:r>
          </w:p>
        </w:tc>
      </w:tr>
      <w:tr>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5"/>
                <w:szCs w:val="15"/>
              </w:rPr>
              <w:t xml:space="preserve">DIS</w:t>
            </w:r>
          </w:p>
        </w:tc>
        <w:tc>
          <w:tcPr>
            <w:tcW w:type="dxa" w:w="250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6"/>
                <w:szCs w:val="16"/>
              </w:rPr>
              <w:t xml:space="preserve">Distribution — assembled goods</w:t>
            </w:r>
          </w:p>
        </w:tc>
        <w:tc>
          <w:tcPr>
            <w:tcW w:type="dxa" w:w="1252"/>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Per item — approx. 5 per studio</w:t>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color w:val="333333"/>
                <w:sz w:val="14"/>
                <w:szCs w:val="14"/>
              </w:rPr>
              <w:t xml:space="preserve"/>
            </w:r>
          </w:p>
        </w:tc>
        <w:tc>
          <w:tcPr>
            <w:tcW w:type="dxa" w:w="6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£15.39</w:t>
            </w:r>
          </w:p>
        </w:tc>
        <w:tc>
          <w:tcPr>
            <w:tcW w:type="dxa" w:w="48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w:t>
            </w:r>
          </w:p>
        </w:tc>
        <w:tc>
          <w:tcPr>
            <w:tcW w:type="dxa" w:w="867"/>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£59,251.50</w:t>
            </w:r>
          </w:p>
        </w:tc>
        <w:tc>
          <w:tcPr>
            <w:tcW w:type="dxa" w:w="385"/>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5</w:t>
            </w:r>
          </w:p>
        </w:tc>
        <w:tc>
          <w:tcPr>
            <w:tcW w:type="dxa" w:w="771"/>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£3,308.85</w:t>
            </w:r>
          </w:p>
        </w:tc>
        <w:tc>
          <w:tcPr>
            <w:tcW w:type="dxa" w:w="874"/>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right"/>
            </w:pPr>
            <w:r>
              <w:rPr>
                <w:rFonts w:ascii="Arial" w:cs="Arial" w:eastAsia="Arial" w:hAnsi="Arial"/>
                <w:b w:val="false"/>
                <w:bCs w:val="false"/>
                <w:color w:val="333333"/>
                <w:sz w:val="15"/>
                <w:szCs w:val="15"/>
              </w:rPr>
              <w:t xml:space="preserve">£62,560.35</w:t>
            </w:r>
          </w:p>
        </w:tc>
      </w:tr>
      <w:tr>
        <w:tc>
          <w:tcPr>
            <w:tcW w:type="dxa" w:w="7993"/>
            <w:gridSpan w:val="9"/>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TOTAL</w:t>
            </w:r>
          </w:p>
        </w:tc>
        <w:tc>
          <w:tcPr>
            <w:tcW w:type="dxa" w:w="1645"/>
            <w:gridSpan w:val="2"/>
            <w:tcBorders>
              <w:top w:val="single" w:color="1A1A2E" w:sz="6"/>
              <w:left w:val="single" w:color="1A1A2E" w:sz="6"/>
              <w:bottom w:val="single" w:color="1A1A2E" w:sz="6"/>
              <w:right w:val="single" w:color="1A1A2E" w:sz="6"/>
            </w:tcBorders>
            <w:shd w:fill="E8C547" w:val="clear"/>
            <w:tcMar>
              <w:top w:type="dxa" w:w="80"/>
              <w:left w:type="dxa" w:w="100"/>
              <w:bottom w:type="dxa" w:w="80"/>
              <w:right w:type="dxa" w:w="100"/>
            </w:tcMar>
          </w:tcPr>
          <w:p>
            <w:pPr>
              <w:spacing w:after="0" w:before="0"/>
              <w:jc w:val="right"/>
            </w:pPr>
            <w:r>
              <w:rPr>
                <w:rFonts w:ascii="Arial" w:cs="Arial" w:eastAsia="Arial" w:hAnsi="Arial"/>
                <w:b/>
                <w:bCs/>
                <w:color w:val="1A1A2E"/>
                <w:sz w:val="18"/>
                <w:szCs w:val="18"/>
              </w:rPr>
              <w:t xml:space="preserve">£336,988.50</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80" w:before="0"/>
      </w:pPr>
      <w:r>
        <w:rPr>
          <w:rFonts w:ascii="Arial" w:cs="Arial" w:eastAsia="Arial" w:hAnsi="Arial"/>
          <w:color w:val="333333"/>
          <w:sz w:val="20"/>
          <w:szCs w:val="20"/>
        </w:rPr>
        <w:t xml:space="preserve"/>
      </w:r>
    </w:p>
    <w:p>
      <w:pPr>
        <w:spacing w:after="60" w:before="0"/>
      </w:pPr>
      <w:r>
        <w:rPr>
          <w:rFonts w:ascii="Arial" w:cs="Arial" w:eastAsia="Arial" w:hAnsi="Arial"/>
          <w:b/>
          <w:bCs/>
          <w:color w:val="1A1A2E"/>
          <w:sz w:val="22"/>
          <w:szCs w:val="22"/>
        </w:rPr>
        <w:t xml:space="preserve">Flagstaffe Room Splits —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156"/>
        <w:gridCol w:w="1156"/>
        <w:gridCol w:w="1156"/>
        <w:gridCol w:w="1156"/>
        <w:gridCol w:w="1156"/>
        <w:gridCol w:w="1156"/>
        <w:gridCol w:w="968"/>
      </w:tblGrid>
      <w:tr>
        <w:tc>
          <w:tcPr>
            <w:tcW w:type="dxa" w:w="1734"/>
            <w:tcBorders>
              <w:top w:val="single" w:color="1A1A2E" w:sz="1"/>
              <w:left w:val="single" w:color="1A1A2E" w:sz="1"/>
              <w:bottom w:val="single" w:color="1A1A2E" w:sz="1"/>
              <w:right w:val="single" w:color="1A1A2E" w:sz="1"/>
            </w:tcBorders>
            <w:shd w:fill="1A1A2E" w:val="clear"/>
            <w:tcMar>
              <w:top w:type="dxa" w:w="70"/>
              <w:left w:type="dxa" w:w="120"/>
              <w:bottom w:type="dxa" w:w="70"/>
              <w:right w:type="dxa" w:w="120"/>
            </w:tcMar>
          </w:tcPr>
          <w:p>
            <w:pPr>
              <w:spacing w:after="0" w:before="0"/>
              <w:jc w:val="right"/>
            </w:pPr>
            <w:r>
              <w:rPr>
                <w:rFonts w:ascii="Arial" w:cs="Arial" w:eastAsia="Arial" w:hAnsi="Arial"/>
                <w:b/>
                <w:bCs/>
                <w:color w:val="FFFFFF"/>
                <w:sz w:val="17"/>
                <w:szCs w:val="17"/>
              </w:rPr>
              <w:t xml:space="preserve">Room Type</w:t>
            </w:r>
          </w:p>
        </w:tc>
        <w:tc>
          <w:tcPr>
            <w:tcW w:type="dxa" w:w="1156"/>
            <w:tcBorders>
              <w:top w:val="single" w:color="1A1A2E" w:sz="1"/>
              <w:left w:val="single" w:color="1A1A2E" w:sz="1"/>
              <w:bottom w:val="single" w:color="1A1A2E" w:sz="1"/>
              <w:right w:val="single" w:color="1A1A2E" w:sz="1"/>
            </w:tcBorders>
            <w:shd w:fill="1A1A2E" w:val="clear"/>
            <w:tcMar>
              <w:top w:type="dxa" w:w="70"/>
              <w:left w:type="dxa" w:w="120"/>
              <w:bottom w:type="dxa" w:w="70"/>
              <w:right w:type="dxa" w:w="120"/>
            </w:tcMar>
          </w:tcPr>
          <w:p>
            <w:pPr>
              <w:spacing w:after="0" w:before="0"/>
              <w:jc w:val="right"/>
            </w:pPr>
            <w:r>
              <w:rPr>
                <w:rFonts w:ascii="Arial" w:cs="Arial" w:eastAsia="Arial" w:hAnsi="Arial"/>
                <w:b/>
                <w:bCs/>
                <w:color w:val="FFFFFF"/>
                <w:sz w:val="17"/>
                <w:szCs w:val="17"/>
              </w:rPr>
              <w:t xml:space="preserve">Total per Room</w:t>
            </w:r>
          </w:p>
        </w:tc>
        <w:tc>
          <w:tcPr>
            <w:tcW w:type="dxa" w:w="1156"/>
            <w:tcBorders>
              <w:top w:val="single" w:color="1A1A2E" w:sz="1"/>
              <w:left w:val="single" w:color="1A1A2E" w:sz="1"/>
              <w:bottom w:val="single" w:color="1A1A2E" w:sz="1"/>
              <w:right w:val="single" w:color="1A1A2E" w:sz="1"/>
            </w:tcBorders>
            <w:shd w:fill="1A1A2E" w:val="clear"/>
            <w:tcMar>
              <w:top w:type="dxa" w:w="70"/>
              <w:left w:type="dxa" w:w="120"/>
              <w:bottom w:type="dxa" w:w="70"/>
              <w:right w:type="dxa" w:w="120"/>
            </w:tcMar>
          </w:tcPr>
          <w:p>
            <w:pPr>
              <w:spacing w:after="0" w:before="0"/>
              <w:jc w:val="right"/>
            </w:pPr>
            <w:r>
              <w:rPr>
                <w:rFonts w:ascii="Arial" w:cs="Arial" w:eastAsia="Arial" w:hAnsi="Arial"/>
                <w:b/>
                <w:bCs/>
                <w:color w:val="FFFFFF"/>
                <w:sz w:val="17"/>
                <w:szCs w:val="17"/>
              </w:rPr>
              <w:t xml:space="preserve">Bedrooms</w:t>
            </w:r>
          </w:p>
        </w:tc>
        <w:tc>
          <w:tcPr>
            <w:tcW w:type="dxa" w:w="1156"/>
            <w:tcBorders>
              <w:top w:val="single" w:color="1A1A2E" w:sz="1"/>
              <w:left w:val="single" w:color="1A1A2E" w:sz="1"/>
              <w:bottom w:val="single" w:color="1A1A2E" w:sz="1"/>
              <w:right w:val="single" w:color="1A1A2E" w:sz="1"/>
            </w:tcBorders>
            <w:shd w:fill="1A1A2E" w:val="clear"/>
            <w:tcMar>
              <w:top w:type="dxa" w:w="70"/>
              <w:left w:type="dxa" w:w="120"/>
              <w:bottom w:type="dxa" w:w="70"/>
              <w:right w:type="dxa" w:w="120"/>
            </w:tcMar>
          </w:tcPr>
          <w:p>
            <w:pPr>
              <w:spacing w:after="0" w:before="0"/>
              <w:jc w:val="right"/>
            </w:pPr>
            <w:r>
              <w:rPr>
                <w:rFonts w:ascii="Arial" w:cs="Arial" w:eastAsia="Arial" w:hAnsi="Arial"/>
                <w:b/>
                <w:bCs/>
                <w:color w:val="FFFFFF"/>
                <w:sz w:val="17"/>
                <w:szCs w:val="17"/>
              </w:rPr>
              <w:t xml:space="preserve">Kitchen</w:t>
            </w:r>
          </w:p>
        </w:tc>
        <w:tc>
          <w:tcPr>
            <w:tcW w:type="dxa" w:w="1156"/>
            <w:tcBorders>
              <w:top w:val="single" w:color="1A1A2E" w:sz="1"/>
              <w:left w:val="single" w:color="1A1A2E" w:sz="1"/>
              <w:bottom w:val="single" w:color="1A1A2E" w:sz="1"/>
              <w:right w:val="single" w:color="1A1A2E" w:sz="1"/>
            </w:tcBorders>
            <w:shd w:fill="1A1A2E" w:val="clear"/>
            <w:tcMar>
              <w:top w:type="dxa" w:w="70"/>
              <w:left w:type="dxa" w:w="120"/>
              <w:bottom w:type="dxa" w:w="70"/>
              <w:right w:type="dxa" w:w="120"/>
            </w:tcMar>
          </w:tcPr>
          <w:p>
            <w:pPr>
              <w:spacing w:after="0" w:before="0"/>
              <w:jc w:val="right"/>
            </w:pPr>
            <w:r>
              <w:rPr>
                <w:rFonts w:ascii="Arial" w:cs="Arial" w:eastAsia="Arial" w:hAnsi="Arial"/>
                <w:b/>
                <w:bCs/>
                <w:color w:val="FFFFFF"/>
                <w:sz w:val="17"/>
                <w:szCs w:val="17"/>
              </w:rPr>
              <w:t xml:space="preserve">Loose</w:t>
            </w:r>
          </w:p>
        </w:tc>
        <w:tc>
          <w:tcPr>
            <w:tcW w:type="dxa" w:w="1156"/>
            <w:tcBorders>
              <w:top w:val="single" w:color="1A1A2E" w:sz="1"/>
              <w:left w:val="single" w:color="1A1A2E" w:sz="1"/>
              <w:bottom w:val="single" w:color="1A1A2E" w:sz="1"/>
              <w:right w:val="single" w:color="1A1A2E" w:sz="1"/>
            </w:tcBorders>
            <w:shd w:fill="1A1A2E" w:val="clear"/>
            <w:tcMar>
              <w:top w:type="dxa" w:w="70"/>
              <w:left w:type="dxa" w:w="120"/>
              <w:bottom w:type="dxa" w:w="70"/>
              <w:right w:type="dxa" w:w="120"/>
            </w:tcMar>
          </w:tcPr>
          <w:p>
            <w:pPr>
              <w:spacing w:after="0" w:before="0"/>
              <w:jc w:val="right"/>
            </w:pPr>
            <w:r>
              <w:rPr>
                <w:rFonts w:ascii="Arial" w:cs="Arial" w:eastAsia="Arial" w:hAnsi="Arial"/>
                <w:b/>
                <w:bCs/>
                <w:color w:val="FFFFFF"/>
                <w:sz w:val="17"/>
                <w:szCs w:val="17"/>
              </w:rPr>
              <w:t xml:space="preserve">Appliances</w:t>
            </w:r>
          </w:p>
        </w:tc>
        <w:tc>
          <w:tcPr>
            <w:tcW w:type="dxa" w:w="1156"/>
            <w:tcBorders>
              <w:top w:val="single" w:color="1A1A2E" w:sz="1"/>
              <w:left w:val="single" w:color="1A1A2E" w:sz="1"/>
              <w:bottom w:val="single" w:color="1A1A2E" w:sz="1"/>
              <w:right w:val="single" w:color="1A1A2E" w:sz="1"/>
            </w:tcBorders>
            <w:shd w:fill="1A1A2E" w:val="clear"/>
            <w:tcMar>
              <w:top w:type="dxa" w:w="70"/>
              <w:left w:type="dxa" w:w="120"/>
              <w:bottom w:type="dxa" w:w="70"/>
              <w:right w:type="dxa" w:w="120"/>
            </w:tcMar>
          </w:tcPr>
          <w:p>
            <w:pPr>
              <w:spacing w:after="0" w:before="0"/>
              <w:jc w:val="right"/>
            </w:pPr>
            <w:r>
              <w:rPr>
                <w:rFonts w:ascii="Arial" w:cs="Arial" w:eastAsia="Arial" w:hAnsi="Arial"/>
                <w:b/>
                <w:bCs/>
                <w:color w:val="FFFFFF"/>
                <w:sz w:val="17"/>
                <w:szCs w:val="17"/>
              </w:rPr>
              <w:t xml:space="preserve">Qty</w:t>
            </w:r>
          </w:p>
        </w:tc>
        <w:tc>
          <w:tcPr>
            <w:tcW w:type="dxa" w:w="968"/>
            <w:tcBorders>
              <w:top w:val="single" w:color="1A1A2E" w:sz="1"/>
              <w:left w:val="single" w:color="1A1A2E" w:sz="1"/>
              <w:bottom w:val="single" w:color="1A1A2E" w:sz="1"/>
              <w:right w:val="single" w:color="1A1A2E" w:sz="1"/>
            </w:tcBorders>
            <w:shd w:fill="1A1A2E" w:val="clear"/>
            <w:tcMar>
              <w:top w:type="dxa" w:w="70"/>
              <w:left w:type="dxa" w:w="120"/>
              <w:bottom w:type="dxa" w:w="70"/>
              <w:right w:type="dxa" w:w="120"/>
            </w:tcMar>
          </w:tcPr>
          <w:p>
            <w:pPr>
              <w:spacing w:after="0" w:before="0"/>
              <w:jc w:val="right"/>
            </w:pPr>
            <w:r>
              <w:rPr>
                <w:rFonts w:ascii="Arial" w:cs="Arial" w:eastAsia="Arial" w:hAnsi="Arial"/>
                <w:b/>
                <w:bCs/>
                <w:color w:val="FFFFFF"/>
                <w:sz w:val="17"/>
                <w:szCs w:val="17"/>
              </w:rPr>
              <w:t xml:space="preserve">Grand Total</w:t>
            </w:r>
          </w:p>
        </w:tc>
      </w:tr>
      <w:tr>
        <w:tc>
          <w:tcPr>
            <w:tcW w:type="dxa" w:w="1734"/>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Standard Studio</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£4,290.50</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£1,511.07</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£1,331.80</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£574.52</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£873.11</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770</w:t>
            </w:r>
          </w:p>
        </w:tc>
        <w:tc>
          <w:tcPr>
            <w:tcW w:type="dxa" w:w="968"/>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£3,303,685.00</w:t>
            </w:r>
          </w:p>
        </w:tc>
      </w:tr>
      <w:tr>
        <w:tc>
          <w:tcPr>
            <w:tcW w:type="dxa" w:w="1734"/>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Studio ACC</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£5,248.89</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£1,734.34</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£2,182.68</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£574.52</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£757.34</w:t>
            </w:r>
          </w:p>
        </w:tc>
        <w:tc>
          <w:tcPr>
            <w:tcW w:type="dxa" w:w="115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43</w:t>
            </w:r>
          </w:p>
        </w:tc>
        <w:tc>
          <w:tcPr>
            <w:tcW w:type="dxa" w:w="968"/>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jc w:val="right"/>
            </w:pPr>
            <w:r>
              <w:rPr>
                <w:rFonts w:ascii="Arial" w:cs="Arial" w:eastAsia="Arial" w:hAnsi="Arial"/>
                <w:b w:val="false"/>
                <w:bCs w:val="false"/>
                <w:color w:val="1A1A2E"/>
                <w:sz w:val="17"/>
                <w:szCs w:val="17"/>
              </w:rPr>
              <w:t xml:space="preserve">£225,702.27</w:t>
            </w:r>
          </w:p>
        </w:tc>
      </w:tr>
      <w:tr>
        <w:tc>
          <w:tcPr>
            <w:tcW w:type="dxa" w:w="1734"/>
            <w:tcBorders>
              <w:top w:val="single" w:color="DDDDDD" w:sz="1"/>
              <w:left w:val="single" w:color="DDDDDD" w:sz="1"/>
              <w:bottom w:val="single" w:color="DDDDDD" w:sz="1"/>
              <w:right w:val="single" w:color="DDDDDD" w:sz="1"/>
            </w:tcBorders>
            <w:shd w:fill="E8C547" w:val="clear"/>
            <w:tcMar>
              <w:top w:type="dxa" w:w="70"/>
              <w:left w:type="dxa" w:w="120"/>
              <w:bottom w:type="dxa" w:w="70"/>
              <w:right w:type="dxa" w:w="120"/>
            </w:tcMar>
          </w:tcPr>
          <w:p>
            <w:pPr>
              <w:spacing w:after="0" w:before="0"/>
              <w:jc w:val="right"/>
            </w:pPr>
            <w:r>
              <w:rPr>
                <w:rFonts w:ascii="Arial" w:cs="Arial" w:eastAsia="Arial" w:hAnsi="Arial"/>
                <w:b/>
                <w:bCs/>
                <w:color w:val="1A1A2E"/>
                <w:sz w:val="17"/>
                <w:szCs w:val="17"/>
              </w:rPr>
              <w:t xml:space="preserve">PM Fee</w:t>
            </w:r>
          </w:p>
        </w:tc>
        <w:tc>
          <w:tcPr>
            <w:tcW w:type="dxa" w:w="1156"/>
            <w:tcBorders>
              <w:top w:val="single" w:color="DDDDDD" w:sz="1"/>
              <w:left w:val="single" w:color="DDDDDD" w:sz="1"/>
              <w:bottom w:val="single" w:color="DDDDDD" w:sz="1"/>
              <w:right w:val="single" w:color="DDDDDD" w:sz="1"/>
            </w:tcBorders>
            <w:shd w:fill="E8C547" w:val="clear"/>
            <w:tcMar>
              <w:top w:type="dxa" w:w="70"/>
              <w:left w:type="dxa" w:w="120"/>
              <w:bottom w:type="dxa" w:w="70"/>
              <w:right w:type="dxa" w:w="120"/>
            </w:tcMar>
          </w:tcPr>
          <w:p>
            <w:pPr>
              <w:spacing w:after="0" w:before="0"/>
              <w:jc w:val="right"/>
            </w:pPr>
            <w:r>
              <w:rPr>
                <w:rFonts w:ascii="Arial" w:cs="Arial" w:eastAsia="Arial" w:hAnsi="Arial"/>
                <w:b/>
                <w:bCs/>
                <w:color w:val="1A1A2E"/>
                <w:sz w:val="17"/>
                <w:szCs w:val="17"/>
              </w:rPr>
              <w:t xml:space="preserve"/>
            </w:r>
          </w:p>
        </w:tc>
        <w:tc>
          <w:tcPr>
            <w:tcW w:type="dxa" w:w="1156"/>
            <w:tcBorders>
              <w:top w:val="single" w:color="DDDDDD" w:sz="1"/>
              <w:left w:val="single" w:color="DDDDDD" w:sz="1"/>
              <w:bottom w:val="single" w:color="DDDDDD" w:sz="1"/>
              <w:right w:val="single" w:color="DDDDDD" w:sz="1"/>
            </w:tcBorders>
            <w:shd w:fill="E8C547" w:val="clear"/>
            <w:tcMar>
              <w:top w:type="dxa" w:w="70"/>
              <w:left w:type="dxa" w:w="120"/>
              <w:bottom w:type="dxa" w:w="70"/>
              <w:right w:type="dxa" w:w="120"/>
            </w:tcMar>
          </w:tcPr>
          <w:p>
            <w:pPr>
              <w:spacing w:after="0" w:before="0"/>
              <w:jc w:val="right"/>
            </w:pPr>
            <w:r>
              <w:rPr>
                <w:rFonts w:ascii="Arial" w:cs="Arial" w:eastAsia="Arial" w:hAnsi="Arial"/>
                <w:b/>
                <w:bCs/>
                <w:color w:val="1A1A2E"/>
                <w:sz w:val="17"/>
                <w:szCs w:val="17"/>
              </w:rPr>
              <w:t xml:space="preserve"/>
            </w:r>
          </w:p>
        </w:tc>
        <w:tc>
          <w:tcPr>
            <w:tcW w:type="dxa" w:w="1156"/>
            <w:tcBorders>
              <w:top w:val="single" w:color="DDDDDD" w:sz="1"/>
              <w:left w:val="single" w:color="DDDDDD" w:sz="1"/>
              <w:bottom w:val="single" w:color="DDDDDD" w:sz="1"/>
              <w:right w:val="single" w:color="DDDDDD" w:sz="1"/>
            </w:tcBorders>
            <w:shd w:fill="E8C547" w:val="clear"/>
            <w:tcMar>
              <w:top w:type="dxa" w:w="70"/>
              <w:left w:type="dxa" w:w="120"/>
              <w:bottom w:type="dxa" w:w="70"/>
              <w:right w:type="dxa" w:w="120"/>
            </w:tcMar>
          </w:tcPr>
          <w:p>
            <w:pPr>
              <w:spacing w:after="0" w:before="0"/>
              <w:jc w:val="right"/>
            </w:pPr>
            <w:r>
              <w:rPr>
                <w:rFonts w:ascii="Arial" w:cs="Arial" w:eastAsia="Arial" w:hAnsi="Arial"/>
                <w:b/>
                <w:bCs/>
                <w:color w:val="1A1A2E"/>
                <w:sz w:val="17"/>
                <w:szCs w:val="17"/>
              </w:rPr>
              <w:t xml:space="preserve"/>
            </w:r>
          </w:p>
        </w:tc>
        <w:tc>
          <w:tcPr>
            <w:tcW w:type="dxa" w:w="1156"/>
            <w:tcBorders>
              <w:top w:val="single" w:color="DDDDDD" w:sz="1"/>
              <w:left w:val="single" w:color="DDDDDD" w:sz="1"/>
              <w:bottom w:val="single" w:color="DDDDDD" w:sz="1"/>
              <w:right w:val="single" w:color="DDDDDD" w:sz="1"/>
            </w:tcBorders>
            <w:shd w:fill="E8C547" w:val="clear"/>
            <w:tcMar>
              <w:top w:type="dxa" w:w="70"/>
              <w:left w:type="dxa" w:w="120"/>
              <w:bottom w:type="dxa" w:w="70"/>
              <w:right w:type="dxa" w:w="120"/>
            </w:tcMar>
          </w:tcPr>
          <w:p>
            <w:pPr>
              <w:spacing w:after="0" w:before="0"/>
              <w:jc w:val="right"/>
            </w:pPr>
            <w:r>
              <w:rPr>
                <w:rFonts w:ascii="Arial" w:cs="Arial" w:eastAsia="Arial" w:hAnsi="Arial"/>
                <w:b/>
                <w:bCs/>
                <w:color w:val="1A1A2E"/>
                <w:sz w:val="17"/>
                <w:szCs w:val="17"/>
              </w:rPr>
              <w:t xml:space="preserve"/>
            </w:r>
          </w:p>
        </w:tc>
        <w:tc>
          <w:tcPr>
            <w:tcW w:type="dxa" w:w="1156"/>
            <w:tcBorders>
              <w:top w:val="single" w:color="DDDDDD" w:sz="1"/>
              <w:left w:val="single" w:color="DDDDDD" w:sz="1"/>
              <w:bottom w:val="single" w:color="DDDDDD" w:sz="1"/>
              <w:right w:val="single" w:color="DDDDDD" w:sz="1"/>
            </w:tcBorders>
            <w:shd w:fill="E8C547" w:val="clear"/>
            <w:tcMar>
              <w:top w:type="dxa" w:w="70"/>
              <w:left w:type="dxa" w:w="120"/>
              <w:bottom w:type="dxa" w:w="70"/>
              <w:right w:type="dxa" w:w="120"/>
            </w:tcMar>
          </w:tcPr>
          <w:p>
            <w:pPr>
              <w:spacing w:after="0" w:before="0"/>
              <w:jc w:val="right"/>
            </w:pPr>
            <w:r>
              <w:rPr>
                <w:rFonts w:ascii="Arial" w:cs="Arial" w:eastAsia="Arial" w:hAnsi="Arial"/>
                <w:b/>
                <w:bCs/>
                <w:color w:val="1A1A2E"/>
                <w:sz w:val="17"/>
                <w:szCs w:val="17"/>
              </w:rPr>
              <w:t xml:space="preserve"/>
            </w:r>
          </w:p>
        </w:tc>
        <w:tc>
          <w:tcPr>
            <w:tcW w:type="dxa" w:w="1156"/>
            <w:tcBorders>
              <w:top w:val="single" w:color="DDDDDD" w:sz="1"/>
              <w:left w:val="single" w:color="DDDDDD" w:sz="1"/>
              <w:bottom w:val="single" w:color="DDDDDD" w:sz="1"/>
              <w:right w:val="single" w:color="DDDDDD" w:sz="1"/>
            </w:tcBorders>
            <w:shd w:fill="E8C547" w:val="clear"/>
            <w:tcMar>
              <w:top w:type="dxa" w:w="70"/>
              <w:left w:type="dxa" w:w="120"/>
              <w:bottom w:type="dxa" w:w="70"/>
              <w:right w:type="dxa" w:w="120"/>
            </w:tcMar>
          </w:tcPr>
          <w:p>
            <w:pPr>
              <w:spacing w:after="0" w:before="0"/>
              <w:jc w:val="right"/>
            </w:pPr>
            <w:r>
              <w:rPr>
                <w:rFonts w:ascii="Arial" w:cs="Arial" w:eastAsia="Arial" w:hAnsi="Arial"/>
                <w:b/>
                <w:bCs/>
                <w:color w:val="1A1A2E"/>
                <w:sz w:val="17"/>
                <w:szCs w:val="17"/>
              </w:rPr>
              <w:t xml:space="preserve">813 units</w:t>
            </w:r>
          </w:p>
        </w:tc>
        <w:tc>
          <w:tcPr>
            <w:tcW w:type="dxa" w:w="968"/>
            <w:tcBorders>
              <w:top w:val="single" w:color="DDDDDD" w:sz="1"/>
              <w:left w:val="single" w:color="DDDDDD" w:sz="1"/>
              <w:bottom w:val="single" w:color="DDDDDD" w:sz="1"/>
              <w:right w:val="single" w:color="DDDDDD" w:sz="1"/>
            </w:tcBorders>
            <w:shd w:fill="E8C547" w:val="clear"/>
            <w:tcMar>
              <w:top w:type="dxa" w:w="70"/>
              <w:left w:type="dxa" w:w="120"/>
              <w:bottom w:type="dxa" w:w="70"/>
              <w:right w:type="dxa" w:w="120"/>
            </w:tcMar>
          </w:tcPr>
          <w:p>
            <w:pPr>
              <w:spacing w:after="0" w:before="0"/>
              <w:jc w:val="right"/>
            </w:pPr>
            <w:r>
              <w:rPr>
                <w:rFonts w:ascii="Arial" w:cs="Arial" w:eastAsia="Arial" w:hAnsi="Arial"/>
                <w:b/>
                <w:bCs/>
                <w:color w:val="1A1A2E"/>
                <w:sz w:val="17"/>
                <w:szCs w:val="17"/>
              </w:rPr>
              <w:t xml:space="preserve">£55,633.59</w:t>
            </w:r>
          </w:p>
        </w:tc>
      </w:tr>
    </w:tbl>
    <w:p>
      <w:pPr>
        <w:spacing w:after="6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EEEEEE" w:sz="1"/>
              <w:left w:val="single" w:color="1A1A2E" w:sz="1"/>
              <w:bottom w:val="single" w:color="EEEEEE" w:sz="1"/>
              <w:right w:val="single" w:color="EEEEEE" w:sz="1"/>
            </w:tcBorders>
            <w:shd w:fill="F7F5F0" w:val="clear"/>
            <w:tcMar>
              <w:top w:type="dxa" w:w="70"/>
              <w:left w:type="dxa" w:w="160"/>
              <w:bottom w:type="dxa" w:w="70"/>
              <w:right w:type="dxa" w:w="160"/>
            </w:tcMar>
          </w:tcPr>
          <w:p>
            <w:pPr>
              <w:spacing w:after="0" w:before="0"/>
            </w:pPr>
            <w:r>
              <w:rPr>
                <w:rFonts w:ascii="Arial" w:cs="Arial" w:eastAsia="Arial" w:hAnsi="Arial"/>
                <w:b/>
                <w:bCs/>
                <w:color w:val="1A1A2E"/>
                <w:sz w:val="18"/>
                <w:szCs w:val="18"/>
              </w:rPr>
              <w:t xml:space="preserve">Room totals (excl. PM)</w:t>
            </w:r>
          </w:p>
        </w:tc>
        <w:tc>
          <w:tcPr>
            <w:tcW w:type="dxa" w:w="4338"/>
            <w:tcBorders>
              <w:top w:val="single" w:color="EEEEEE" w:sz="1"/>
              <w:left w:val="single" w:color="EEEEEE" w:sz="1"/>
              <w:bottom w:val="single" w:color="EEEEEE" w:sz="1"/>
              <w:right w:val="single" w:color="1A1A2E" w:sz="1"/>
            </w:tcBorders>
            <w:shd w:fill="FFFFFF" w:val="clear"/>
            <w:tcMar>
              <w:top w:type="dxa" w:w="70"/>
              <w:left w:type="dxa" w:w="160"/>
              <w:bottom w:type="dxa" w:w="70"/>
              <w:right w:type="dxa" w:w="160"/>
            </w:tcMar>
          </w:tcPr>
          <w:p>
            <w:pPr>
              <w:spacing w:after="0" w:before="0"/>
              <w:jc w:val="right"/>
            </w:pPr>
            <w:r>
              <w:rPr>
                <w:rFonts w:ascii="Arial" w:cs="Arial" w:eastAsia="Arial" w:hAnsi="Arial"/>
                <w:b w:val="false"/>
                <w:bCs w:val="false"/>
                <w:color w:val="1A1A2E"/>
                <w:sz w:val="18"/>
                <w:szCs w:val="18"/>
              </w:rPr>
              <w:t xml:space="preserve">£3,529,387.27</w:t>
            </w:r>
          </w:p>
        </w:tc>
      </w:tr>
      <w:tr>
        <w:tc>
          <w:tcPr>
            <w:tcW w:type="dxa" w:w="5300"/>
            <w:tcBorders>
              <w:top w:val="single" w:color="EEEEEE" w:sz="1"/>
              <w:left w:val="single" w:color="1A1A2E" w:sz="1"/>
              <w:bottom w:val="single" w:color="EEEEEE" w:sz="1"/>
              <w:right w:val="single" w:color="EEEEEE" w:sz="1"/>
            </w:tcBorders>
            <w:shd w:fill="F7F5F0" w:val="clear"/>
            <w:tcMar>
              <w:top w:type="dxa" w:w="70"/>
              <w:left w:type="dxa" w:w="160"/>
              <w:bottom w:type="dxa" w:w="70"/>
              <w:right w:type="dxa" w:w="160"/>
            </w:tcMar>
          </w:tcPr>
          <w:p>
            <w:pPr>
              <w:spacing w:after="0" w:before="0"/>
            </w:pPr>
            <w:r>
              <w:rPr>
                <w:rFonts w:ascii="Arial" w:cs="Arial" w:eastAsia="Arial" w:hAnsi="Arial"/>
                <w:b/>
                <w:bCs/>
                <w:color w:val="1A1A2E"/>
                <w:sz w:val="18"/>
                <w:szCs w:val="18"/>
              </w:rPr>
              <w:t xml:space="preserve">Project Management Fee</w:t>
            </w:r>
          </w:p>
        </w:tc>
        <w:tc>
          <w:tcPr>
            <w:tcW w:type="dxa" w:w="4338"/>
            <w:tcBorders>
              <w:top w:val="single" w:color="EEEEEE" w:sz="1"/>
              <w:left w:val="single" w:color="EEEEEE" w:sz="1"/>
              <w:bottom w:val="single" w:color="EEEEEE" w:sz="1"/>
              <w:right w:val="single" w:color="1A1A2E" w:sz="1"/>
            </w:tcBorders>
            <w:shd w:fill="FFFFFF" w:val="clear"/>
            <w:tcMar>
              <w:top w:type="dxa" w:w="70"/>
              <w:left w:type="dxa" w:w="160"/>
              <w:bottom w:type="dxa" w:w="70"/>
              <w:right w:type="dxa" w:w="160"/>
            </w:tcMar>
          </w:tcPr>
          <w:p>
            <w:pPr>
              <w:spacing w:after="0" w:before="0"/>
              <w:jc w:val="right"/>
            </w:pPr>
            <w:r>
              <w:rPr>
                <w:rFonts w:ascii="Arial" w:cs="Arial" w:eastAsia="Arial" w:hAnsi="Arial"/>
                <w:b w:val="false"/>
                <w:bCs w:val="false"/>
                <w:color w:val="1A1A2E"/>
                <w:sz w:val="18"/>
                <w:szCs w:val="18"/>
              </w:rPr>
              <w:t xml:space="preserve">£55,633.59</w:t>
            </w:r>
          </w:p>
        </w:tc>
      </w:tr>
      <w:tr>
        <w:tc>
          <w:tcPr>
            <w:tcW w:type="dxa" w:w="5300"/>
            <w:tcBorders>
              <w:top w:val="single" w:color="EEEEEE" w:sz="1"/>
              <w:left w:val="single" w:color="1A1A2E" w:sz="1"/>
              <w:bottom w:val="single" w:color="EEEEEE" w:sz="1"/>
              <w:right w:val="single" w:color="EEEEEE" w:sz="1"/>
            </w:tcBorders>
            <w:shd w:fill="E8C547" w:val="clear"/>
            <w:tcMar>
              <w:top w:type="dxa" w:w="70"/>
              <w:left w:type="dxa" w:w="160"/>
              <w:bottom w:type="dxa" w:w="70"/>
              <w:right w:type="dxa" w:w="160"/>
            </w:tcMar>
          </w:tcPr>
          <w:p>
            <w:pPr>
              <w:spacing w:after="0" w:before="0"/>
            </w:pPr>
            <w:r>
              <w:rPr>
                <w:rFonts w:ascii="Arial" w:cs="Arial" w:eastAsia="Arial" w:hAnsi="Arial"/>
                <w:b/>
                <w:bCs/>
                <w:color w:val="1A1A2E"/>
                <w:sz w:val="18"/>
                <w:szCs w:val="18"/>
              </w:rPr>
              <w:t xml:space="preserve">Sub-total</w:t>
            </w:r>
          </w:p>
        </w:tc>
        <w:tc>
          <w:tcPr>
            <w:tcW w:type="dxa" w:w="4338"/>
            <w:tcBorders>
              <w:top w:val="single" w:color="EEEEEE" w:sz="1"/>
              <w:left w:val="single" w:color="EEEEEE" w:sz="1"/>
              <w:bottom w:val="single" w:color="EEEEEE" w:sz="1"/>
              <w:right w:val="single" w:color="1A1A2E" w:sz="1"/>
            </w:tcBorders>
            <w:shd w:fill="E8C547" w:val="clear"/>
            <w:tcMar>
              <w:top w:type="dxa" w:w="70"/>
              <w:left w:type="dxa" w:w="160"/>
              <w:bottom w:type="dxa" w:w="70"/>
              <w:right w:type="dxa" w:w="160"/>
            </w:tcMar>
          </w:tcPr>
          <w:p>
            <w:pPr>
              <w:spacing w:after="0" w:before="0"/>
              <w:jc w:val="right"/>
            </w:pPr>
            <w:r>
              <w:rPr>
                <w:rFonts w:ascii="Arial" w:cs="Arial" w:eastAsia="Arial" w:hAnsi="Arial"/>
                <w:b/>
                <w:bCs/>
                <w:color w:val="1A1A2E"/>
                <w:sz w:val="18"/>
                <w:szCs w:val="18"/>
              </w:rPr>
              <w:t xml:space="preserve">£3,585,020.43</w:t>
            </w:r>
          </w:p>
        </w:tc>
      </w:tr>
      <w:tr>
        <w:tc>
          <w:tcPr>
            <w:tcW w:type="dxa" w:w="5300"/>
            <w:tcBorders>
              <w:top w:val="single" w:color="EEEEEE" w:sz="1"/>
              <w:left w:val="single" w:color="1A1A2E" w:sz="1"/>
              <w:bottom w:val="single" w:color="EEEEEE" w:sz="1"/>
              <w:right w:val="single" w:color="EEEEEE" w:sz="1"/>
            </w:tcBorders>
            <w:shd w:fill="FFE8E8" w:val="clear"/>
            <w:tcMar>
              <w:top w:type="dxa" w:w="70"/>
              <w:left w:type="dxa" w:w="160"/>
              <w:bottom w:type="dxa" w:w="70"/>
              <w:right w:type="dxa" w:w="160"/>
            </w:tcMar>
          </w:tcPr>
          <w:p>
            <w:pPr>
              <w:spacing w:after="0" w:before="0"/>
            </w:pPr>
            <w:r>
              <w:rPr>
                <w:rFonts w:ascii="Arial" w:cs="Arial" w:eastAsia="Arial" w:hAnsi="Arial"/>
                <w:b/>
                <w:bCs/>
                <w:color w:val="1A1A2E"/>
                <w:sz w:val="18"/>
                <w:szCs w:val="18"/>
              </w:rPr>
              <w:t xml:space="preserve">2.5% MCD Discount</w:t>
            </w:r>
          </w:p>
        </w:tc>
        <w:tc>
          <w:tcPr>
            <w:tcW w:type="dxa" w:w="4338"/>
            <w:tcBorders>
              <w:top w:val="single" w:color="EEEEEE" w:sz="1"/>
              <w:left w:val="single" w:color="EEEEEE" w:sz="1"/>
              <w:bottom w:val="single" w:color="EEEEEE" w:sz="1"/>
              <w:right w:val="single" w:color="1A1A2E" w:sz="1"/>
            </w:tcBorders>
            <w:shd w:fill="FFE8E8" w:val="clear"/>
            <w:tcMar>
              <w:top w:type="dxa" w:w="70"/>
              <w:left w:type="dxa" w:w="160"/>
              <w:bottom w:type="dxa" w:w="70"/>
              <w:right w:type="dxa" w:w="160"/>
            </w:tcMar>
          </w:tcPr>
          <w:p>
            <w:pPr>
              <w:spacing w:after="0" w:before="0"/>
              <w:jc w:val="right"/>
            </w:pPr>
            <w:r>
              <w:rPr>
                <w:rFonts w:ascii="Arial" w:cs="Arial" w:eastAsia="Arial" w:hAnsi="Arial"/>
                <w:b w:val="false"/>
                <w:bCs w:val="false"/>
                <w:color w:val="C62828"/>
                <w:sz w:val="18"/>
                <w:szCs w:val="18"/>
              </w:rPr>
              <w:t xml:space="preserve">-£89,625.51</w:t>
            </w:r>
          </w:p>
        </w:tc>
      </w:tr>
      <w:tr>
        <w:tc>
          <w:tcPr>
            <w:tcW w:type="dxa" w:w="5300"/>
            <w:tcBorders>
              <w:top w:val="single" w:color="EEEEEE" w:sz="1"/>
              <w:left w:val="single" w:color="1A1A2E" w:sz="1"/>
              <w:bottom w:val="single" w:color="EEEEEE" w:sz="1"/>
              <w:right w:val="single" w:color="EEEEEE" w:sz="1"/>
            </w:tcBorders>
            <w:shd w:fill="E8C547" w:val="clear"/>
            <w:tcMar>
              <w:top w:type="dxa" w:w="70"/>
              <w:left w:type="dxa" w:w="160"/>
              <w:bottom w:type="dxa" w:w="70"/>
              <w:right w:type="dxa" w:w="160"/>
            </w:tcMar>
          </w:tcPr>
          <w:p>
            <w:pPr>
              <w:spacing w:after="0" w:before="0"/>
            </w:pPr>
            <w:r>
              <w:rPr>
                <w:rFonts w:ascii="Arial" w:cs="Arial" w:eastAsia="Arial" w:hAnsi="Arial"/>
                <w:b/>
                <w:bCs/>
                <w:color w:val="1A1A2E"/>
                <w:sz w:val="18"/>
                <w:szCs w:val="18"/>
              </w:rPr>
              <w:t xml:space="preserve">TOTAL</w:t>
            </w:r>
          </w:p>
        </w:tc>
        <w:tc>
          <w:tcPr>
            <w:tcW w:type="dxa" w:w="4338"/>
            <w:tcBorders>
              <w:top w:val="single" w:color="EEEEEE" w:sz="1"/>
              <w:left w:val="single" w:color="EEEEEE" w:sz="1"/>
              <w:bottom w:val="single" w:color="EEEEEE" w:sz="1"/>
              <w:right w:val="single" w:color="1A1A2E" w:sz="1"/>
            </w:tcBorders>
            <w:shd w:fill="E8C547" w:val="clear"/>
            <w:tcMar>
              <w:top w:type="dxa" w:w="70"/>
              <w:left w:type="dxa" w:w="160"/>
              <w:bottom w:type="dxa" w:w="70"/>
              <w:right w:type="dxa" w:w="160"/>
            </w:tcMar>
          </w:tcPr>
          <w:p>
            <w:pPr>
              <w:spacing w:after="0" w:before="0"/>
              <w:jc w:val="right"/>
            </w:pPr>
            <w:r>
              <w:rPr>
                <w:rFonts w:ascii="Arial" w:cs="Arial" w:eastAsia="Arial" w:hAnsi="Arial"/>
                <w:b/>
                <w:bCs/>
                <w:color w:val="1A1A2E"/>
                <w:sz w:val="18"/>
                <w:szCs w:val="18"/>
              </w:rPr>
              <w:t xml:space="preserve">£3,495,394.92</w:t>
            </w:r>
          </w:p>
        </w:tc>
      </w:tr>
      <w:tr>
        <w:tc>
          <w:tcPr>
            <w:tcW w:type="dxa" w:w="5300"/>
            <w:tcBorders>
              <w:top w:val="single" w:color="EEEEEE" w:sz="1"/>
              <w:left w:val="single" w:color="1A1A2E" w:sz="1"/>
              <w:bottom w:val="single" w:color="EEEEEE" w:sz="1"/>
              <w:right w:val="single" w:color="EEEEEE" w:sz="1"/>
            </w:tcBorders>
            <w:shd w:fill="F7F5F0" w:val="clear"/>
            <w:tcMar>
              <w:top w:type="dxa" w:w="70"/>
              <w:left w:type="dxa" w:w="160"/>
              <w:bottom w:type="dxa" w:w="70"/>
              <w:right w:type="dxa" w:w="160"/>
            </w:tcMar>
          </w:tcPr>
          <w:p>
            <w:pPr>
              <w:spacing w:after="0" w:before="0"/>
            </w:pPr>
            <w:r>
              <w:rPr>
                <w:rFonts w:ascii="Arial" w:cs="Arial" w:eastAsia="Arial" w:hAnsi="Arial"/>
                <w:b/>
                <w:bCs/>
                <w:color w:val="1A1A2E"/>
                <w:sz w:val="18"/>
                <w:szCs w:val="18"/>
              </w:rPr>
              <w:t xml:space="preserve">Should show zero — verification check</w:t>
            </w:r>
          </w:p>
        </w:tc>
        <w:tc>
          <w:tcPr>
            <w:tcW w:type="dxa" w:w="4338"/>
            <w:tcBorders>
              <w:top w:val="single" w:color="EEEEEE" w:sz="1"/>
              <w:left w:val="single" w:color="EEEEEE" w:sz="1"/>
              <w:bottom w:val="single" w:color="EEEEEE" w:sz="1"/>
              <w:right w:val="single" w:color="1A1A2E" w:sz="1"/>
            </w:tcBorders>
            <w:shd w:fill="FFFFFF" w:val="clear"/>
            <w:tcMar>
              <w:top w:type="dxa" w:w="70"/>
              <w:left w:type="dxa" w:w="160"/>
              <w:bottom w:type="dxa" w:w="70"/>
              <w:right w:type="dxa" w:w="160"/>
            </w:tcMar>
          </w:tcPr>
          <w:p>
            <w:pPr>
              <w:spacing w:after="0" w:before="0"/>
              <w:jc w:val="right"/>
            </w:pPr>
            <w:r>
              <w:rPr>
                <w:rFonts w:ascii="Arial" w:cs="Arial" w:eastAsia="Arial" w:hAnsi="Arial"/>
                <w:b w:val="false"/>
                <w:bCs w:val="false"/>
                <w:color w:val="1A1A2E"/>
                <w:sz w:val="18"/>
                <w:szCs w:val="18"/>
              </w:rPr>
              <w:t xml:space="preserve">£0.00</w:t>
            </w:r>
          </w:p>
        </w:tc>
      </w:tr>
    </w:tbl>
    <w:p>
      <w:pPr>
        <w:spacing w:after="100" w:before="0"/>
      </w:pPr>
      <w:r>
        <w:rPr>
          <w:rFonts w:ascii="Arial" w:cs="Arial" w:eastAsia="Arial" w:hAnsi="Arial"/>
          <w:color w:val="333333"/>
          <w:sz w:val="20"/>
          <w:szCs w:val="20"/>
        </w:rPr>
        <w:t xml:space="preserve"/>
      </w:r>
    </w:p>
    <w:p>
      <w:pPr>
        <w:spacing w:after="40" w:before="0"/>
      </w:pPr>
      <w:r>
        <w:rPr>
          <w:rFonts w:ascii="Arial" w:cs="Arial" w:eastAsia="Arial" w:hAnsi="Arial"/>
          <w:color w:val="7F8C8D"/>
          <w:sz w:val="15"/>
          <w:szCs w:val="15"/>
        </w:rPr>
        <w:t xml:space="preserve">All splits do not include MCD</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80" w:before="0"/>
      </w:pPr>
      <w:r>
        <w:rPr>
          <w:rFonts w:ascii="Arial" w:cs="Arial" w:eastAsia="Arial" w:hAnsi="Arial"/>
          <w:color w:val="333333"/>
          <w:sz w:val="20"/>
          <w:szCs w:val="20"/>
        </w:rPr>
        <w:t xml:space="preserve"/>
      </w:r>
    </w:p>
    <w:p>
      <w:pPr>
        <w:spacing w:after="80" w:before="0"/>
      </w:pPr>
      <w:r>
        <w:rPr>
          <w:rFonts w:ascii="Arial" w:cs="Arial" w:eastAsia="Arial" w:hAnsi="Arial"/>
          <w:b/>
          <w:bCs/>
          <w:color w:val="1A1A2E"/>
          <w:sz w:val="22"/>
          <w:szCs w:val="22"/>
        </w:rPr>
        <w:t xml:space="preserve">TERMS AND CONDITIONS</w:t>
      </w:r>
    </w:p>
    <w:p>
      <w:pPr>
        <w:spacing w:after="40" w:before="120"/>
      </w:pPr>
      <w:r>
        <w:rPr>
          <w:rFonts w:ascii="Arial" w:cs="Arial" w:eastAsia="Arial" w:hAnsi="Arial"/>
          <w:b/>
          <w:bCs/>
          <w:color w:val="1A1A2E"/>
          <w:sz w:val="19"/>
          <w:szCs w:val="19"/>
        </w:rPr>
        <w:t xml:space="preserve">Contract</w:t>
      </w:r>
    </w:p>
    <w:p>
      <w:pPr>
        <w:tabs>
          <w:tab w:val="left" w:pos="400"/>
        </w:tabs>
        <w:spacing w:after="50" w:before="0"/>
      </w:pPr>
      <w:r>
        <w:rPr>
          <w:rFonts w:ascii="Arial" w:cs="Arial" w:eastAsia="Arial" w:hAnsi="Arial"/>
          <w:b/>
          <w:bCs/>
          <w:color w:val="1A1A2E"/>
          <w:sz w:val="17"/>
          <w:szCs w:val="17"/>
        </w:rPr>
        <w:t xml:space="preserve">1</w:t>
      </w:r>
      <w:r>
        <w:rPr>
          <w:rFonts w:ascii="Arial" w:cs="Arial" w:eastAsia="Arial" w:hAnsi="Arial"/>
        </w:rPr>
        <w:t xml:space="preserve">	</w:t>
      </w:r>
      <w:r>
        <w:rPr>
          <w:rFonts w:ascii="Arial" w:cs="Arial" w:eastAsia="Arial" w:hAnsi="Arial"/>
          <w:color w:val="333333"/>
          <w:sz w:val="17"/>
          <w:szCs w:val="17"/>
        </w:rPr>
        <w:t xml:space="preserve">Pricing excludes VAT, if applicable.</w:t>
      </w:r>
    </w:p>
    <w:p>
      <w:pPr>
        <w:tabs>
          <w:tab w:val="left" w:pos="400"/>
        </w:tabs>
        <w:spacing w:after="50" w:before="0"/>
      </w:pPr>
      <w:r>
        <w:rPr>
          <w:rFonts w:ascii="Arial" w:cs="Arial" w:eastAsia="Arial" w:hAnsi="Arial"/>
          <w:b/>
          <w:bCs/>
          <w:color w:val="1A1A2E"/>
          <w:sz w:val="17"/>
          <w:szCs w:val="17"/>
        </w:rPr>
        <w:t xml:space="preserve">2</w:t>
      </w:r>
      <w:r>
        <w:rPr>
          <w:rFonts w:ascii="Arial" w:cs="Arial" w:eastAsia="Arial" w:hAnsi="Arial"/>
        </w:rPr>
        <w:t xml:space="preserve">	</w:t>
      </w:r>
      <w:r>
        <w:rPr>
          <w:rFonts w:ascii="Arial" w:cs="Arial" w:eastAsia="Arial" w:hAnsi="Arial"/>
          <w:color w:val="333333"/>
          <w:sz w:val="17"/>
          <w:szCs w:val="17"/>
        </w:rPr>
        <w:t xml:space="preserve">The quotation is valid for 60 days for the items listed out, quantified and included in the total; anything not mentioned or not included in the total is to be deemed excluded.</w:t>
      </w:r>
    </w:p>
    <w:p>
      <w:pPr>
        <w:tabs>
          <w:tab w:val="left" w:pos="400"/>
        </w:tabs>
        <w:spacing w:after="50" w:before="0"/>
      </w:pPr>
      <w:r>
        <w:rPr>
          <w:rFonts w:ascii="Arial" w:cs="Arial" w:eastAsia="Arial" w:hAnsi="Arial"/>
          <w:b/>
          <w:bCs/>
          <w:color w:val="1A1A2E"/>
          <w:sz w:val="17"/>
          <w:szCs w:val="17"/>
        </w:rPr>
        <w:t xml:space="preserve">3</w:t>
      </w:r>
      <w:r>
        <w:rPr>
          <w:rFonts w:ascii="Arial" w:cs="Arial" w:eastAsia="Arial" w:hAnsi="Arial"/>
        </w:rPr>
        <w:t xml:space="preserve">	</w:t>
      </w:r>
      <w:r>
        <w:rPr>
          <w:rFonts w:ascii="Arial" w:cs="Arial" w:eastAsia="Arial" w:hAnsi="Arial"/>
          <w:color w:val="333333"/>
          <w:sz w:val="17"/>
          <w:szCs w:val="17"/>
        </w:rPr>
        <w:t xml:space="preserve">Models and specification of products quoted may be changed by manufacturers in the course of the project. Flagstaffe Ltd reserves the right to amend the offer accordingly and propose current alternatives.</w:t>
      </w:r>
    </w:p>
    <w:p>
      <w:pPr>
        <w:tabs>
          <w:tab w:val="left" w:pos="400"/>
        </w:tabs>
        <w:spacing w:after="50" w:before="0"/>
      </w:pPr>
      <w:r>
        <w:rPr>
          <w:rFonts w:ascii="Arial" w:cs="Arial" w:eastAsia="Arial" w:hAnsi="Arial"/>
          <w:b/>
          <w:bCs/>
          <w:color w:val="1A1A2E"/>
          <w:sz w:val="17"/>
          <w:szCs w:val="17"/>
        </w:rPr>
        <w:t xml:space="preserve">4</w:t>
      </w:r>
      <w:r>
        <w:rPr>
          <w:rFonts w:ascii="Arial" w:cs="Arial" w:eastAsia="Arial" w:hAnsi="Arial"/>
        </w:rPr>
        <w:t xml:space="preserve">	</w:t>
      </w:r>
      <w:r>
        <w:rPr>
          <w:rFonts w:ascii="Arial" w:cs="Arial" w:eastAsia="Arial" w:hAnsi="Arial"/>
          <w:color w:val="333333"/>
          <w:sz w:val="17"/>
          <w:szCs w:val="17"/>
        </w:rPr>
        <w:t xml:space="preserve">The quotation is based on the DDA requirements as shown on the drawings/specification document. Flagstaffe Ltd takes no responsibility for compliance with DDA regulations and any agreements made with Client on this specific project.</w:t>
      </w:r>
    </w:p>
    <w:p>
      <w:pPr>
        <w:tabs>
          <w:tab w:val="left" w:pos="400"/>
        </w:tabs>
        <w:spacing w:after="50" w:before="0"/>
      </w:pPr>
      <w:r>
        <w:rPr>
          <w:rFonts w:ascii="Arial" w:cs="Arial" w:eastAsia="Arial" w:hAnsi="Arial"/>
          <w:b/>
          <w:bCs/>
          <w:color w:val="1A1A2E"/>
          <w:sz w:val="17"/>
          <w:szCs w:val="17"/>
        </w:rPr>
        <w:t xml:space="preserve">5</w:t>
      </w:r>
      <w:r>
        <w:rPr>
          <w:rFonts w:ascii="Arial" w:cs="Arial" w:eastAsia="Arial" w:hAnsi="Arial"/>
        </w:rPr>
        <w:t xml:space="preserve">	</w:t>
      </w:r>
      <w:r>
        <w:rPr>
          <w:rFonts w:ascii="Arial" w:cs="Arial" w:eastAsia="Arial" w:hAnsi="Arial"/>
          <w:color w:val="333333"/>
          <w:sz w:val="17"/>
          <w:szCs w:val="17"/>
        </w:rPr>
        <w:t xml:space="preserve">The quotation is based on the whole order being placed with Flagstaffe Ltd. Changes to scope may affect pricing.</w:t>
      </w:r>
    </w:p>
    <w:p>
      <w:pPr>
        <w:spacing w:after="40" w:before="120"/>
      </w:pPr>
      <w:r>
        <w:rPr>
          <w:rFonts w:ascii="Arial" w:cs="Arial" w:eastAsia="Arial" w:hAnsi="Arial"/>
          <w:b/>
          <w:bCs/>
          <w:color w:val="1A1A2E"/>
          <w:sz w:val="19"/>
          <w:szCs w:val="19"/>
        </w:rPr>
        <w:t xml:space="preserve">Delivery</w:t>
      </w:r>
    </w:p>
    <w:p>
      <w:pPr>
        <w:tabs>
          <w:tab w:val="left" w:pos="400"/>
        </w:tabs>
        <w:spacing w:after="50" w:before="0"/>
      </w:pPr>
      <w:r>
        <w:rPr>
          <w:rFonts w:ascii="Arial" w:cs="Arial" w:eastAsia="Arial" w:hAnsi="Arial"/>
          <w:b/>
          <w:bCs/>
          <w:color w:val="1A1A2E"/>
          <w:sz w:val="17"/>
          <w:szCs w:val="17"/>
        </w:rPr>
        <w:t xml:space="preserve">1</w:t>
      </w:r>
      <w:r>
        <w:rPr>
          <w:rFonts w:ascii="Arial" w:cs="Arial" w:eastAsia="Arial" w:hAnsi="Arial"/>
        </w:rPr>
        <w:t xml:space="preserve">	</w:t>
      </w:r>
      <w:r>
        <w:rPr>
          <w:rFonts w:ascii="Arial" w:cs="Arial" w:eastAsia="Arial" w:hAnsi="Arial"/>
          <w:color w:val="333333"/>
          <w:sz w:val="17"/>
          <w:szCs w:val="17"/>
        </w:rPr>
        <w:t xml:space="preserve">Skips are excluded (to be provided by Main Contractor); Flagstaffe Ltd will segregate waste as directed by the Main Contractor.</w:t>
      </w:r>
    </w:p>
    <w:p>
      <w:pPr>
        <w:tabs>
          <w:tab w:val="left" w:pos="400"/>
        </w:tabs>
        <w:spacing w:after="50" w:before="0"/>
      </w:pPr>
      <w:r>
        <w:rPr>
          <w:rFonts w:ascii="Arial" w:cs="Arial" w:eastAsia="Arial" w:hAnsi="Arial"/>
          <w:b/>
          <w:bCs/>
          <w:color w:val="1A1A2E"/>
          <w:sz w:val="17"/>
          <w:szCs w:val="17"/>
        </w:rPr>
        <w:t xml:space="preserve">2</w:t>
      </w:r>
      <w:r>
        <w:rPr>
          <w:rFonts w:ascii="Arial" w:cs="Arial" w:eastAsia="Arial" w:hAnsi="Arial"/>
        </w:rPr>
        <w:t xml:space="preserve">	</w:t>
      </w:r>
      <w:r>
        <w:rPr>
          <w:rFonts w:ascii="Arial" w:cs="Arial" w:eastAsia="Arial" w:hAnsi="Arial"/>
          <w:color w:val="333333"/>
          <w:sz w:val="17"/>
          <w:szCs w:val="17"/>
        </w:rPr>
        <w:t xml:space="preserve">Horizontal distribution is included; vertical distribution is excluded. Main contractor to provide vertical distribution assistance (for instance, goods hoist or forklift and driver).</w:t>
      </w:r>
    </w:p>
    <w:p>
      <w:pPr>
        <w:tabs>
          <w:tab w:val="left" w:pos="400"/>
        </w:tabs>
        <w:spacing w:after="50" w:before="0"/>
      </w:pPr>
      <w:r>
        <w:rPr>
          <w:rFonts w:ascii="Arial" w:cs="Arial" w:eastAsia="Arial" w:hAnsi="Arial"/>
          <w:b/>
          <w:bCs/>
          <w:color w:val="1A1A2E"/>
          <w:sz w:val="17"/>
          <w:szCs w:val="17"/>
        </w:rPr>
        <w:t xml:space="preserve">3</w:t>
      </w:r>
      <w:r>
        <w:rPr>
          <w:rFonts w:ascii="Arial" w:cs="Arial" w:eastAsia="Arial" w:hAnsi="Arial"/>
        </w:rPr>
        <w:t xml:space="preserve">	</w:t>
      </w:r>
      <w:r>
        <w:rPr>
          <w:rFonts w:ascii="Arial" w:cs="Arial" w:eastAsia="Arial" w:hAnsi="Arial"/>
          <w:color w:val="333333"/>
          <w:sz w:val="17"/>
          <w:szCs w:val="17"/>
        </w:rPr>
        <w:t xml:space="preserve">Safe access for distribution of materials will be required, with no materials of others impeding access through stairways or corridors or bedrooms/kitchens themselves.</w:t>
      </w:r>
    </w:p>
    <w:p>
      <w:pPr>
        <w:tabs>
          <w:tab w:val="left" w:pos="400"/>
        </w:tabs>
        <w:spacing w:after="50" w:before="0"/>
      </w:pPr>
      <w:r>
        <w:rPr>
          <w:rFonts w:ascii="Arial" w:cs="Arial" w:eastAsia="Arial" w:hAnsi="Arial"/>
          <w:b/>
          <w:bCs/>
          <w:color w:val="1A1A2E"/>
          <w:sz w:val="17"/>
          <w:szCs w:val="17"/>
        </w:rPr>
        <w:t xml:space="preserve">4</w:t>
      </w:r>
      <w:r>
        <w:rPr>
          <w:rFonts w:ascii="Arial" w:cs="Arial" w:eastAsia="Arial" w:hAnsi="Arial"/>
        </w:rPr>
        <w:t xml:space="preserve">	</w:t>
      </w:r>
      <w:r>
        <w:rPr>
          <w:rFonts w:ascii="Arial" w:cs="Arial" w:eastAsia="Arial" w:hAnsi="Arial"/>
          <w:color w:val="333333"/>
          <w:sz w:val="17"/>
          <w:szCs w:val="17"/>
        </w:rPr>
        <w:t xml:space="preserve">Quotation is based on available access for articulated lorries, with off-load within 25 metres of vertical distribution point.</w:t>
      </w:r>
    </w:p>
    <w:p>
      <w:pPr>
        <w:tabs>
          <w:tab w:val="left" w:pos="400"/>
        </w:tabs>
        <w:spacing w:after="50" w:before="0"/>
      </w:pPr>
      <w:r>
        <w:rPr>
          <w:rFonts w:ascii="Arial" w:cs="Arial" w:eastAsia="Arial" w:hAnsi="Arial"/>
          <w:b/>
          <w:bCs/>
          <w:color w:val="1A1A2E"/>
          <w:sz w:val="17"/>
          <w:szCs w:val="17"/>
        </w:rPr>
        <w:t xml:space="preserve">5</w:t>
      </w:r>
      <w:r>
        <w:rPr>
          <w:rFonts w:ascii="Arial" w:cs="Arial" w:eastAsia="Arial" w:hAnsi="Arial"/>
        </w:rPr>
        <w:t xml:space="preserve">	</w:t>
      </w:r>
      <w:r>
        <w:rPr>
          <w:rFonts w:ascii="Arial" w:cs="Arial" w:eastAsia="Arial" w:hAnsi="Arial"/>
          <w:color w:val="333333"/>
          <w:sz w:val="17"/>
          <w:szCs w:val="17"/>
        </w:rPr>
        <w:t xml:space="preserve">Minor damage to rooms during distribution and installation, due to the bulky nature of the materials, is to be expected. No contra charges for repairs will be accepted unless there is evident malicious damage or lack of care on the part of Flagstaffe's operatives.</w:t>
      </w:r>
    </w:p>
    <w:p>
      <w:pPr>
        <w:tabs>
          <w:tab w:val="left" w:pos="400"/>
        </w:tabs>
        <w:spacing w:after="50" w:before="0"/>
      </w:pPr>
      <w:r>
        <w:rPr>
          <w:rFonts w:ascii="Arial" w:cs="Arial" w:eastAsia="Arial" w:hAnsi="Arial"/>
          <w:b/>
          <w:bCs/>
          <w:color w:val="1A1A2E"/>
          <w:sz w:val="17"/>
          <w:szCs w:val="17"/>
        </w:rPr>
        <w:t xml:space="preserve">6</w:t>
      </w:r>
      <w:r>
        <w:rPr>
          <w:rFonts w:ascii="Arial" w:cs="Arial" w:eastAsia="Arial" w:hAnsi="Arial"/>
        </w:rPr>
        <w:t xml:space="preserve">	</w:t>
      </w:r>
      <w:r>
        <w:rPr>
          <w:rFonts w:ascii="Arial" w:cs="Arial" w:eastAsia="Arial" w:hAnsi="Arial"/>
          <w:color w:val="333333"/>
          <w:sz w:val="17"/>
          <w:szCs w:val="17"/>
        </w:rPr>
        <w:t xml:space="preserve">It is recommended that final decorations are carried out after FF&amp;E distribution and installation.</w:t>
      </w:r>
    </w:p>
    <w:p>
      <w:pPr>
        <w:tabs>
          <w:tab w:val="left" w:pos="400"/>
        </w:tabs>
        <w:spacing w:after="50" w:before="0"/>
      </w:pPr>
      <w:r>
        <w:rPr>
          <w:rFonts w:ascii="Arial" w:cs="Arial" w:eastAsia="Arial" w:hAnsi="Arial"/>
          <w:b/>
          <w:bCs/>
          <w:color w:val="1A1A2E"/>
          <w:sz w:val="17"/>
          <w:szCs w:val="17"/>
        </w:rPr>
        <w:t xml:space="preserve">7</w:t>
      </w:r>
      <w:r>
        <w:rPr>
          <w:rFonts w:ascii="Arial" w:cs="Arial" w:eastAsia="Arial" w:hAnsi="Arial"/>
        </w:rPr>
        <w:t xml:space="preserve">	</w:t>
      </w:r>
      <w:r>
        <w:rPr>
          <w:rFonts w:ascii="Arial" w:cs="Arial" w:eastAsia="Arial" w:hAnsi="Arial"/>
          <w:color w:val="333333"/>
          <w:sz w:val="17"/>
          <w:szCs w:val="17"/>
        </w:rPr>
        <w:t xml:space="preserve">Builder's clean included; sparkle clean excluded.</w:t>
      </w:r>
    </w:p>
    <w:p>
      <w:pPr>
        <w:tabs>
          <w:tab w:val="left" w:pos="400"/>
        </w:tabs>
        <w:spacing w:after="50" w:before="0"/>
      </w:pPr>
      <w:r>
        <w:rPr>
          <w:rFonts w:ascii="Arial" w:cs="Arial" w:eastAsia="Arial" w:hAnsi="Arial"/>
          <w:b/>
          <w:bCs/>
          <w:color w:val="1A1A2E"/>
          <w:sz w:val="17"/>
          <w:szCs w:val="17"/>
        </w:rPr>
        <w:t xml:space="preserve">8</w:t>
      </w:r>
      <w:r>
        <w:rPr>
          <w:rFonts w:ascii="Arial" w:cs="Arial" w:eastAsia="Arial" w:hAnsi="Arial"/>
        </w:rPr>
        <w:t xml:space="preserve">	</w:t>
      </w:r>
      <w:r>
        <w:rPr>
          <w:rFonts w:ascii="Arial" w:cs="Arial" w:eastAsia="Arial" w:hAnsi="Arial"/>
          <w:color w:val="333333"/>
          <w:sz w:val="17"/>
          <w:szCs w:val="17"/>
        </w:rPr>
        <w:t xml:space="preserve">All furniture is to be installed in suitable conditions to prevent damage. This includes no standing or dripping water, dry walls, temperature between 10 and 30 degrees and relative humidity of 35 to 65 percent.</w:t>
      </w:r>
    </w:p>
    <w:p>
      <w:pPr>
        <w:tabs>
          <w:tab w:val="left" w:pos="400"/>
        </w:tabs>
        <w:spacing w:after="50" w:before="0"/>
      </w:pPr>
      <w:r>
        <w:rPr>
          <w:rFonts w:ascii="Arial" w:cs="Arial" w:eastAsia="Arial" w:hAnsi="Arial"/>
          <w:b/>
          <w:bCs/>
          <w:color w:val="1A1A2E"/>
          <w:sz w:val="17"/>
          <w:szCs w:val="17"/>
        </w:rPr>
        <w:t xml:space="preserve">9</w:t>
      </w:r>
      <w:r>
        <w:rPr>
          <w:rFonts w:ascii="Arial" w:cs="Arial" w:eastAsia="Arial" w:hAnsi="Arial"/>
        </w:rPr>
        <w:t xml:space="preserve">	</w:t>
      </w:r>
      <w:r>
        <w:rPr>
          <w:rFonts w:ascii="Arial" w:cs="Arial" w:eastAsia="Arial" w:hAnsi="Arial"/>
          <w:color w:val="333333"/>
          <w:sz w:val="17"/>
          <w:szCs w:val="17"/>
        </w:rPr>
        <w:t xml:space="preserve">Unless specifically stated and priced, scribing to uneven floors or walls is not included.</w:t>
      </w:r>
    </w:p>
    <w:p>
      <w:pPr>
        <w:spacing w:after="40" w:before="120"/>
      </w:pPr>
      <w:r>
        <w:rPr>
          <w:rFonts w:ascii="Arial" w:cs="Arial" w:eastAsia="Arial" w:hAnsi="Arial"/>
          <w:b/>
          <w:bCs/>
          <w:color w:val="1A1A2E"/>
          <w:sz w:val="19"/>
          <w:szCs w:val="19"/>
        </w:rPr>
        <w:t xml:space="preserve">Design</w:t>
      </w:r>
    </w:p>
    <w:p>
      <w:pPr>
        <w:tabs>
          <w:tab w:val="left" w:pos="400"/>
        </w:tabs>
        <w:spacing w:after="50" w:before="0"/>
      </w:pPr>
      <w:r>
        <w:rPr>
          <w:rFonts w:ascii="Arial" w:cs="Arial" w:eastAsia="Arial" w:hAnsi="Arial"/>
          <w:b/>
          <w:bCs/>
          <w:color w:val="1A1A2E"/>
          <w:sz w:val="17"/>
          <w:szCs w:val="17"/>
        </w:rPr>
        <w:t xml:space="preserve">1</w:t>
      </w:r>
      <w:r>
        <w:rPr>
          <w:rFonts w:ascii="Arial" w:cs="Arial" w:eastAsia="Arial" w:hAnsi="Arial"/>
        </w:rPr>
        <w:t xml:space="preserve">	</w:t>
      </w:r>
      <w:r>
        <w:rPr>
          <w:rFonts w:ascii="Arial" w:cs="Arial" w:eastAsia="Arial" w:hAnsi="Arial"/>
          <w:color w:val="333333"/>
          <w:sz w:val="17"/>
          <w:szCs w:val="17"/>
        </w:rPr>
        <w:t xml:space="preserve">Flagstaffe Ltd will provide detailed drawings for each room type. Design responsibility remains with principal designer. Explicit sign-off will be required before bulk manufacturing.</w:t>
      </w:r>
    </w:p>
    <w:p>
      <w:pPr>
        <w:tabs>
          <w:tab w:val="left" w:pos="400"/>
        </w:tabs>
        <w:spacing w:after="50" w:before="0"/>
      </w:pPr>
      <w:r>
        <w:rPr>
          <w:rFonts w:ascii="Arial" w:cs="Arial" w:eastAsia="Arial" w:hAnsi="Arial"/>
          <w:b/>
          <w:bCs/>
          <w:color w:val="1A1A2E"/>
          <w:sz w:val="17"/>
          <w:szCs w:val="17"/>
        </w:rPr>
        <w:t xml:space="preserve">2</w:t>
      </w:r>
      <w:r>
        <w:rPr>
          <w:rFonts w:ascii="Arial" w:cs="Arial" w:eastAsia="Arial" w:hAnsi="Arial"/>
        </w:rPr>
        <w:t xml:space="preserve">	</w:t>
      </w:r>
      <w:r>
        <w:rPr>
          <w:rFonts w:ascii="Arial" w:cs="Arial" w:eastAsia="Arial" w:hAnsi="Arial"/>
          <w:color w:val="333333"/>
          <w:sz w:val="17"/>
          <w:szCs w:val="17"/>
        </w:rPr>
        <w:t xml:space="preserve">Flagstaffe Ltd will provide advice, but will take no responsibility for compliance with local HMO regulations.</w:t>
      </w:r>
    </w:p>
    <w:p>
      <w:pPr>
        <w:tabs>
          <w:tab w:val="left" w:pos="400"/>
        </w:tabs>
        <w:spacing w:after="50" w:before="0"/>
      </w:pPr>
      <w:r>
        <w:rPr>
          <w:rFonts w:ascii="Arial" w:cs="Arial" w:eastAsia="Arial" w:hAnsi="Arial"/>
          <w:b/>
          <w:bCs/>
          <w:color w:val="1A1A2E"/>
          <w:sz w:val="17"/>
          <w:szCs w:val="17"/>
        </w:rPr>
        <w:t xml:space="preserve">3</w:t>
      </w:r>
      <w:r>
        <w:rPr>
          <w:rFonts w:ascii="Arial" w:cs="Arial" w:eastAsia="Arial" w:hAnsi="Arial"/>
        </w:rPr>
        <w:t xml:space="preserve">	</w:t>
      </w:r>
      <w:r>
        <w:rPr>
          <w:rFonts w:ascii="Arial" w:cs="Arial" w:eastAsia="Arial" w:hAnsi="Arial"/>
          <w:color w:val="333333"/>
          <w:sz w:val="17"/>
          <w:szCs w:val="17"/>
        </w:rPr>
        <w:t xml:space="preserve">Flagstaffe Ltd will seal any cut-outs in worktops in kitchens (for instance for sink or hob); All other mastic or caulking is not included.</w:t>
      </w:r>
    </w:p>
    <w:p>
      <w:pPr>
        <w:tabs>
          <w:tab w:val="left" w:pos="400"/>
        </w:tabs>
        <w:spacing w:after="50" w:before="0"/>
      </w:pPr>
      <w:r>
        <w:rPr>
          <w:rFonts w:ascii="Arial" w:cs="Arial" w:eastAsia="Arial" w:hAnsi="Arial"/>
          <w:b/>
          <w:bCs/>
          <w:color w:val="1A1A2E"/>
          <w:sz w:val="17"/>
          <w:szCs w:val="17"/>
        </w:rPr>
        <w:t xml:space="preserve">4</w:t>
      </w:r>
      <w:r>
        <w:rPr>
          <w:rFonts w:ascii="Arial" w:cs="Arial" w:eastAsia="Arial" w:hAnsi="Arial"/>
        </w:rPr>
        <w:t xml:space="preserve">	</w:t>
      </w:r>
      <w:r>
        <w:rPr>
          <w:rFonts w:ascii="Arial" w:cs="Arial" w:eastAsia="Arial" w:hAnsi="Arial"/>
          <w:color w:val="333333"/>
          <w:sz w:val="17"/>
          <w:szCs w:val="17"/>
        </w:rPr>
        <w:t xml:space="preserve">Flagstaffe Ltd do not offer wet connections; dry fit included only.</w:t>
      </w:r>
    </w:p>
    <w:p>
      <w:pPr>
        <w:tabs>
          <w:tab w:val="left" w:pos="400"/>
        </w:tabs>
        <w:spacing w:after="50" w:before="0"/>
      </w:pPr>
      <w:r>
        <w:rPr>
          <w:rFonts w:ascii="Arial" w:cs="Arial" w:eastAsia="Arial" w:hAnsi="Arial"/>
          <w:b/>
          <w:bCs/>
          <w:color w:val="1A1A2E"/>
          <w:sz w:val="17"/>
          <w:szCs w:val="17"/>
        </w:rPr>
        <w:t xml:space="preserve">5</w:t>
      </w:r>
      <w:r>
        <w:rPr>
          <w:rFonts w:ascii="Arial" w:cs="Arial" w:eastAsia="Arial" w:hAnsi="Arial"/>
        </w:rPr>
        <w:t xml:space="preserve">	</w:t>
      </w:r>
      <w:r>
        <w:rPr>
          <w:rFonts w:ascii="Arial" w:cs="Arial" w:eastAsia="Arial" w:hAnsi="Arial"/>
          <w:color w:val="333333"/>
          <w:sz w:val="17"/>
          <w:szCs w:val="17"/>
        </w:rPr>
        <w:t xml:space="preserve">Sink traps excluded; waste outlet included only.</w:t>
      </w:r>
    </w:p>
    <w:p>
      <w:pPr>
        <w:tabs>
          <w:tab w:val="left" w:pos="400"/>
        </w:tabs>
        <w:spacing w:after="50" w:before="0"/>
      </w:pPr>
      <w:r>
        <w:rPr>
          <w:rFonts w:ascii="Arial" w:cs="Arial" w:eastAsia="Arial" w:hAnsi="Arial"/>
          <w:b/>
          <w:bCs/>
          <w:color w:val="1A1A2E"/>
          <w:sz w:val="17"/>
          <w:szCs w:val="17"/>
        </w:rPr>
        <w:t xml:space="preserve">6</w:t>
      </w:r>
      <w:r>
        <w:rPr>
          <w:rFonts w:ascii="Arial" w:cs="Arial" w:eastAsia="Arial" w:hAnsi="Arial"/>
        </w:rPr>
        <w:t xml:space="preserve">	</w:t>
      </w:r>
      <w:r>
        <w:rPr>
          <w:rFonts w:ascii="Arial" w:cs="Arial" w:eastAsia="Arial" w:hAnsi="Arial"/>
          <w:color w:val="333333"/>
          <w:sz w:val="17"/>
          <w:szCs w:val="17"/>
        </w:rPr>
        <w:t xml:space="preserve">Taps include tails, connected to the tap by FF&amp;E installers.</w:t>
      </w:r>
    </w:p>
    <w:p>
      <w:pPr>
        <w:tabs>
          <w:tab w:val="left" w:pos="400"/>
        </w:tabs>
        <w:spacing w:after="50" w:before="0"/>
      </w:pPr>
      <w:r>
        <w:rPr>
          <w:rFonts w:ascii="Arial" w:cs="Arial" w:eastAsia="Arial" w:hAnsi="Arial"/>
          <w:b/>
          <w:bCs/>
          <w:color w:val="1A1A2E"/>
          <w:sz w:val="17"/>
          <w:szCs w:val="17"/>
        </w:rPr>
        <w:t xml:space="preserve">7</w:t>
      </w:r>
      <w:r>
        <w:rPr>
          <w:rFonts w:ascii="Arial" w:cs="Arial" w:eastAsia="Arial" w:hAnsi="Arial"/>
        </w:rPr>
        <w:t xml:space="preserve">	</w:t>
      </w:r>
      <w:r>
        <w:rPr>
          <w:rFonts w:ascii="Arial" w:cs="Arial" w:eastAsia="Arial" w:hAnsi="Arial"/>
          <w:color w:val="333333"/>
          <w:sz w:val="17"/>
          <w:szCs w:val="17"/>
        </w:rPr>
        <w:t xml:space="preserve">Any commissioning of electrical or wet connections excluded.</w:t>
      </w:r>
    </w:p>
    <w:p>
      <w:pPr>
        <w:tabs>
          <w:tab w:val="left" w:pos="400"/>
        </w:tabs>
        <w:spacing w:after="50" w:before="0"/>
      </w:pPr>
      <w:r>
        <w:rPr>
          <w:rFonts w:ascii="Arial" w:cs="Arial" w:eastAsia="Arial" w:hAnsi="Arial"/>
          <w:b/>
          <w:bCs/>
          <w:color w:val="1A1A2E"/>
          <w:sz w:val="17"/>
          <w:szCs w:val="17"/>
        </w:rPr>
        <w:t xml:space="preserve">8</w:t>
      </w:r>
      <w:r>
        <w:rPr>
          <w:rFonts w:ascii="Arial" w:cs="Arial" w:eastAsia="Arial" w:hAnsi="Arial"/>
        </w:rPr>
        <w:t xml:space="preserve">	</w:t>
      </w:r>
      <w:r>
        <w:rPr>
          <w:rFonts w:ascii="Arial" w:cs="Arial" w:eastAsia="Arial" w:hAnsi="Arial"/>
          <w:color w:val="333333"/>
          <w:sz w:val="17"/>
          <w:szCs w:val="17"/>
        </w:rPr>
        <w:t xml:space="preserve">Flagstaffe Ltd do not offer electrical connections (other than plugging in, if priced).</w:t>
      </w:r>
    </w:p>
    <w:p>
      <w:pPr>
        <w:tabs>
          <w:tab w:val="left" w:pos="400"/>
        </w:tabs>
        <w:spacing w:after="50" w:before="0"/>
      </w:pPr>
      <w:r>
        <w:rPr>
          <w:rFonts w:ascii="Arial" w:cs="Arial" w:eastAsia="Arial" w:hAnsi="Arial"/>
          <w:b/>
          <w:bCs/>
          <w:color w:val="1A1A2E"/>
          <w:sz w:val="17"/>
          <w:szCs w:val="17"/>
        </w:rPr>
        <w:t xml:space="preserve">9</w:t>
      </w:r>
      <w:r>
        <w:rPr>
          <w:rFonts w:ascii="Arial" w:cs="Arial" w:eastAsia="Arial" w:hAnsi="Arial"/>
        </w:rPr>
        <w:t xml:space="preserve">	</w:t>
      </w:r>
      <w:r>
        <w:rPr>
          <w:rFonts w:ascii="Arial" w:cs="Arial" w:eastAsia="Arial" w:hAnsi="Arial"/>
          <w:color w:val="333333"/>
          <w:sz w:val="17"/>
          <w:szCs w:val="17"/>
        </w:rPr>
        <w:t xml:space="preserve">If appliances do not come with flexes, they are to be provided and fixed by the M&amp;E contractor.</w:t>
      </w:r>
    </w:p>
    <w:p>
      <w:pPr>
        <w:tabs>
          <w:tab w:val="left" w:pos="400"/>
        </w:tabs>
        <w:spacing w:after="50" w:before="0"/>
      </w:pPr>
      <w:r>
        <w:rPr>
          <w:rFonts w:ascii="Arial" w:cs="Arial" w:eastAsia="Arial" w:hAnsi="Arial"/>
          <w:b/>
          <w:bCs/>
          <w:color w:val="1A1A2E"/>
          <w:sz w:val="17"/>
          <w:szCs w:val="17"/>
        </w:rPr>
        <w:t xml:space="preserve">10</w:t>
      </w:r>
      <w:r>
        <w:rPr>
          <w:rFonts w:ascii="Arial" w:cs="Arial" w:eastAsia="Arial" w:hAnsi="Arial"/>
        </w:rPr>
        <w:t xml:space="preserve">	</w:t>
      </w:r>
      <w:r>
        <w:rPr>
          <w:rFonts w:ascii="Arial" w:cs="Arial" w:eastAsia="Arial" w:hAnsi="Arial"/>
          <w:color w:val="333333"/>
          <w:sz w:val="17"/>
          <w:szCs w:val="17"/>
        </w:rPr>
        <w:t xml:space="preserve">Flagstaffe Ltd will take no responsibility for compliance with Fire Regulations.</w:t>
      </w:r>
    </w:p>
    <w:p>
      <w:pPr>
        <w:tabs>
          <w:tab w:val="left" w:pos="400"/>
        </w:tabs>
        <w:spacing w:after="50" w:before="0"/>
      </w:pPr>
      <w:r>
        <w:rPr>
          <w:rFonts w:ascii="Arial" w:cs="Arial" w:eastAsia="Arial" w:hAnsi="Arial"/>
          <w:b/>
          <w:bCs/>
          <w:color w:val="1A1A2E"/>
          <w:sz w:val="17"/>
          <w:szCs w:val="17"/>
        </w:rPr>
        <w:t xml:space="preserve">11</w:t>
      </w:r>
      <w:r>
        <w:rPr>
          <w:rFonts w:ascii="Arial" w:cs="Arial" w:eastAsia="Arial" w:hAnsi="Arial"/>
        </w:rPr>
        <w:t xml:space="preserve">	</w:t>
      </w:r>
      <w:r>
        <w:rPr>
          <w:rFonts w:ascii="Arial" w:cs="Arial" w:eastAsia="Arial" w:hAnsi="Arial"/>
          <w:color w:val="333333"/>
          <w:sz w:val="17"/>
          <w:szCs w:val="17"/>
        </w:rPr>
        <w:t xml:space="preserve">If Fire Equipment is provided, any commissioning is excluded.</w:t>
      </w:r>
    </w:p>
    <w:p>
      <w:pPr>
        <w:spacing w:after="160" w:before="0"/>
      </w:pPr>
      <w:r>
        <w:rPr>
          <w:rFonts w:ascii="Arial" w:cs="Arial" w:eastAsia="Arial" w:hAnsi="Arial"/>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1A1A2E" w:sz="6"/>
              <w:left w:val="single" w:color="1A1A2E" w:sz="6"/>
              <w:bottom w:val="single" w:color="1A1A2E" w:sz="6"/>
              <w:right w:val="single" w:color="1A1A2E" w:sz="1"/>
            </w:tcBorders>
            <w:shd w:fill="1A1A2E" w:val="clear"/>
            <w:tcMar>
              <w:top w:type="dxa" w:w="120"/>
              <w:left w:type="dxa" w:w="200"/>
              <w:bottom w:type="dxa" w:w="120"/>
              <w:right w:type="dxa" w:w="200"/>
            </w:tcMar>
          </w:tcPr>
          <w:p>
            <w:pPr>
              <w:spacing w:after="40" w:before="0"/>
            </w:pPr>
            <w:r>
              <w:rPr>
                <w:rFonts w:ascii="Arial" w:cs="Arial" w:eastAsia="Arial" w:hAnsi="Arial"/>
                <w:b/>
                <w:bCs/>
                <w:color w:val="FFFFFF"/>
                <w:sz w:val="28"/>
                <w:szCs w:val="28"/>
              </w:rPr>
              <w:t xml:space="preserve">Heavitree Road, Exeter</w:t>
            </w:r>
          </w:p>
          <w:p>
            <w:pPr>
              <w:spacing w:after="20" w:before="0"/>
            </w:pPr>
            <w:r>
              <w:rPr>
                <w:rFonts w:ascii="Arial" w:cs="Arial" w:eastAsia="Arial" w:hAnsi="Arial"/>
                <w:color w:val="FFFFFF"/>
                <w:sz w:val="20"/>
                <w:szCs w:val="20"/>
              </w:rPr>
              <w:t xml:space="preserve">NCO (Seven) Ltd / Nixon Homes Ltd</w:t>
            </w:r>
          </w:p>
          <w:p>
            <w:pPr>
              <w:spacing w:after="0" w:before="0"/>
            </w:pPr>
            <w:r>
              <w:rPr>
                <w:rFonts w:ascii="Arial" w:cs="Arial" w:eastAsia="Arial" w:hAnsi="Arial"/>
                <w:color w:val="E8C547"/>
                <w:sz w:val="18"/>
                <w:szCs w:val="18"/>
              </w:rPr>
              <w:t xml:space="preserve">Flag-HVR-001  |  Rev 0</w:t>
            </w:r>
          </w:p>
        </w:tc>
        <w:tc>
          <w:tcPr>
            <w:tcW w:type="dxa" w:w="4338"/>
            <w:tcBorders>
              <w:top w:val="single" w:color="1A1A2E" w:sz="6"/>
              <w:left w:val="single" w:color="1A1A2E" w:sz="1"/>
              <w:bottom w:val="single" w:color="1A1A2E" w:sz="6"/>
              <w:right w:val="single" w:color="1A1A2E" w:sz="6"/>
            </w:tcBorders>
            <w:shd w:fill="1A1A2E" w:val="clear"/>
            <w:tcMar>
              <w:top w:type="dxa" w:w="120"/>
              <w:left w:type="dxa" w:w="200"/>
              <w:bottom w:type="dxa" w:w="120"/>
              <w:right w:type="dxa" w:w="200"/>
            </w:tcMar>
          </w:tcPr>
          <w:p>
            <w:pPr>
              <w:spacing w:after="40" w:before="0"/>
              <w:jc w:val="right"/>
            </w:pPr>
            <w:r>
              <w:rPr>
                <w:rFonts w:ascii="Arial" w:cs="Arial" w:eastAsia="Arial" w:hAnsi="Arial"/>
                <w:b/>
                <w:bCs/>
                <w:caps/>
                <w:color w:val="FFFFFF"/>
                <w:sz w:val="28"/>
                <w:szCs w:val="28"/>
              </w:rPr>
              <w:t xml:space="preserve">FLAGSTAFFE</w:t>
            </w:r>
          </w:p>
          <w:p>
            <w:pPr>
              <w:spacing w:after="0" w:before="0"/>
              <w:jc w:val="right"/>
            </w:pPr>
            <w:r>
              <w:rPr>
                <w:rFonts w:ascii="Arial" w:cs="Arial" w:eastAsia="Arial" w:hAnsi="Arial"/>
                <w:color w:val="E8C547"/>
                <w:sz w:val="18"/>
                <w:szCs w:val="18"/>
              </w:rPr>
              <w:t xml:space="preserve">FF&amp;E Supply &amp; Installation</w:t>
            </w:r>
          </w:p>
        </w:tc>
      </w:tr>
    </w:tbl>
    <w:p>
      <w:pPr>
        <w:spacing w:after="0" w:before="60"/>
      </w:pPr>
      <w:r>
        <w:rPr>
          <w:rFonts w:ascii="Arial" w:cs="Arial" w:eastAsia="Arial" w:hAnsi="Arial"/>
          <w:color w:val="7F8C8D"/>
          <w:sz w:val="15"/>
          <w:szCs w:val="15"/>
        </w:rPr>
        <w:t xml:space="preserve">enquiries@flagstaffe.com  |  01260 460 003  |  www.flagstaffe.com  |  CRN: 14154708  |  VAT: 421442927  |  UTR: 2239413036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28"/>
      <w:szCs w:val="28"/>
    </w:rPr>
  </w:style>
  <w:style w:type="paragraph" w:styleId="Heading2">
    <w:name w:val="Heading 2"/>
    <w:basedOn w:val="Normal"/>
    <w:next w:val="Normal"/>
    <w:qFormat/>
    <w:pPr>
      <w:spacing w:after="60" w:before="20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2026-06-02T20:26:37.986Z</dcterms:created>
  <dcterms:modified xsi:type="dcterms:W3CDTF">2026-06-02T20:26:37.986Z</dcterms:modified>
</cp:coreProperties>
</file>

<file path=docProps/custom.xml><?xml version="1.0" encoding="utf-8"?>
<Properties xmlns="http://schemas.openxmlformats.org/officeDocument/2006/custom-properties" xmlns:vt="http://schemas.openxmlformats.org/officeDocument/2006/docPropsVTypes"/>
</file>