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rPr>
          <w:rFonts w:ascii="Arial" w:cs="Arial" w:eastAsia="Arial" w:hAnsi="Arial"/>
          <w:color w:val="333333"/>
          <w:sz w:val="20"/>
          <w:szCs w:val="20"/>
        </w:rPr>
        <w:t xml:space="preserve"/>
      </w:r>
    </w:p>
    <w:p>
      <w:pPr>
        <w:spacing w:after="60" w:before="0"/>
        <w:jc w:val="center"/>
      </w:pPr>
      <w:r>
        <w:rPr>
          <w:rFonts w:ascii="Arial" w:cs="Arial" w:eastAsia="Arial" w:hAnsi="Arial"/>
          <w:b/>
          <w:bCs/>
          <w:caps/>
          <w:color w:val="1A1A2E"/>
          <w:sz w:val="56"/>
          <w:szCs w:val="56"/>
        </w:rPr>
        <w:t xml:space="preserve">FLAGSTAFFE</w:t>
      </w:r>
    </w:p>
    <w:p>
      <w:pPr>
        <w:spacing w:after="30" w:before="0"/>
        <w:jc w:val="center"/>
      </w:pPr>
      <w:r>
        <w:rPr>
          <w:rFonts w:ascii="Arial" w:cs="Arial" w:eastAsia="Arial" w:hAnsi="Arial"/>
          <w:color w:val="7F8C8D"/>
          <w:sz w:val="22"/>
          <w:szCs w:val="22"/>
        </w:rPr>
        <w:t xml:space="preserve">FF&amp;E Supply &amp; Installation  -  Nationwide</w:t>
      </w:r>
    </w:p>
    <w:p>
      <w:pPr>
        <w:pBdr>
          <w:bottom w:val="single" w:color="E8C547" w:sz="4"/>
        </w:pBdr>
        <w:spacing w:after="60" w:before="60"/>
      </w:pPr>
      <w:r>
        <w:rPr>
          <w:rFonts w:ascii="Arial" w:cs="Arial" w:eastAsia="Arial" w:hAnsi="Arial"/>
          <w:color w:val="333333"/>
          <w:sz w:val="20"/>
          <w:szCs w:val="20"/>
        </w:rPr>
        <w:t xml:space="preserve"/>
      </w:r>
    </w:p>
    <w:p>
      <w:pPr>
        <w:spacing w:after="160" w:before="0"/>
      </w:pPr>
      <w:r>
        <w:rPr>
          <w:rFonts w:ascii="Arial" w:cs="Arial" w:eastAsia="Arial" w:hAnsi="Arial"/>
          <w:color w:val="333333"/>
          <w:sz w:val="20"/>
          <w:szCs w:val="20"/>
        </w:rPr>
        <w:t xml:space="preserve"/>
      </w:r>
    </w:p>
    <w:p>
      <w:pPr>
        <w:spacing w:after="60" w:before="0"/>
        <w:jc w:val="center"/>
      </w:pPr>
      <w:r>
        <w:rPr>
          <w:rFonts w:ascii="Arial" w:cs="Arial" w:eastAsia="Arial" w:hAnsi="Arial"/>
          <w:b/>
          <w:bCs/>
          <w:color w:val="1A1A2E"/>
          <w:sz w:val="32"/>
          <w:szCs w:val="32"/>
        </w:rPr>
        <w:t xml:space="preserve">Indicative FF&amp;E Budget</w:t>
      </w:r>
    </w:p>
    <w:p>
      <w:pPr>
        <w:spacing w:after="40" w:before="0"/>
        <w:jc w:val="center"/>
      </w:pPr>
      <w:r>
        <w:rPr>
          <w:rFonts w:ascii="Arial" w:cs="Arial" w:eastAsia="Arial" w:hAnsi="Arial"/>
          <w:color w:val="333333"/>
          <w:sz w:val="24"/>
          <w:szCs w:val="24"/>
        </w:rPr>
        <w:t xml:space="preserve">Heavitree Road, Exeter  -  NCO (Seven) Ltd / Nixon Homes</w:t>
      </w:r>
    </w:p>
    <w:p>
      <w:pPr>
        <w:spacing w:after="30" w:before="0"/>
        <w:jc w:val="center"/>
      </w:pPr>
      <w:r>
        <w:rPr>
          <w:rFonts w:ascii="Arial" w:cs="Arial" w:eastAsia="Arial" w:hAnsi="Arial"/>
          <w:color w:val="7F8C8D"/>
          <w:sz w:val="18"/>
          <w:szCs w:val="18"/>
        </w:rPr>
        <w:t xml:space="preserve">Flag-HVR-IND-001  |  2 June 2026  |  Rev 0</w:t>
      </w:r>
    </w:p>
    <w:p>
      <w:pPr>
        <w:spacing w:after="160" w:before="0"/>
      </w:pPr>
      <w:r>
        <w:rPr>
          <w:rFonts w:ascii="Arial" w:cs="Arial" w:eastAsia="Arial" w:hAnsi="Arial"/>
          <w:color w:val="333333"/>
          <w:sz w:val="20"/>
          <w:szCs w:val="20"/>
        </w:rPr>
        <w:t xml:space="preserve"/>
      </w:r>
    </w:p>
    <w:p>
      <w:pPr>
        <w:pBdr>
          <w:top w:val="single" w:color="E65100" w:sz="2"/>
          <w:left w:val="single" w:color="E65100" w:sz="16"/>
          <w:bottom w:val="single" w:color="E65100" w:sz="2"/>
          <w:right w:val="none" w:color="FFFFFF" w:sz="0"/>
        </w:pBdr>
        <w:shd w:fill="FFF9C4" w:val="clear"/>
        <w:spacing w:after="120" w:before="120"/>
        <w:ind w:left="280"/>
      </w:pPr>
      <w:r>
        <w:rPr>
          <w:rFonts w:ascii="Arial" w:cs="Arial" w:eastAsia="Arial" w:hAnsi="Arial"/>
          <w:b/>
          <w:bCs/>
          <w:color w:val="E65100"/>
          <w:sz w:val="19"/>
          <w:szCs w:val="19"/>
        </w:rPr>
        <w:t xml:space="preserve">INDICATIVE BUDGET ONLY - Room counts assumed from planning documents. Final pricing requires confirmed room splits, drawings and site survey.</w:t>
      </w:r>
    </w:p>
    <w:p>
      <w:pPr>
        <w:spacing w:after="200" w:before="0"/>
      </w:pPr>
      <w:r>
        <w:rPr>
          <w:rFonts w:ascii="Arial" w:cs="Arial" w:eastAsia="Arial" w:hAnsi="Arial"/>
          <w:color w:val="333333"/>
          <w:sz w:val="20"/>
          <w:szCs w:val="20"/>
        </w:rPr>
        <w:t xml:space="preserve"/>
      </w:r>
    </w:p>
    <w:p>
      <w:pPr>
        <w:pBdr>
          <w:bottom w:val="single" w:color="E8C547" w:sz="4"/>
        </w:pBdr>
        <w:spacing w:after="60" w:before="60"/>
      </w:pPr>
      <w:r>
        <w:rPr>
          <w:rFonts w:ascii="Arial" w:cs="Arial" w:eastAsia="Arial" w:hAnsi="Arial"/>
          <w:color w:val="333333"/>
          <w:sz w:val="20"/>
          <w:szCs w:val="20"/>
        </w:rPr>
        <w:t xml:space="preserve"/>
      </w:r>
    </w:p>
    <w:p>
      <w:pPr>
        <w:spacing w:after="80" w:before="0"/>
      </w:pPr>
      <w:r>
        <w:rPr>
          <w:rFonts w:ascii="Arial" w:cs="Arial" w:eastAsia="Arial" w:hAnsi="Arial"/>
          <w:color w:val="333333"/>
          <w:sz w:val="20"/>
          <w:szCs w:val="20"/>
        </w:rPr>
        <w:t xml:space="preserve"/>
      </w:r>
    </w:p>
    <w:p>
      <w:pPr>
        <w:spacing w:after="50" w:before="0"/>
        <w:jc w:val="center"/>
      </w:pPr>
      <w:r>
        <w:rPr>
          <w:rFonts w:ascii="Arial" w:cs="Arial" w:eastAsia="Arial" w:hAnsi="Arial"/>
          <w:color w:val="7F8C8D"/>
          <w:sz w:val="18"/>
          <w:szCs w:val="18"/>
        </w:rPr>
        <w:t xml:space="preserve">Dan Brownsword  07442399616  -  enquiries@flagstaffe.com  -  01260 460 003</w:t>
      </w:r>
    </w:p>
    <w:p>
      <w:pPr>
        <w:spacing w:after="0" w:before="0"/>
        <w:jc w:val="center"/>
      </w:pPr>
      <w:r>
        <w:rPr>
          <w:rFonts w:ascii="Arial" w:cs="Arial" w:eastAsia="Arial" w:hAnsi="Arial"/>
          <w:color w:val="7F8C8D"/>
          <w:sz w:val="18"/>
          <w:szCs w:val="18"/>
        </w:rPr>
        <w:t xml:space="preserve">The Granary Business Centre, Cranage, CW4 8GE  -  flagstaffe.com</w:t>
      </w:r>
    </w:p>
    <w:p>
      <w:r>
        <w:br w:type="page"/>
      </w:r>
    </w:p>
    <w:p>
      <w:pPr>
        <w:pStyle w:val="Heading1"/>
        <w:pBdr>
          <w:bottom w:val="single" w:color="E8C547" w:sz="10" w:space="4"/>
        </w:pBdr>
        <w:spacing w:after="120" w:before="300"/>
      </w:pPr>
      <w:r>
        <w:rPr>
          <w:rFonts w:ascii="Arial" w:cs="Arial" w:eastAsia="Arial" w:hAnsi="Arial"/>
          <w:b/>
          <w:bCs/>
          <w:color w:val="1A1A2E"/>
          <w:sz w:val="28"/>
          <w:szCs w:val="28"/>
        </w:rPr>
        <w:t xml:space="preserve">Project Details</w:t>
      </w:r>
    </w:p>
    <w:p>
      <w:pPr>
        <w:tabs>
          <w:tab w:val="left" w:pos="2600"/>
        </w:tabs>
        <w:spacing w:after="70" w:before="0"/>
      </w:pPr>
      <w:r>
        <w:rPr>
          <w:rFonts w:ascii="Arial" w:cs="Arial" w:eastAsia="Arial" w:hAnsi="Arial"/>
          <w:b/>
          <w:bCs/>
          <w:color w:val="1A1A2E"/>
          <w:sz w:val="20"/>
          <w:szCs w:val="20"/>
        </w:rPr>
        <w:t xml:space="preserve">Project</w:t>
      </w:r>
      <w:r>
        <w:rPr>
          <w:rFonts w:ascii="Arial" w:cs="Arial" w:eastAsia="Arial" w:hAnsi="Arial"/>
        </w:rPr>
        <w:t xml:space="preserve">	</w:t>
      </w:r>
      <w:r>
        <w:rPr>
          <w:rFonts w:ascii="Arial" w:cs="Arial" w:eastAsia="Arial" w:hAnsi="Arial"/>
          <w:b w:val="false"/>
          <w:bCs w:val="false"/>
          <w:color w:val="333333"/>
          <w:sz w:val="20"/>
          <w:szCs w:val="20"/>
        </w:rPr>
        <w:t xml:space="preserve">Heavitree Road, Exeter (Former Police HQ &amp; Magistrates Court)</w:t>
      </w:r>
    </w:p>
    <w:p>
      <w:pPr>
        <w:tabs>
          <w:tab w:val="left" w:pos="2600"/>
        </w:tabs>
        <w:spacing w:after="70" w:before="0"/>
      </w:pPr>
      <w:r>
        <w:rPr>
          <w:rFonts w:ascii="Arial" w:cs="Arial" w:eastAsia="Arial" w:hAnsi="Arial"/>
          <w:b/>
          <w:bCs/>
          <w:color w:val="1A1A2E"/>
          <w:sz w:val="20"/>
          <w:szCs w:val="20"/>
        </w:rPr>
        <w:t xml:space="preserve">Planning reference</w:t>
      </w:r>
      <w:r>
        <w:rPr>
          <w:rFonts w:ascii="Arial" w:cs="Arial" w:eastAsia="Arial" w:hAnsi="Arial"/>
        </w:rPr>
        <w:t xml:space="preserve">	</w:t>
      </w:r>
      <w:r>
        <w:rPr>
          <w:rFonts w:ascii="Arial" w:cs="Arial" w:eastAsia="Arial" w:hAnsi="Arial"/>
          <w:b w:val="false"/>
          <w:bCs w:val="false"/>
          <w:color w:val="333333"/>
          <w:sz w:val="20"/>
          <w:szCs w:val="20"/>
        </w:rPr>
        <w:t xml:space="preserve">25/0676/FUL — Exeter City Council</w:t>
      </w:r>
    </w:p>
    <w:p>
      <w:pPr>
        <w:tabs>
          <w:tab w:val="left" w:pos="2600"/>
        </w:tabs>
        <w:spacing w:after="70" w:before="0"/>
      </w:pPr>
      <w:r>
        <w:rPr>
          <w:rFonts w:ascii="Arial" w:cs="Arial" w:eastAsia="Arial" w:hAnsi="Arial"/>
          <w:b/>
          <w:bCs/>
          <w:color w:val="1A1A2E"/>
          <w:sz w:val="20"/>
          <w:szCs w:val="20"/>
        </w:rPr>
        <w:t xml:space="preserve">Developer</w:t>
      </w:r>
      <w:r>
        <w:rPr>
          <w:rFonts w:ascii="Arial" w:cs="Arial" w:eastAsia="Arial" w:hAnsi="Arial"/>
        </w:rPr>
        <w:t xml:space="preserve">	</w:t>
      </w:r>
      <w:r>
        <w:rPr>
          <w:rFonts w:ascii="Arial" w:cs="Arial" w:eastAsia="Arial" w:hAnsi="Arial"/>
          <w:b w:val="false"/>
          <w:bCs w:val="false"/>
          <w:color w:val="333333"/>
          <w:sz w:val="20"/>
          <w:szCs w:val="20"/>
        </w:rPr>
        <w:t xml:space="preserve">NCO (Seven) Limited + Nixon Homes Limited</w:t>
      </w:r>
    </w:p>
    <w:p>
      <w:pPr>
        <w:tabs>
          <w:tab w:val="left" w:pos="2600"/>
        </w:tabs>
        <w:spacing w:after="70" w:before="0"/>
      </w:pPr>
      <w:r>
        <w:rPr>
          <w:rFonts w:ascii="Arial" w:cs="Arial" w:eastAsia="Arial" w:hAnsi="Arial"/>
          <w:b/>
          <w:bCs/>
          <w:color w:val="1A1A2E"/>
          <w:sz w:val="20"/>
          <w:szCs w:val="20"/>
        </w:rPr>
        <w:t xml:space="preserve">Architect</w:t>
      </w:r>
      <w:r>
        <w:rPr>
          <w:rFonts w:ascii="Arial" w:cs="Arial" w:eastAsia="Arial" w:hAnsi="Arial"/>
        </w:rPr>
        <w:t xml:space="preserve">	</w:t>
      </w:r>
      <w:r>
        <w:rPr>
          <w:rFonts w:ascii="Arial" w:cs="Arial" w:eastAsia="Arial" w:hAnsi="Arial"/>
          <w:b w:val="false"/>
          <w:bCs w:val="false"/>
          <w:color w:val="333333"/>
          <w:sz w:val="20"/>
          <w:szCs w:val="20"/>
        </w:rPr>
        <w:t xml:space="preserve">Brown &amp; Company</w:t>
      </w:r>
    </w:p>
    <w:p>
      <w:pPr>
        <w:tabs>
          <w:tab w:val="left" w:pos="2600"/>
        </w:tabs>
        <w:spacing w:after="70" w:before="0"/>
      </w:pPr>
      <w:r>
        <w:rPr>
          <w:rFonts w:ascii="Arial" w:cs="Arial" w:eastAsia="Arial" w:hAnsi="Arial"/>
          <w:b/>
          <w:bCs/>
          <w:color w:val="1A1A2E"/>
          <w:sz w:val="20"/>
          <w:szCs w:val="20"/>
        </w:rPr>
        <w:t xml:space="preserve">Planning status</w:t>
      </w:r>
      <w:r>
        <w:rPr>
          <w:rFonts w:ascii="Arial" w:cs="Arial" w:eastAsia="Arial" w:hAnsi="Arial"/>
        </w:rPr>
        <w:t xml:space="preserve">	</w:t>
      </w:r>
      <w:r>
        <w:rPr>
          <w:rFonts w:ascii="Arial" w:cs="Arial" w:eastAsia="Arial" w:hAnsi="Arial"/>
          <w:b w:val="false"/>
          <w:bCs w:val="false"/>
          <w:color w:val="333333"/>
          <w:sz w:val="20"/>
          <w:szCs w:val="20"/>
        </w:rPr>
        <w:t xml:space="preserve">Approved December 2025 — construction expected Q3-Q4 2026</w:t>
      </w:r>
    </w:p>
    <w:p>
      <w:pPr>
        <w:tabs>
          <w:tab w:val="left" w:pos="2600"/>
        </w:tabs>
        <w:spacing w:after="70" w:before="0"/>
      </w:pPr>
      <w:r>
        <w:rPr>
          <w:rFonts w:ascii="Arial" w:cs="Arial" w:eastAsia="Arial" w:hAnsi="Arial"/>
          <w:b/>
          <w:bCs/>
          <w:color w:val="1A1A2E"/>
          <w:sz w:val="20"/>
          <w:szCs w:val="20"/>
        </w:rPr>
        <w:t xml:space="preserve">Scheme description</w:t>
      </w:r>
      <w:r>
        <w:rPr>
          <w:rFonts w:ascii="Arial" w:cs="Arial" w:eastAsia="Arial" w:hAnsi="Arial"/>
        </w:rPr>
        <w:t xml:space="preserve">	</w:t>
      </w:r>
      <w:r>
        <w:rPr>
          <w:rFonts w:ascii="Arial" w:cs="Arial" w:eastAsia="Arial" w:hAnsi="Arial"/>
          <w:b w:val="false"/>
          <w:bCs w:val="false"/>
          <w:color w:val="333333"/>
          <w:sz w:val="20"/>
          <w:szCs w:val="20"/>
        </w:rPr>
        <w:t xml:space="preserve">399 PBSA studios + 414 co-living studios — all self-contained studio format</w:t>
      </w:r>
    </w:p>
    <w:p>
      <w:pPr>
        <w:tabs>
          <w:tab w:val="left" w:pos="2600"/>
        </w:tabs>
        <w:spacing w:after="70" w:before="0"/>
      </w:pPr>
      <w:r>
        <w:rPr>
          <w:rFonts w:ascii="Arial" w:cs="Arial" w:eastAsia="Arial" w:hAnsi="Arial"/>
          <w:b/>
          <w:bCs/>
          <w:color w:val="1A1A2E"/>
          <w:sz w:val="20"/>
          <w:szCs w:val="20"/>
        </w:rPr>
        <w:t xml:space="preserve">Total units</w:t>
      </w:r>
      <w:r>
        <w:rPr>
          <w:rFonts w:ascii="Arial" w:cs="Arial" w:eastAsia="Arial" w:hAnsi="Arial"/>
        </w:rPr>
        <w:t xml:space="preserve">	</w:t>
      </w:r>
      <w:r>
        <w:rPr>
          <w:rFonts w:ascii="Arial" w:cs="Arial" w:eastAsia="Arial" w:hAnsi="Arial"/>
          <w:b w:val="false"/>
          <w:bCs w:val="false"/>
          <w:color w:val="333333"/>
          <w:sz w:val="20"/>
          <w:szCs w:val="20"/>
        </w:rPr>
        <w:t xml:space="preserve">813 studios</w:t>
      </w:r>
    </w:p>
    <w:p>
      <w:pPr>
        <w:tabs>
          <w:tab w:val="left" w:pos="2600"/>
        </w:tabs>
        <w:spacing w:after="70" w:before="0"/>
      </w:pPr>
      <w:r>
        <w:rPr>
          <w:rFonts w:ascii="Arial" w:cs="Arial" w:eastAsia="Arial" w:hAnsi="Arial"/>
          <w:b/>
          <w:bCs/>
          <w:color w:val="1A1A2E"/>
          <w:sz w:val="20"/>
          <w:szCs w:val="20"/>
        </w:rPr>
        <w:t xml:space="preserve">Flagstaffe ref</w:t>
      </w:r>
      <w:r>
        <w:rPr>
          <w:rFonts w:ascii="Arial" w:cs="Arial" w:eastAsia="Arial" w:hAnsi="Arial"/>
        </w:rPr>
        <w:t xml:space="preserve">	</w:t>
      </w:r>
      <w:r>
        <w:rPr>
          <w:rFonts w:ascii="Arial" w:cs="Arial" w:eastAsia="Arial" w:hAnsi="Arial"/>
          <w:b w:val="false"/>
          <w:bCs w:val="false"/>
          <w:color w:val="333333"/>
          <w:sz w:val="20"/>
          <w:szCs w:val="20"/>
        </w:rPr>
        <w:t xml:space="preserve">Flag-HVR-IND-001</w:t>
      </w:r>
    </w:p>
    <w:p>
      <w:pPr>
        <w:tabs>
          <w:tab w:val="left" w:pos="2600"/>
        </w:tabs>
        <w:spacing w:after="70" w:before="0"/>
      </w:pPr>
      <w:r>
        <w:rPr>
          <w:rFonts w:ascii="Arial" w:cs="Arial" w:eastAsia="Arial" w:hAnsi="Arial"/>
          <w:b/>
          <w:bCs/>
          <w:color w:val="1A1A2E"/>
          <w:sz w:val="20"/>
          <w:szCs w:val="20"/>
        </w:rPr>
        <w:t xml:space="preserve">Issued by</w:t>
      </w:r>
      <w:r>
        <w:rPr>
          <w:rFonts w:ascii="Arial" w:cs="Arial" w:eastAsia="Arial" w:hAnsi="Arial"/>
        </w:rPr>
        <w:t xml:space="preserve">	</w:t>
      </w:r>
      <w:r>
        <w:rPr>
          <w:rFonts w:ascii="Arial" w:cs="Arial" w:eastAsia="Arial" w:hAnsi="Arial"/>
          <w:b w:val="false"/>
          <w:bCs w:val="false"/>
          <w:color w:val="333333"/>
          <w:sz w:val="20"/>
          <w:szCs w:val="20"/>
        </w:rPr>
        <w:t xml:space="preserve">Dan Brownsword | Jimmy Hogg (Estimator)</w:t>
      </w:r>
    </w:p>
    <w:p>
      <w:pPr>
        <w:tabs>
          <w:tab w:val="left" w:pos="2600"/>
        </w:tabs>
        <w:spacing w:after="70" w:before="0"/>
      </w:pPr>
      <w:r>
        <w:rPr>
          <w:rFonts w:ascii="Arial" w:cs="Arial" w:eastAsia="Arial" w:hAnsi="Arial"/>
          <w:b/>
          <w:bCs/>
          <w:color w:val="1A1A2E"/>
          <w:sz w:val="20"/>
          <w:szCs w:val="20"/>
        </w:rPr>
        <w:t xml:space="preserve">Date</w:t>
      </w:r>
      <w:r>
        <w:rPr>
          <w:rFonts w:ascii="Arial" w:cs="Arial" w:eastAsia="Arial" w:hAnsi="Arial"/>
        </w:rPr>
        <w:t xml:space="preserve">	</w:t>
      </w:r>
      <w:r>
        <w:rPr>
          <w:rFonts w:ascii="Arial" w:cs="Arial" w:eastAsia="Arial" w:hAnsi="Arial"/>
          <w:b w:val="false"/>
          <w:bCs w:val="false"/>
          <w:color w:val="333333"/>
          <w:sz w:val="20"/>
          <w:szCs w:val="20"/>
        </w:rPr>
        <w:t xml:space="preserve">2 June 2026</w:t>
      </w:r>
    </w:p>
    <w:p>
      <w:pPr>
        <w:tabs>
          <w:tab w:val="left" w:pos="2600"/>
        </w:tabs>
        <w:spacing w:after="70" w:before="0"/>
      </w:pPr>
      <w:r>
        <w:rPr>
          <w:rFonts w:ascii="Arial" w:cs="Arial" w:eastAsia="Arial" w:hAnsi="Arial"/>
          <w:b/>
          <w:bCs/>
          <w:color w:val="1A1A2E"/>
          <w:sz w:val="20"/>
          <w:szCs w:val="20"/>
        </w:rPr>
        <w:t xml:space="preserve">Specification assumed</w:t>
      </w:r>
      <w:r>
        <w:rPr>
          <w:rFonts w:ascii="Arial" w:cs="Arial" w:eastAsia="Arial" w:hAnsi="Arial"/>
        </w:rPr>
        <w:t xml:space="preserve">	</w:t>
      </w:r>
      <w:r>
        <w:rPr>
          <w:rFonts w:ascii="Arial" w:cs="Arial" w:eastAsia="Arial" w:hAnsi="Arial"/>
          <w:b w:val="false"/>
          <w:bCs w:val="false"/>
          <w:color w:val="333333"/>
          <w:sz w:val="20"/>
          <w:szCs w:val="20"/>
        </w:rPr>
        <w:t xml:space="preserve">Kronospan Band A (as Flag22167, Stafford St, Wolverhampton)</w:t>
      </w:r>
    </w:p>
    <w:p>
      <w:pPr>
        <w:tabs>
          <w:tab w:val="left" w:pos="2600"/>
        </w:tabs>
        <w:spacing w:after="70" w:before="0"/>
      </w:pPr>
      <w:r>
        <w:rPr>
          <w:rFonts w:ascii="Arial" w:cs="Arial" w:eastAsia="Arial" w:hAnsi="Arial"/>
          <w:b/>
          <w:bCs/>
          <w:color w:val="1A1A2E"/>
          <w:sz w:val="20"/>
          <w:szCs w:val="20"/>
        </w:rPr>
        <w:t xml:space="preserve">Inflation assumed</w:t>
      </w:r>
      <w:r>
        <w:rPr>
          <w:rFonts w:ascii="Arial" w:cs="Arial" w:eastAsia="Arial" w:hAnsi="Arial"/>
        </w:rPr>
        <w:t xml:space="preserve">	</w:t>
      </w:r>
      <w:r>
        <w:rPr>
          <w:rFonts w:ascii="Arial" w:cs="Arial" w:eastAsia="Arial" w:hAnsi="Arial"/>
          <w:b w:val="false"/>
          <w:bCs w:val="false"/>
          <w:color w:val="333333"/>
          <w:sz w:val="20"/>
          <w:szCs w:val="20"/>
        </w:rPr>
        <w:t xml:space="preserve">Jan-27 start (factor 1.0527 from Apr-26 base)</w:t>
      </w:r>
    </w:p>
    <w:p>
      <w:pPr>
        <w:tabs>
          <w:tab w:val="left" w:pos="2600"/>
        </w:tabs>
        <w:spacing w:after="70" w:before="0"/>
      </w:pPr>
      <w:r>
        <w:rPr>
          <w:rFonts w:ascii="Arial" w:cs="Arial" w:eastAsia="Arial" w:hAnsi="Arial"/>
          <w:b/>
          <w:bCs/>
          <w:color w:val="1A1A2E"/>
          <w:sz w:val="20"/>
          <w:szCs w:val="20"/>
        </w:rPr>
        <w:t xml:space="preserve">Programme assumed</w:t>
      </w:r>
      <w:r>
        <w:rPr>
          <w:rFonts w:ascii="Arial" w:cs="Arial" w:eastAsia="Arial" w:hAnsi="Arial"/>
        </w:rPr>
        <w:t xml:space="preserve">	</w:t>
      </w:r>
      <w:r>
        <w:rPr>
          <w:rFonts w:ascii="Arial" w:cs="Arial" w:eastAsia="Arial" w:hAnsi="Arial"/>
          <w:b w:val="false"/>
          <w:bCs w:val="false"/>
          <w:color w:val="333333"/>
          <w:sz w:val="20"/>
          <w:szCs w:val="20"/>
        </w:rPr>
        <w:t xml:space="preserve">8 months, even and continuous delivery</w:t>
      </w:r>
    </w:p>
    <w:p>
      <w:pPr>
        <w:spacing w:after="140" w:before="0"/>
      </w:pPr>
      <w:r>
        <w:rPr>
          <w:rFonts w:ascii="Arial" w:cs="Arial" w:eastAsia="Arial" w:hAnsi="Arial"/>
          <w:color w:val="333333"/>
          <w:sz w:val="20"/>
          <w:szCs w:val="20"/>
        </w:rPr>
        <w:t xml:space="preserve"/>
      </w:r>
    </w:p>
    <w:p>
      <w:pPr>
        <w:pStyle w:val="Heading1"/>
        <w:pBdr>
          <w:bottom w:val="single" w:color="E8C547" w:sz="10" w:space="4"/>
        </w:pBdr>
        <w:spacing w:after="120" w:before="300"/>
      </w:pPr>
      <w:r>
        <w:rPr>
          <w:rFonts w:ascii="Arial" w:cs="Arial" w:eastAsia="Arial" w:hAnsi="Arial"/>
          <w:b/>
          <w:bCs/>
          <w:color w:val="1A1A2E"/>
          <w:sz w:val="28"/>
          <w:szCs w:val="28"/>
        </w:rPr>
        <w:t xml:space="preserve">Cover Letter</w:t>
      </w:r>
    </w:p>
    <w:p>
      <w:pPr>
        <w:tabs>
          <w:tab w:val="left" w:pos="2600"/>
        </w:tabs>
        <w:spacing w:after="70" w:before="0"/>
      </w:pPr>
      <w:r>
        <w:rPr>
          <w:rFonts w:ascii="Arial" w:cs="Arial" w:eastAsia="Arial" w:hAnsi="Arial"/>
          <w:b/>
          <w:bCs/>
          <w:color w:val="1A1A2E"/>
          <w:sz w:val="20"/>
          <w:szCs w:val="20"/>
        </w:rPr>
        <w:t xml:space="preserve">From</w:t>
      </w:r>
      <w:r>
        <w:rPr>
          <w:rFonts w:ascii="Arial" w:cs="Arial" w:eastAsia="Arial" w:hAnsi="Arial"/>
        </w:rPr>
        <w:t xml:space="preserve">	</w:t>
      </w:r>
      <w:r>
        <w:rPr>
          <w:rFonts w:ascii="Arial" w:cs="Arial" w:eastAsia="Arial" w:hAnsi="Arial"/>
          <w:b w:val="false"/>
          <w:bCs w:val="false"/>
          <w:color w:val="333333"/>
          <w:sz w:val="20"/>
          <w:szCs w:val="20"/>
        </w:rPr>
        <w:t xml:space="preserve">Dan Brownsword &amp; Kam Krupinski, Directors — Flagstaffe</w:t>
      </w:r>
    </w:p>
    <w:p>
      <w:pPr>
        <w:tabs>
          <w:tab w:val="left" w:pos="2600"/>
        </w:tabs>
        <w:spacing w:after="70" w:before="0"/>
      </w:pPr>
      <w:r>
        <w:rPr>
          <w:rFonts w:ascii="Arial" w:cs="Arial" w:eastAsia="Arial" w:hAnsi="Arial"/>
          <w:b/>
          <w:bCs/>
          <w:color w:val="1A1A2E"/>
          <w:sz w:val="20"/>
          <w:szCs w:val="20"/>
        </w:rPr>
        <w:t xml:space="preserve">To</w:t>
      </w:r>
      <w:r>
        <w:rPr>
          <w:rFonts w:ascii="Arial" w:cs="Arial" w:eastAsia="Arial" w:hAnsi="Arial"/>
        </w:rPr>
        <w:t xml:space="preserve">	</w:t>
      </w:r>
      <w:r>
        <w:rPr>
          <w:rFonts w:ascii="Arial" w:cs="Arial" w:eastAsia="Arial" w:hAnsi="Arial"/>
          <w:b w:val="false"/>
          <w:bCs w:val="false"/>
          <w:color w:val="333333"/>
          <w:sz w:val="20"/>
          <w:szCs w:val="20"/>
        </w:rPr>
        <w:t xml:space="preserve">NCO (Seven) Limited / Nixon Homes Limited</w:t>
      </w:r>
    </w:p>
    <w:p>
      <w:pPr>
        <w:tabs>
          <w:tab w:val="left" w:pos="2600"/>
        </w:tabs>
        <w:spacing w:after="70" w:before="0"/>
      </w:pPr>
      <w:r>
        <w:rPr>
          <w:rFonts w:ascii="Arial" w:cs="Arial" w:eastAsia="Arial" w:hAnsi="Arial"/>
          <w:b/>
          <w:bCs/>
          <w:color w:val="1A1A2E"/>
          <w:sz w:val="20"/>
          <w:szCs w:val="20"/>
        </w:rPr>
        <w:t xml:space="preserve">Re</w:t>
      </w:r>
      <w:r>
        <w:rPr>
          <w:rFonts w:ascii="Arial" w:cs="Arial" w:eastAsia="Arial" w:hAnsi="Arial"/>
        </w:rPr>
        <w:t xml:space="preserve">	</w:t>
      </w:r>
      <w:r>
        <w:rPr>
          <w:rFonts w:ascii="Arial" w:cs="Arial" w:eastAsia="Arial" w:hAnsi="Arial"/>
          <w:b w:val="false"/>
          <w:bCs w:val="false"/>
          <w:color w:val="333333"/>
          <w:sz w:val="20"/>
          <w:szCs w:val="20"/>
        </w:rPr>
        <w:t xml:space="preserve">Heavitree Road, Exeter — FF&amp;E Indicative Budget</w:t>
      </w:r>
    </w:p>
    <w:p>
      <w:pPr>
        <w:spacing w:after="100" w:before="0"/>
      </w:pPr>
      <w:r>
        <w:rPr>
          <w:rFonts w:ascii="Arial" w:cs="Arial" w:eastAsia="Arial" w:hAnsi="Arial"/>
          <w:color w:val="333333"/>
          <w:sz w:val="20"/>
          <w:szCs w:val="20"/>
        </w:rPr>
        <w:t xml:space="preserve"/>
      </w:r>
    </w:p>
    <w:p>
      <w:pPr>
        <w:spacing w:after="120" w:before="0"/>
      </w:pPr>
      <w:r>
        <w:rPr>
          <w:rFonts w:ascii="Arial" w:cs="Arial" w:eastAsia="Arial" w:hAnsi="Arial"/>
          <w:color w:val="333333"/>
          <w:sz w:val="20"/>
          <w:szCs w:val="20"/>
        </w:rPr>
        <w:t xml:space="preserve">We are writing in relation to your approved mixed PBSA and co-living development at the former Devon &amp; Cornwall Constabulary site, Heavitree Road, Exeter (planning ref: 25/0676/FUL). We understand the scheme has been approved and that construction is expected to commence Q3-Q4 2026.</w:t>
      </w:r>
    </w:p>
    <w:p>
      <w:pPr>
        <w:spacing w:after="120" w:before="0"/>
      </w:pPr>
      <w:r>
        <w:rPr>
          <w:rFonts w:ascii="Arial" w:cs="Arial" w:eastAsia="Arial" w:hAnsi="Arial"/>
          <w:color w:val="333333"/>
          <w:sz w:val="20"/>
          <w:szCs w:val="20"/>
        </w:rPr>
        <w:t xml:space="preserve">Flagstaffe is a specialist FF&amp;E supplier and installer for purpose-built student accommodation and co-living schemes nationwide. Dan Brownsword and Kam Krupinski, who jointly own the business, have between them delivered more than 100,000 rooms across the UK, and we have significant experience of all-studio and co-living format schemes of this scale and complexity.</w:t>
      </w:r>
    </w:p>
    <w:p>
      <w:pPr>
        <w:spacing w:after="120" w:before="0"/>
      </w:pPr>
      <w:r>
        <w:rPr>
          <w:rFonts w:ascii="Arial" w:cs="Arial" w:eastAsia="Arial" w:hAnsi="Arial"/>
          <w:color w:val="333333"/>
          <w:sz w:val="20"/>
          <w:szCs w:val="20"/>
        </w:rPr>
        <w:t xml:space="preserve">The Heavitree Road scheme — 813 studio units across seven blocks — is exactly the scale and format where Flagstaffe delivers its most efficient and competitive pricing. All-studio schemes with no cluster kitchens simplify the procurement process considerably and allow us to move quickly once a programme is confirmed.</w:t>
      </w:r>
    </w:p>
    <w:p>
      <w:pPr>
        <w:spacing w:after="120" w:before="0"/>
      </w:pPr>
      <w:r>
        <w:rPr>
          <w:rFonts w:ascii="Arial" w:cs="Arial" w:eastAsia="Arial" w:hAnsi="Arial"/>
          <w:color w:val="333333"/>
          <w:sz w:val="20"/>
          <w:szCs w:val="20"/>
        </w:rPr>
        <w:t xml:space="preserve">We have prepared the indicative budget below to support your FF&amp;E planning. We would welcome a call to discuss the scheme, talk through our specification assumptions, and understand your timeline in more detail. The budget can be refined quickly once programme dates and any drawings are available.</w:t>
      </w:r>
    </w:p>
    <w:p>
      <w:pPr>
        <w:spacing w:after="120" w:before="0"/>
      </w:pPr>
      <w:r>
        <w:rPr>
          <w:rFonts w:ascii="Arial" w:cs="Arial" w:eastAsia="Arial" w:hAnsi="Arial"/>
          <w:color w:val="333333"/>
          <w:sz w:val="20"/>
          <w:szCs w:val="20"/>
        </w:rPr>
        <w:t xml:space="preserve">Our standard delivery terms allow even and continuous delivery over the programme period, with full installation, snagging and handover for each block as it becomes available. We are experienced in phased multi-block delivery and can adapt the programme to your construction sequence.</w:t>
      </w:r>
    </w:p>
    <w:p>
      <w:pPr>
        <w:spacing w:after="80" w:before="0"/>
      </w:pPr>
      <w:r>
        <w:rPr>
          <w:rFonts w:ascii="Arial" w:cs="Arial" w:eastAsia="Arial" w:hAnsi="Arial"/>
          <w:color w:val="333333"/>
          <w:sz w:val="20"/>
          <w:szCs w:val="20"/>
        </w:rPr>
        <w:t xml:space="preserve"/>
      </w:r>
    </w:p>
    <w:p>
      <w:pPr>
        <w:spacing w:after="120" w:before="0"/>
      </w:pPr>
      <w:r>
        <w:rPr>
          <w:rFonts w:ascii="Arial" w:cs="Arial" w:eastAsia="Arial" w:hAnsi="Arial"/>
          <w:color w:val="333333"/>
          <w:sz w:val="20"/>
          <w:szCs w:val="20"/>
        </w:rPr>
        <w:t xml:space="preserve">Kind regards,</w:t>
      </w:r>
    </w:p>
    <w:p>
      <w:pPr>
        <w:spacing w:after="60" w:before="0"/>
      </w:pPr>
      <w:r>
        <w:rPr>
          <w:rFonts w:ascii="Arial" w:cs="Arial" w:eastAsia="Arial" w:hAnsi="Arial"/>
          <w:color w:val="333333"/>
          <w:sz w:val="20"/>
          <w:szCs w:val="20"/>
        </w:rPr>
        <w:t xml:space="preserve"/>
      </w:r>
    </w:p>
    <w:p>
      <w:pPr>
        <w:spacing w:after="120" w:before="0"/>
      </w:pPr>
      <w:r>
        <w:rPr>
          <w:rFonts w:ascii="Arial" w:cs="Arial" w:eastAsia="Arial" w:hAnsi="Arial"/>
          <w:color w:val="333333"/>
          <w:sz w:val="20"/>
          <w:szCs w:val="20"/>
        </w:rPr>
        <w:t xml:space="preserve">Dan Brownsword &amp; Kam Krupinski</w:t>
      </w:r>
    </w:p>
    <w:p>
      <w:pPr>
        <w:spacing w:after="120" w:before="0"/>
      </w:pPr>
      <w:r>
        <w:rPr>
          <w:rFonts w:ascii="Arial" w:cs="Arial" w:eastAsia="Arial" w:hAnsi="Arial"/>
          <w:color w:val="333333"/>
          <w:sz w:val="20"/>
          <w:szCs w:val="20"/>
        </w:rPr>
        <w:t xml:space="preserve">Directors — Flagstaffe</w:t>
      </w:r>
    </w:p>
    <w:p>
      <w:pPr>
        <w:spacing w:after="120" w:before="0"/>
      </w:pPr>
      <w:r>
        <w:rPr>
          <w:rFonts w:ascii="Arial" w:cs="Arial" w:eastAsia="Arial" w:hAnsi="Arial"/>
          <w:color w:val="333333"/>
          <w:sz w:val="20"/>
          <w:szCs w:val="20"/>
        </w:rPr>
        <w:t xml:space="preserve">enquiries@flagstaffe.com  |  01260 460 003</w:t>
      </w:r>
    </w:p>
    <w:p>
      <w:pPr>
        <w:spacing w:after="140" w:before="0"/>
      </w:pPr>
      <w:r>
        <w:rPr>
          <w:rFonts w:ascii="Arial" w:cs="Arial" w:eastAsia="Arial" w:hAnsi="Arial"/>
          <w:color w:val="333333"/>
          <w:sz w:val="20"/>
          <w:szCs w:val="20"/>
        </w:rPr>
        <w:t xml:space="preserve"/>
      </w:r>
    </w:p>
    <w:p>
      <w:pPr>
        <w:pStyle w:val="Heading1"/>
        <w:pBdr>
          <w:bottom w:val="single" w:color="E8C547" w:sz="10" w:space="4"/>
        </w:pBdr>
        <w:spacing w:after="120" w:before="300"/>
      </w:pPr>
      <w:r>
        <w:rPr>
          <w:rFonts w:ascii="Arial" w:cs="Arial" w:eastAsia="Arial" w:hAnsi="Arial"/>
          <w:b/>
          <w:bCs/>
          <w:color w:val="1A1A2E"/>
          <w:sz w:val="28"/>
          <w:szCs w:val="28"/>
        </w:rPr>
        <w:t xml:space="preserve">Indicative FF&amp;E Budget</w:t>
      </w:r>
    </w:p>
    <w:p>
      <w:pPr>
        <w:pBdr>
          <w:top w:val="single" w:color="E65100" w:sz="2"/>
          <w:left w:val="single" w:color="E65100" w:sz="16"/>
          <w:bottom w:val="single" w:color="E65100" w:sz="2"/>
          <w:right w:val="none" w:color="FFFFFF" w:sz="0"/>
        </w:pBdr>
        <w:shd w:fill="FFF9C4" w:val="clear"/>
        <w:spacing w:after="120" w:before="120"/>
        <w:ind w:left="280"/>
      </w:pPr>
      <w:r>
        <w:rPr>
          <w:rFonts w:ascii="Arial" w:cs="Arial" w:eastAsia="Arial" w:hAnsi="Arial"/>
          <w:b/>
          <w:bCs/>
          <w:color w:val="E65100"/>
          <w:sz w:val="19"/>
          <w:szCs w:val="19"/>
        </w:rPr>
        <w:t xml:space="preserve">Room counts assumed: 770 Standard Studios + 43 DDA/Accessible Studios = 813 total. Rates from Flag22167 (Stafford St, Wolverhampton, April 2026, Kronospan Band A). This is a budget estimate — not a final quotation.</w:t>
      </w:r>
    </w:p>
    <w:p>
      <w:pPr>
        <w:spacing w:after="80" w:before="0"/>
      </w:pPr>
      <w:r>
        <w:rPr>
          <w:rFonts w:ascii="Arial" w:cs="Arial" w:eastAsia="Arial" w:hAnsi="Arial"/>
          <w:color w:val="3333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Category</w:t>
            </w:r>
          </w:p>
        </w:tc>
        <w:tc>
          <w:tcPr>
            <w:tcW w:type="dxa" w:w="4338"/>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right"/>
            </w:pPr>
            <w:r>
              <w:rPr>
                <w:rFonts w:ascii="Arial" w:cs="Arial" w:eastAsia="Arial" w:hAnsi="Arial"/>
                <w:b/>
                <w:bCs/>
                <w:color w:val="FFFFFF"/>
                <w:sz w:val="20"/>
                <w:szCs w:val="20"/>
              </w:rPr>
              <w:t xml:space="preserve">Sub-total</w:t>
            </w:r>
          </w:p>
        </w:tc>
      </w:tr>
      <w:tr>
        <w:tc>
          <w:tcPr>
            <w:tcW w:type="dxa" w:w="53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Bedrooms</w:t>
            </w:r>
          </w:p>
        </w:tc>
        <w:tc>
          <w:tcPr>
            <w:tcW w:type="dxa" w:w="43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1A1A2E"/>
                <w:sz w:val="20"/>
                <w:szCs w:val="20"/>
              </w:rPr>
              <w:t xml:space="preserve">£1,238,100.52</w:t>
            </w:r>
          </w:p>
        </w:tc>
      </w:tr>
      <w:tr>
        <w:tc>
          <w:tcPr>
            <w:tcW w:type="dxa" w:w="53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Kitchens</w:t>
            </w:r>
          </w:p>
        </w:tc>
        <w:tc>
          <w:tcPr>
            <w:tcW w:type="dxa" w:w="43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1A1A2E"/>
                <w:sz w:val="20"/>
                <w:szCs w:val="20"/>
              </w:rPr>
              <w:t xml:space="preserve">£1,119,341.24</w:t>
            </w:r>
          </w:p>
        </w:tc>
      </w:tr>
      <w:tr>
        <w:tc>
          <w:tcPr>
            <w:tcW w:type="dxa" w:w="53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Loose Goods</w:t>
            </w:r>
          </w:p>
        </w:tc>
        <w:tc>
          <w:tcPr>
            <w:tcW w:type="dxa" w:w="43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1A1A2E"/>
                <w:sz w:val="20"/>
                <w:szCs w:val="20"/>
              </w:rPr>
              <w:t xml:space="preserve">£467,084.76</w:t>
            </w:r>
          </w:p>
        </w:tc>
      </w:tr>
      <w:tr>
        <w:tc>
          <w:tcPr>
            <w:tcW w:type="dxa" w:w="53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Appliances</w:t>
            </w:r>
          </w:p>
        </w:tc>
        <w:tc>
          <w:tcPr>
            <w:tcW w:type="dxa" w:w="43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1A1A2E"/>
                <w:sz w:val="20"/>
                <w:szCs w:val="20"/>
              </w:rPr>
              <w:t xml:space="preserve">£704,860.32</w:t>
            </w:r>
          </w:p>
        </w:tc>
      </w:tr>
      <w:tr>
        <w:tc>
          <w:tcPr>
            <w:tcW w:type="dxa" w:w="53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Project Management Fee</w:t>
            </w:r>
          </w:p>
        </w:tc>
        <w:tc>
          <w:tcPr>
            <w:tcW w:type="dxa" w:w="43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1A1A2E"/>
                <w:sz w:val="20"/>
                <w:szCs w:val="20"/>
              </w:rPr>
              <w:t xml:space="preserve">£55,633.59</w:t>
            </w:r>
          </w:p>
        </w:tc>
      </w:tr>
      <w:tr>
        <w:tc>
          <w:tcPr>
            <w:tcW w:type="dxa" w:w="5300"/>
            <w:tcBorders>
              <w:top w:val="single" w:color="DDDDDD" w:sz="1"/>
              <w:left w:val="single" w:color="DDDDDD" w:sz="1"/>
              <w:bottom w:val="single" w:color="DDDDDD" w:sz="1"/>
              <w:right w:val="single" w:color="DDDDDD" w:sz="1"/>
            </w:tcBorders>
            <w:shd w:fill="E8C547" w:val="clear"/>
            <w:tcMar>
              <w:top w:type="dxa" w:w="80"/>
              <w:left w:type="dxa" w:w="160"/>
              <w:bottom w:type="dxa" w:w="80"/>
              <w:right w:type="dxa" w:w="160"/>
            </w:tcMar>
          </w:tcPr>
          <w:p>
            <w:pPr>
              <w:spacing w:after="0" w:before="0"/>
            </w:pPr>
            <w:r>
              <w:rPr>
                <w:rFonts w:ascii="Arial" w:cs="Arial" w:eastAsia="Arial" w:hAnsi="Arial"/>
                <w:b/>
                <w:bCs/>
                <w:color w:val="1A1A2E"/>
                <w:sz w:val="20"/>
                <w:szCs w:val="20"/>
              </w:rPr>
              <w:t xml:space="preserve">Sub-total</w:t>
            </w:r>
          </w:p>
        </w:tc>
        <w:tc>
          <w:tcPr>
            <w:tcW w:type="dxa" w:w="4338"/>
            <w:tcBorders>
              <w:top w:val="single" w:color="DDDDDD" w:sz="1"/>
              <w:left w:val="single" w:color="DDDDDD" w:sz="1"/>
              <w:bottom w:val="single" w:color="DDDDDD" w:sz="1"/>
              <w:right w:val="single" w:color="DDDDDD" w:sz="1"/>
            </w:tcBorders>
            <w:shd w:fill="E8C547" w:val="clear"/>
            <w:tcMar>
              <w:top w:type="dxa" w:w="80"/>
              <w:left w:type="dxa" w:w="160"/>
              <w:bottom w:type="dxa" w:w="80"/>
              <w:right w:type="dxa" w:w="160"/>
            </w:tcMar>
          </w:tcPr>
          <w:p>
            <w:pPr>
              <w:spacing w:after="0" w:before="0"/>
              <w:jc w:val="right"/>
            </w:pPr>
            <w:r>
              <w:rPr>
                <w:rFonts w:ascii="Arial" w:cs="Arial" w:eastAsia="Arial" w:hAnsi="Arial"/>
                <w:b/>
                <w:bCs/>
                <w:color w:val="1A1A2E"/>
                <w:sz w:val="20"/>
                <w:szCs w:val="20"/>
              </w:rPr>
              <w:t xml:space="preserve">£3,585,020.43</w:t>
            </w:r>
          </w:p>
        </w:tc>
      </w:tr>
      <w:tr>
        <w:tc>
          <w:tcPr>
            <w:tcW w:type="dxa" w:w="53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2.5% MCD Discount</w:t>
            </w:r>
          </w:p>
        </w:tc>
        <w:tc>
          <w:tcPr>
            <w:tcW w:type="dxa" w:w="43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C62828"/>
                <w:sz w:val="20"/>
                <w:szCs w:val="20"/>
              </w:rPr>
              <w:t xml:space="preserve">-£89,625.51</w:t>
            </w:r>
          </w:p>
        </w:tc>
      </w:tr>
      <w:tr>
        <w:tc>
          <w:tcPr>
            <w:tcW w:type="dxa" w:w="5300"/>
            <w:tcBorders>
              <w:top w:val="single" w:color="DDDDDD" w:sz="1"/>
              <w:left w:val="single" w:color="DDDDDD" w:sz="1"/>
              <w:bottom w:val="single" w:color="DDDDDD" w:sz="1"/>
              <w:right w:val="single" w:color="DDDDDD" w:sz="1"/>
            </w:tcBorders>
            <w:shd w:fill="E8C547" w:val="clear"/>
            <w:tcMar>
              <w:top w:type="dxa" w:w="80"/>
              <w:left w:type="dxa" w:w="160"/>
              <w:bottom w:type="dxa" w:w="80"/>
              <w:right w:type="dxa" w:w="160"/>
            </w:tcMar>
          </w:tcPr>
          <w:p>
            <w:pPr>
              <w:spacing w:after="0" w:before="0"/>
            </w:pPr>
            <w:r>
              <w:rPr>
                <w:rFonts w:ascii="Arial" w:cs="Arial" w:eastAsia="Arial" w:hAnsi="Arial"/>
                <w:b/>
                <w:bCs/>
                <w:color w:val="1A1A2E"/>
                <w:sz w:val="22"/>
                <w:szCs w:val="22"/>
              </w:rPr>
              <w:t xml:space="preserve">TOTAL (excl. VAT)</w:t>
            </w:r>
          </w:p>
        </w:tc>
        <w:tc>
          <w:tcPr>
            <w:tcW w:type="dxa" w:w="4338"/>
            <w:tcBorders>
              <w:top w:val="single" w:color="DDDDDD" w:sz="1"/>
              <w:left w:val="single" w:color="DDDDDD" w:sz="1"/>
              <w:bottom w:val="single" w:color="DDDDDD" w:sz="1"/>
              <w:right w:val="single" w:color="DDDDDD" w:sz="1"/>
            </w:tcBorders>
            <w:shd w:fill="E8C547" w:val="clear"/>
            <w:tcMar>
              <w:top w:type="dxa" w:w="80"/>
              <w:left w:type="dxa" w:w="160"/>
              <w:bottom w:type="dxa" w:w="80"/>
              <w:right w:type="dxa" w:w="160"/>
            </w:tcMar>
          </w:tcPr>
          <w:p>
            <w:pPr>
              <w:spacing w:after="0" w:before="0"/>
              <w:jc w:val="right"/>
            </w:pPr>
            <w:r>
              <w:rPr>
                <w:rFonts w:ascii="Arial" w:cs="Arial" w:eastAsia="Arial" w:hAnsi="Arial"/>
                <w:b/>
                <w:bCs/>
                <w:color w:val="1A1A2E"/>
                <w:sz w:val="22"/>
                <w:szCs w:val="22"/>
              </w:rPr>
              <w:t xml:space="preserve">£3,495,394.92</w:t>
            </w:r>
          </w:p>
        </w:tc>
      </w:tr>
    </w:tbl>
    <w:p>
      <w:pPr>
        <w:spacing w:after="100" w:before="0"/>
      </w:pPr>
      <w:r>
        <w:rPr>
          <w:rFonts w:ascii="Arial" w:cs="Arial" w:eastAsia="Arial" w:hAnsi="Arial"/>
          <w:color w:val="333333"/>
          <w:sz w:val="20"/>
          <w:szCs w:val="20"/>
        </w:rPr>
        <w:t xml:space="preserve"/>
      </w:r>
    </w:p>
    <w:p>
      <w:pPr>
        <w:spacing w:after="80" w:before="0"/>
      </w:pPr>
      <w:r>
        <w:rPr>
          <w:rFonts w:ascii="Arial" w:cs="Arial" w:eastAsia="Arial" w:hAnsi="Arial"/>
          <w:color w:val="7F8C8D"/>
          <w:sz w:val="17"/>
          <w:szCs w:val="17"/>
        </w:rPr>
        <w:t xml:space="preserve">excl. VAT (it is expected that Reverse Charge will apply)</w:t>
      </w:r>
    </w:p>
    <w:p>
      <w:pPr>
        <w:spacing w:after="14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Assumed room split</w:t>
      </w:r>
    </w:p>
    <w:p>
      <w:pPr>
        <w:tabs>
          <w:tab w:val="left" w:pos="2600"/>
        </w:tabs>
        <w:spacing w:after="70" w:before="0"/>
      </w:pPr>
      <w:r>
        <w:rPr>
          <w:rFonts w:ascii="Arial" w:cs="Arial" w:eastAsia="Arial" w:hAnsi="Arial"/>
          <w:b/>
          <w:bCs/>
          <w:color w:val="1A1A2E"/>
          <w:sz w:val="20"/>
          <w:szCs w:val="20"/>
        </w:rPr>
        <w:t xml:space="preserve">Standard Studios (assumed)</w:t>
      </w:r>
      <w:r>
        <w:rPr>
          <w:rFonts w:ascii="Arial" w:cs="Arial" w:eastAsia="Arial" w:hAnsi="Arial"/>
        </w:rPr>
        <w:t xml:space="preserve">	</w:t>
      </w:r>
      <w:r>
        <w:rPr>
          <w:rFonts w:ascii="Arial" w:cs="Arial" w:eastAsia="Arial" w:hAnsi="Arial"/>
          <w:b w:val="false"/>
          <w:bCs w:val="false"/>
          <w:color w:val="333333"/>
          <w:sz w:val="20"/>
          <w:szCs w:val="20"/>
        </w:rPr>
        <w:t xml:space="preserve">770</w:t>
      </w:r>
    </w:p>
    <w:p>
      <w:pPr>
        <w:tabs>
          <w:tab w:val="left" w:pos="2600"/>
        </w:tabs>
        <w:spacing w:after="70" w:before="0"/>
      </w:pPr>
      <w:r>
        <w:rPr>
          <w:rFonts w:ascii="Arial" w:cs="Arial" w:eastAsia="Arial" w:hAnsi="Arial"/>
          <w:b/>
          <w:bCs/>
          <w:color w:val="1A1A2E"/>
          <w:sz w:val="20"/>
          <w:szCs w:val="20"/>
        </w:rPr>
        <w:t xml:space="preserve">DDA/Accessible Studios (assumed)</w:t>
      </w:r>
      <w:r>
        <w:rPr>
          <w:rFonts w:ascii="Arial" w:cs="Arial" w:eastAsia="Arial" w:hAnsi="Arial"/>
        </w:rPr>
        <w:t xml:space="preserve">	</w:t>
      </w:r>
      <w:r>
        <w:rPr>
          <w:rFonts w:ascii="Arial" w:cs="Arial" w:eastAsia="Arial" w:hAnsi="Arial"/>
          <w:b w:val="false"/>
          <w:bCs w:val="false"/>
          <w:color w:val="333333"/>
          <w:sz w:val="20"/>
          <w:szCs w:val="20"/>
        </w:rPr>
        <w:t xml:space="preserve">43</w:t>
      </w:r>
    </w:p>
    <w:p>
      <w:pPr>
        <w:tabs>
          <w:tab w:val="left" w:pos="2600"/>
        </w:tabs>
        <w:spacing w:after="70" w:before="0"/>
      </w:pPr>
      <w:r>
        <w:rPr>
          <w:rFonts w:ascii="Arial" w:cs="Arial" w:eastAsia="Arial" w:hAnsi="Arial"/>
          <w:b/>
          <w:bCs/>
          <w:color w:val="1A1A2E"/>
          <w:sz w:val="20"/>
          <w:szCs w:val="20"/>
        </w:rPr>
        <w:t xml:space="preserve">Total units</w:t>
      </w:r>
      <w:r>
        <w:rPr>
          <w:rFonts w:ascii="Arial" w:cs="Arial" w:eastAsia="Arial" w:hAnsi="Arial"/>
        </w:rPr>
        <w:t xml:space="preserve">	</w:t>
      </w:r>
      <w:r>
        <w:rPr>
          <w:rFonts w:ascii="Arial" w:cs="Arial" w:eastAsia="Arial" w:hAnsi="Arial"/>
          <w:b w:val="false"/>
          <w:bCs w:val="false"/>
          <w:color w:val="333333"/>
          <w:sz w:val="20"/>
          <w:szCs w:val="20"/>
        </w:rPr>
        <w:t xml:space="preserve">813</w:t>
      </w:r>
    </w:p>
    <w:p>
      <w:pPr>
        <w:tabs>
          <w:tab w:val="left" w:pos="2600"/>
        </w:tabs>
        <w:spacing w:after="70" w:before="0"/>
      </w:pPr>
      <w:r>
        <w:rPr>
          <w:rFonts w:ascii="Arial" w:cs="Arial" w:eastAsia="Arial" w:hAnsi="Arial"/>
          <w:b/>
          <w:bCs/>
          <w:color w:val="1A1A2E"/>
          <w:sz w:val="20"/>
          <w:szCs w:val="20"/>
        </w:rPr>
        <w:t xml:space="preserve">Total KLDs</w:t>
      </w:r>
      <w:r>
        <w:rPr>
          <w:rFonts w:ascii="Arial" w:cs="Arial" w:eastAsia="Arial" w:hAnsi="Arial"/>
        </w:rPr>
        <w:t xml:space="preserve">	</w:t>
      </w:r>
      <w:r>
        <w:rPr>
          <w:rFonts w:ascii="Arial" w:cs="Arial" w:eastAsia="Arial" w:hAnsi="Arial"/>
          <w:b w:val="false"/>
          <w:bCs w:val="false"/>
          <w:color w:val="333333"/>
          <w:sz w:val="20"/>
          <w:szCs w:val="20"/>
        </w:rPr>
        <w:t xml:space="preserve">0 — studio-only scheme, no cluster kitchens</w:t>
      </w:r>
    </w:p>
    <w:p>
      <w:pPr>
        <w:spacing w:after="80" w:before="0"/>
      </w:pPr>
      <w:r>
        <w:rPr>
          <w:rFonts w:ascii="Arial" w:cs="Arial" w:eastAsia="Arial" w:hAnsi="Arial"/>
          <w:color w:val="333333"/>
          <w:sz w:val="20"/>
          <w:szCs w:val="20"/>
        </w:rPr>
        <w:t xml:space="preserve"/>
      </w:r>
    </w:p>
    <w:p>
      <w:pPr>
        <w:spacing w:after="120" w:before="0"/>
      </w:pPr>
      <w:r>
        <w:rPr>
          <w:rFonts w:ascii="Arial" w:cs="Arial" w:eastAsia="Arial" w:hAnsi="Arial"/>
          <w:color w:val="333333"/>
          <w:sz w:val="20"/>
          <w:szCs w:val="20"/>
        </w:rPr>
        <w:t xml:space="preserve">This budget assumes all units are self-contained studios with individual fitted kitchens, appliances and loose goods — consistent with the planning approval description of "all as studio format." DDA/Accessible studio count assumed at approximately 5% of total (43 units), consistent with typical Building Regulations requirements. Both PBSA and co-living units are assumed to the same specification.</w:t>
      </w:r>
    </w:p>
    <w:p>
      <w:pPr>
        <w:spacing w:after="140" w:before="0"/>
      </w:pPr>
      <w:r>
        <w:rPr>
          <w:rFonts w:ascii="Arial" w:cs="Arial" w:eastAsia="Arial" w:hAnsi="Arial"/>
          <w:color w:val="333333"/>
          <w:sz w:val="20"/>
          <w:szCs w:val="20"/>
        </w:rPr>
        <w:t xml:space="preserve"/>
      </w:r>
    </w:p>
    <w:p>
      <w:pPr>
        <w:spacing w:after="60" w:before="200"/>
      </w:pPr>
      <w:r>
        <w:rPr>
          <w:rFonts w:ascii="Arial" w:cs="Arial" w:eastAsia="Arial" w:hAnsi="Arial"/>
          <w:b/>
          <w:bCs/>
          <w:color w:val="1A1A2E"/>
          <w:sz w:val="22"/>
          <w:szCs w:val="22"/>
        </w:rPr>
        <w:t xml:space="preserve">Indicative cost per unit</w:t>
      </w:r>
    </w:p>
    <w:p>
      <w:pPr>
        <w:tabs>
          <w:tab w:val="left" w:pos="2600"/>
        </w:tabs>
        <w:spacing w:after="70" w:before="0"/>
      </w:pPr>
      <w:r>
        <w:rPr>
          <w:rFonts w:ascii="Arial" w:cs="Arial" w:eastAsia="Arial" w:hAnsi="Arial"/>
          <w:b/>
          <w:bCs/>
          <w:color w:val="1A1A2E"/>
          <w:sz w:val="20"/>
          <w:szCs w:val="20"/>
        </w:rPr>
        <w:t xml:space="preserve">Standard Studio</w:t>
      </w:r>
      <w:r>
        <w:rPr>
          <w:rFonts w:ascii="Arial" w:cs="Arial" w:eastAsia="Arial" w:hAnsi="Arial"/>
        </w:rPr>
        <w:t xml:space="preserve">	</w:t>
      </w:r>
      <w:r>
        <w:rPr>
          <w:rFonts w:ascii="Arial" w:cs="Arial" w:eastAsia="Arial" w:hAnsi="Arial"/>
          <w:b w:val="false"/>
          <w:bCs w:val="false"/>
          <w:color w:val="333333"/>
          <w:sz w:val="20"/>
          <w:szCs w:val="20"/>
        </w:rPr>
        <w:t xml:space="preserve">£4,290.50 — per studio (supply, deliver, install)</w:t>
      </w:r>
    </w:p>
    <w:p>
      <w:pPr>
        <w:tabs>
          <w:tab w:val="left" w:pos="2600"/>
        </w:tabs>
        <w:spacing w:after="70" w:before="0"/>
      </w:pPr>
      <w:r>
        <w:rPr>
          <w:rFonts w:ascii="Arial" w:cs="Arial" w:eastAsia="Arial" w:hAnsi="Arial"/>
          <w:b/>
          <w:bCs/>
          <w:color w:val="1A1A2E"/>
          <w:sz w:val="20"/>
          <w:szCs w:val="20"/>
        </w:rPr>
        <w:t xml:space="preserve">DDA/Accessible Studio</w:t>
      </w:r>
      <w:r>
        <w:rPr>
          <w:rFonts w:ascii="Arial" w:cs="Arial" w:eastAsia="Arial" w:hAnsi="Arial"/>
        </w:rPr>
        <w:t xml:space="preserve">	</w:t>
      </w:r>
      <w:r>
        <w:rPr>
          <w:rFonts w:ascii="Arial" w:cs="Arial" w:eastAsia="Arial" w:hAnsi="Arial"/>
          <w:b w:val="false"/>
          <w:bCs w:val="false"/>
          <w:color w:val="333333"/>
          <w:sz w:val="20"/>
          <w:szCs w:val="20"/>
        </w:rPr>
        <w:t xml:space="preserve">£5,248.89 — per studio (full accessible spec)</w:t>
      </w:r>
    </w:p>
    <w:p>
      <w:pPr>
        <w:tabs>
          <w:tab w:val="left" w:pos="2600"/>
        </w:tabs>
        <w:spacing w:after="70" w:before="0"/>
      </w:pPr>
      <w:r>
        <w:rPr>
          <w:rFonts w:ascii="Arial" w:cs="Arial" w:eastAsia="Arial" w:hAnsi="Arial"/>
          <w:b/>
          <w:bCs/>
          <w:color w:val="1A1A2E"/>
          <w:sz w:val="20"/>
          <w:szCs w:val="20"/>
        </w:rPr>
        <w:t xml:space="preserve">Project Management / Prelims fee</w:t>
      </w:r>
      <w:r>
        <w:rPr>
          <w:rFonts w:ascii="Arial" w:cs="Arial" w:eastAsia="Arial" w:hAnsi="Arial"/>
        </w:rPr>
        <w:t xml:space="preserve">	</w:t>
      </w:r>
      <w:r>
        <w:rPr>
          <w:rFonts w:ascii="Arial" w:cs="Arial" w:eastAsia="Arial" w:hAnsi="Arial"/>
          <w:b w:val="false"/>
          <w:bCs w:val="false"/>
          <w:color w:val="333333"/>
          <w:sz w:val="20"/>
          <w:szCs w:val="20"/>
        </w:rPr>
        <w:t xml:space="preserve">£68.43 per unit x 813 units = £55,633.59</w:t>
      </w:r>
    </w:p>
    <w:p>
      <w:pPr>
        <w:spacing w:after="140" w:before="0"/>
      </w:pPr>
      <w:r>
        <w:rPr>
          <w:rFonts w:ascii="Arial" w:cs="Arial" w:eastAsia="Arial" w:hAnsi="Arial"/>
          <w:color w:val="333333"/>
          <w:sz w:val="20"/>
          <w:szCs w:val="20"/>
        </w:rPr>
        <w:t xml:space="preserve"/>
      </w:r>
    </w:p>
    <w:p>
      <w:pPr>
        <w:pStyle w:val="Heading1"/>
        <w:pBdr>
          <w:bottom w:val="single" w:color="E8C547" w:sz="10" w:space="4"/>
        </w:pBdr>
        <w:spacing w:after="120" w:before="300"/>
      </w:pPr>
      <w:r>
        <w:rPr>
          <w:rFonts w:ascii="Arial" w:cs="Arial" w:eastAsia="Arial" w:hAnsi="Arial"/>
          <w:b/>
          <w:bCs/>
          <w:color w:val="1A1A2E"/>
          <w:sz w:val="28"/>
          <w:szCs w:val="28"/>
        </w:rPr>
        <w:t xml:space="preserve">Proposed Next Steps</w:t>
      </w:r>
    </w:p>
    <w:p>
      <w:pPr>
        <w:pStyle w:val="ListParagraph"/>
        <w:numPr>
          <w:ilvl w:val="0"/>
          <w:numId w:val="2"/>
        </w:numPr>
        <w:spacing w:after="80" w:before="0"/>
      </w:pPr>
      <w:r>
        <w:rPr>
          <w:rFonts w:ascii="Arial" w:cs="Arial" w:eastAsia="Arial" w:hAnsi="Arial"/>
          <w:color w:val="333333"/>
          <w:sz w:val="20"/>
          <w:szCs w:val="20"/>
        </w:rPr>
        <w:t xml:space="preserve">Introductory call — confirm your programme timeline, phasing sequence across the seven blocks, and any specification preferences or departures from standard.</w:t>
      </w:r>
    </w:p>
    <w:p>
      <w:pPr>
        <w:pStyle w:val="ListParagraph"/>
        <w:numPr>
          <w:ilvl w:val="0"/>
          <w:numId w:val="2"/>
        </w:numPr>
        <w:spacing w:after="80" w:before="0"/>
      </w:pPr>
      <w:r>
        <w:rPr>
          <w:rFonts w:ascii="Arial" w:cs="Arial" w:eastAsia="Arial" w:hAnsi="Arial"/>
          <w:color w:val="333333"/>
          <w:sz w:val="20"/>
          <w:szCs w:val="20"/>
        </w:rPr>
        <w:t xml:space="preserve">Confirm DDA/accessible unit count and locations — Building Regs requirements will define the exact number and we can update the budget immediately.</w:t>
      </w:r>
    </w:p>
    <w:p>
      <w:pPr>
        <w:pStyle w:val="ListParagraph"/>
        <w:numPr>
          <w:ilvl w:val="0"/>
          <w:numId w:val="2"/>
        </w:numPr>
        <w:spacing w:after="80" w:before="0"/>
      </w:pPr>
      <w:r>
        <w:rPr>
          <w:rFonts w:ascii="Arial" w:cs="Arial" w:eastAsia="Arial" w:hAnsi="Arial"/>
          <w:color w:val="333333"/>
          <w:sz w:val="20"/>
          <w:szCs w:val="20"/>
        </w:rPr>
        <w:t xml:space="preserve">Specification review — Kronospan Band A is assumed. We can discuss alternatives (Band B, Band C, custom finishes) and provide updated rates.</w:t>
      </w:r>
    </w:p>
    <w:p>
      <w:pPr>
        <w:pStyle w:val="ListParagraph"/>
        <w:numPr>
          <w:ilvl w:val="0"/>
          <w:numId w:val="2"/>
        </w:numPr>
        <w:spacing w:after="80" w:before="0"/>
      </w:pPr>
      <w:r>
        <w:rPr>
          <w:rFonts w:ascii="Arial" w:cs="Arial" w:eastAsia="Arial" w:hAnsi="Arial"/>
          <w:color w:val="333333"/>
          <w:sz w:val="20"/>
          <w:szCs w:val="20"/>
        </w:rPr>
        <w:t xml:space="preserve">Programme alignment — once construction sequence is confirmed, we will prepare a block-by-block delivery programme and update the budget for any phasing assumptions.</w:t>
      </w:r>
    </w:p>
    <w:p>
      <w:pPr>
        <w:pStyle w:val="ListParagraph"/>
        <w:numPr>
          <w:ilvl w:val="0"/>
          <w:numId w:val="2"/>
        </w:numPr>
        <w:spacing w:after="80" w:before="0"/>
      </w:pPr>
      <w:r>
        <w:rPr>
          <w:rFonts w:ascii="Arial" w:cs="Arial" w:eastAsia="Arial" w:hAnsi="Arial"/>
          <w:color w:val="333333"/>
          <w:sz w:val="20"/>
          <w:szCs w:val="20"/>
        </w:rPr>
        <w:t xml:space="preserve">Site survey — before final quotation is issued, a brief site survey will be required to confirm access arrangements and vertical distribution logistics.</w:t>
      </w:r>
    </w:p>
    <w:p>
      <w:pPr>
        <w:spacing w:after="140" w:before="0"/>
      </w:pPr>
      <w:r>
        <w:rPr>
          <w:rFonts w:ascii="Arial" w:cs="Arial" w:eastAsia="Arial" w:hAnsi="Arial"/>
          <w:color w:val="333333"/>
          <w:sz w:val="20"/>
          <w:szCs w:val="20"/>
        </w:rPr>
        <w:t xml:space="preserve"/>
      </w:r>
    </w:p>
    <w:p>
      <w:pPr>
        <w:pStyle w:val="Heading1"/>
        <w:pBdr>
          <w:bottom w:val="single" w:color="E8C547" w:sz="10" w:space="4"/>
        </w:pBdr>
        <w:spacing w:after="120" w:before="300"/>
      </w:pPr>
      <w:r>
        <w:rPr>
          <w:rFonts w:ascii="Arial" w:cs="Arial" w:eastAsia="Arial" w:hAnsi="Arial"/>
          <w:b/>
          <w:bCs/>
          <w:color w:val="1A1A2E"/>
          <w:sz w:val="28"/>
          <w:szCs w:val="28"/>
        </w:rPr>
        <w:t xml:space="preserve">Key Terms &amp; Pricing Basis</w:t>
      </w:r>
    </w:p>
    <w:p>
      <w:pPr>
        <w:tabs>
          <w:tab w:val="left" w:pos="2600"/>
        </w:tabs>
        <w:spacing w:after="70" w:before="0"/>
      </w:pPr>
      <w:r>
        <w:rPr>
          <w:rFonts w:ascii="Arial" w:cs="Arial" w:eastAsia="Arial" w:hAnsi="Arial"/>
          <w:b/>
          <w:bCs/>
          <w:color w:val="1A1A2E"/>
          <w:sz w:val="20"/>
          <w:szCs w:val="20"/>
        </w:rPr>
        <w:t xml:space="preserve">1</w:t>
      </w:r>
      <w:r>
        <w:rPr>
          <w:rFonts w:ascii="Arial" w:cs="Arial" w:eastAsia="Arial" w:hAnsi="Arial"/>
        </w:rPr>
        <w:t xml:space="preserve">	</w:t>
      </w:r>
      <w:r>
        <w:rPr>
          <w:rFonts w:ascii="Arial" w:cs="Arial" w:eastAsia="Arial" w:hAnsi="Arial"/>
          <w:b w:val="false"/>
          <w:bCs w:val="false"/>
          <w:color w:val="333333"/>
          <w:sz w:val="20"/>
          <w:szCs w:val="20"/>
        </w:rPr>
        <w:t xml:space="preserve">All electrical connections (other than plug-in) by others.</w:t>
      </w:r>
    </w:p>
    <w:p>
      <w:pPr>
        <w:tabs>
          <w:tab w:val="left" w:pos="2600"/>
        </w:tabs>
        <w:spacing w:after="70" w:before="0"/>
      </w:pPr>
      <w:r>
        <w:rPr>
          <w:rFonts w:ascii="Arial" w:cs="Arial" w:eastAsia="Arial" w:hAnsi="Arial"/>
          <w:b/>
          <w:bCs/>
          <w:color w:val="1A1A2E"/>
          <w:sz w:val="20"/>
          <w:szCs w:val="20"/>
        </w:rPr>
        <w:t xml:space="preserve">2</w:t>
      </w:r>
      <w:r>
        <w:rPr>
          <w:rFonts w:ascii="Arial" w:cs="Arial" w:eastAsia="Arial" w:hAnsi="Arial"/>
        </w:rPr>
        <w:t xml:space="preserve">	</w:t>
      </w:r>
      <w:r>
        <w:rPr>
          <w:rFonts w:ascii="Arial" w:cs="Arial" w:eastAsia="Arial" w:hAnsi="Arial"/>
          <w:b w:val="false"/>
          <w:bCs w:val="false"/>
          <w:color w:val="333333"/>
          <w:sz w:val="20"/>
          <w:szCs w:val="20"/>
        </w:rPr>
        <w:t xml:space="preserve">Sink traps excluded. Dry fit of sinks and taps included; wet connections by others.</w:t>
      </w:r>
    </w:p>
    <w:p>
      <w:pPr>
        <w:tabs>
          <w:tab w:val="left" w:pos="2600"/>
        </w:tabs>
        <w:spacing w:after="70" w:before="0"/>
      </w:pPr>
      <w:r>
        <w:rPr>
          <w:rFonts w:ascii="Arial" w:cs="Arial" w:eastAsia="Arial" w:hAnsi="Arial"/>
          <w:b/>
          <w:bCs/>
          <w:color w:val="1A1A2E"/>
          <w:sz w:val="20"/>
          <w:szCs w:val="20"/>
        </w:rPr>
        <w:t xml:space="preserve">3</w:t>
      </w:r>
      <w:r>
        <w:rPr>
          <w:rFonts w:ascii="Arial" w:cs="Arial" w:eastAsia="Arial" w:hAnsi="Arial"/>
        </w:rPr>
        <w:t xml:space="preserve">	</w:t>
      </w:r>
      <w:r>
        <w:rPr>
          <w:rFonts w:ascii="Arial" w:cs="Arial" w:eastAsia="Arial" w:hAnsi="Arial"/>
          <w:b w:val="false"/>
          <w:bCs w:val="false"/>
          <w:color w:val="333333"/>
          <w:sz w:val="20"/>
          <w:szCs w:val="20"/>
        </w:rPr>
        <w:t xml:space="preserve">Full articulated lorry access on site assumed for offloading.</w:t>
      </w:r>
    </w:p>
    <w:p>
      <w:pPr>
        <w:tabs>
          <w:tab w:val="left" w:pos="2600"/>
        </w:tabs>
        <w:spacing w:after="70" w:before="0"/>
      </w:pPr>
      <w:r>
        <w:rPr>
          <w:rFonts w:ascii="Arial" w:cs="Arial" w:eastAsia="Arial" w:hAnsi="Arial"/>
          <w:b/>
          <w:bCs/>
          <w:color w:val="1A1A2E"/>
          <w:sz w:val="20"/>
          <w:szCs w:val="20"/>
        </w:rPr>
        <w:t xml:space="preserve">4</w:t>
      </w:r>
      <w:r>
        <w:rPr>
          <w:rFonts w:ascii="Arial" w:cs="Arial" w:eastAsia="Arial" w:hAnsi="Arial"/>
        </w:rPr>
        <w:t xml:space="preserve">	</w:t>
      </w:r>
      <w:r>
        <w:rPr>
          <w:rFonts w:ascii="Arial" w:cs="Arial" w:eastAsia="Arial" w:hAnsi="Arial"/>
          <w:b w:val="false"/>
          <w:bCs w:val="false"/>
          <w:color w:val="333333"/>
          <w:sz w:val="20"/>
          <w:szCs w:val="20"/>
        </w:rPr>
        <w:t xml:space="preserve">Vertical distribution by Main Contractor (goods hoist or forklift with driver).</w:t>
      </w:r>
    </w:p>
    <w:p>
      <w:pPr>
        <w:tabs>
          <w:tab w:val="left" w:pos="2600"/>
        </w:tabs>
        <w:spacing w:after="70" w:before="0"/>
      </w:pPr>
      <w:r>
        <w:rPr>
          <w:rFonts w:ascii="Arial" w:cs="Arial" w:eastAsia="Arial" w:hAnsi="Arial"/>
          <w:b/>
          <w:bCs/>
          <w:color w:val="1A1A2E"/>
          <w:sz w:val="20"/>
          <w:szCs w:val="20"/>
        </w:rPr>
        <w:t xml:space="preserve">5</w:t>
      </w:r>
      <w:r>
        <w:rPr>
          <w:rFonts w:ascii="Arial" w:cs="Arial" w:eastAsia="Arial" w:hAnsi="Arial"/>
        </w:rPr>
        <w:t xml:space="preserve">	</w:t>
      </w:r>
      <w:r>
        <w:rPr>
          <w:rFonts w:ascii="Arial" w:cs="Arial" w:eastAsia="Arial" w:hAnsi="Arial"/>
          <w:b w:val="false"/>
          <w:bCs w:val="false"/>
          <w:color w:val="333333"/>
          <w:sz w:val="20"/>
          <w:szCs w:val="20"/>
        </w:rPr>
        <w:t xml:space="preserve">Skips excluded (by Main Contractor). Builder's clean included.</w:t>
      </w:r>
    </w:p>
    <w:p>
      <w:pPr>
        <w:tabs>
          <w:tab w:val="left" w:pos="2600"/>
        </w:tabs>
        <w:spacing w:after="70" w:before="0"/>
      </w:pPr>
      <w:r>
        <w:rPr>
          <w:rFonts w:ascii="Arial" w:cs="Arial" w:eastAsia="Arial" w:hAnsi="Arial"/>
          <w:b/>
          <w:bCs/>
          <w:color w:val="1A1A2E"/>
          <w:sz w:val="20"/>
          <w:szCs w:val="20"/>
        </w:rPr>
        <w:t xml:space="preserve">6</w:t>
      </w:r>
      <w:r>
        <w:rPr>
          <w:rFonts w:ascii="Arial" w:cs="Arial" w:eastAsia="Arial" w:hAnsi="Arial"/>
        </w:rPr>
        <w:t xml:space="preserve">	</w:t>
      </w:r>
      <w:r>
        <w:rPr>
          <w:rFonts w:ascii="Arial" w:cs="Arial" w:eastAsia="Arial" w:hAnsi="Arial"/>
          <w:b w:val="false"/>
          <w:bCs w:val="false"/>
          <w:color w:val="333333"/>
          <w:sz w:val="20"/>
          <w:szCs w:val="20"/>
        </w:rPr>
        <w:t xml:space="preserve">Sequencing to be agreed per block to allow sufficient rooms available for templating, delivery and installation.</w:t>
      </w:r>
    </w:p>
    <w:p>
      <w:pPr>
        <w:tabs>
          <w:tab w:val="left" w:pos="2600"/>
        </w:tabs>
        <w:spacing w:after="70" w:before="0"/>
      </w:pPr>
      <w:r>
        <w:rPr>
          <w:rFonts w:ascii="Arial" w:cs="Arial" w:eastAsia="Arial" w:hAnsi="Arial"/>
          <w:b/>
          <w:bCs/>
          <w:color w:val="1A1A2E"/>
          <w:sz w:val="20"/>
          <w:szCs w:val="20"/>
        </w:rPr>
        <w:t xml:space="preserve">7</w:t>
      </w:r>
      <w:r>
        <w:rPr>
          <w:rFonts w:ascii="Arial" w:cs="Arial" w:eastAsia="Arial" w:hAnsi="Arial"/>
        </w:rPr>
        <w:t xml:space="preserve">	</w:t>
      </w:r>
      <w:r>
        <w:rPr>
          <w:rFonts w:ascii="Arial" w:cs="Arial" w:eastAsia="Arial" w:hAnsi="Arial"/>
          <w:b w:val="false"/>
          <w:bCs w:val="false"/>
          <w:color w:val="333333"/>
          <w:sz w:val="20"/>
          <w:szCs w:val="20"/>
        </w:rPr>
        <w:t xml:space="preserve">Pricing based on whole order being placed with Flagstaffe Ltd.</w:t>
      </w:r>
    </w:p>
    <w:p>
      <w:pPr>
        <w:tabs>
          <w:tab w:val="left" w:pos="2600"/>
        </w:tabs>
        <w:spacing w:after="70" w:before="0"/>
      </w:pPr>
      <w:r>
        <w:rPr>
          <w:rFonts w:ascii="Arial" w:cs="Arial" w:eastAsia="Arial" w:hAnsi="Arial"/>
          <w:b/>
          <w:bCs/>
          <w:color w:val="1A1A2E"/>
          <w:sz w:val="20"/>
          <w:szCs w:val="20"/>
        </w:rPr>
        <w:t xml:space="preserve">8</w:t>
      </w:r>
      <w:r>
        <w:rPr>
          <w:rFonts w:ascii="Arial" w:cs="Arial" w:eastAsia="Arial" w:hAnsi="Arial"/>
        </w:rPr>
        <w:t xml:space="preserve">	</w:t>
      </w:r>
      <w:r>
        <w:rPr>
          <w:rFonts w:ascii="Arial" w:cs="Arial" w:eastAsia="Arial" w:hAnsi="Arial"/>
          <w:b w:val="false"/>
          <w:bCs w:val="false"/>
          <w:color w:val="333333"/>
          <w:sz w:val="20"/>
          <w:szCs w:val="20"/>
        </w:rPr>
        <w:t xml:space="preserve">Pricing subject to final site survey.</w:t>
      </w:r>
    </w:p>
    <w:p>
      <w:pPr>
        <w:tabs>
          <w:tab w:val="left" w:pos="2600"/>
        </w:tabs>
        <w:spacing w:after="70" w:before="0"/>
      </w:pPr>
      <w:r>
        <w:rPr>
          <w:rFonts w:ascii="Arial" w:cs="Arial" w:eastAsia="Arial" w:hAnsi="Arial"/>
          <w:b/>
          <w:bCs/>
          <w:color w:val="1A1A2E"/>
          <w:sz w:val="20"/>
          <w:szCs w:val="20"/>
        </w:rPr>
        <w:t xml:space="preserve">9</w:t>
      </w:r>
      <w:r>
        <w:rPr>
          <w:rFonts w:ascii="Arial" w:cs="Arial" w:eastAsia="Arial" w:hAnsi="Arial"/>
        </w:rPr>
        <w:t xml:space="preserve">	</w:t>
      </w:r>
      <w:r>
        <w:rPr>
          <w:rFonts w:ascii="Arial" w:cs="Arial" w:eastAsia="Arial" w:hAnsi="Arial"/>
          <w:b w:val="false"/>
          <w:bCs w:val="false"/>
          <w:color w:val="333333"/>
          <w:sz w:val="20"/>
          <w:szCs w:val="20"/>
        </w:rPr>
        <w:t xml:space="preserve">Finishes priced: Kronospan Band A. Quote valid 60 days.</w:t>
      </w:r>
    </w:p>
    <w:p>
      <w:pPr>
        <w:tabs>
          <w:tab w:val="left" w:pos="2600"/>
        </w:tabs>
        <w:spacing w:after="70" w:before="0"/>
      </w:pPr>
      <w:r>
        <w:rPr>
          <w:rFonts w:ascii="Arial" w:cs="Arial" w:eastAsia="Arial" w:hAnsi="Arial"/>
          <w:b/>
          <w:bCs/>
          <w:color w:val="1A1A2E"/>
          <w:sz w:val="20"/>
          <w:szCs w:val="20"/>
        </w:rPr>
        <w:t xml:space="preserve">10</w:t>
      </w:r>
      <w:r>
        <w:rPr>
          <w:rFonts w:ascii="Arial" w:cs="Arial" w:eastAsia="Arial" w:hAnsi="Arial"/>
        </w:rPr>
        <w:t xml:space="preserve">	</w:t>
      </w:r>
      <w:r>
        <w:rPr>
          <w:rFonts w:ascii="Arial" w:cs="Arial" w:eastAsia="Arial" w:hAnsi="Arial"/>
          <w:b w:val="false"/>
          <w:bCs w:val="false"/>
          <w:color w:val="333333"/>
          <w:sz w:val="20"/>
          <w:szCs w:val="20"/>
        </w:rPr>
        <w:t xml:space="preserve">Items noted as RATE ONLY do not form part of this quotation.</w:t>
      </w:r>
    </w:p>
    <w:p>
      <w:pPr>
        <w:spacing w:after="200" w:before="0"/>
      </w:pPr>
      <w:r>
        <w:rPr>
          <w:rFonts w:ascii="Arial" w:cs="Arial" w:eastAsia="Arial" w:hAnsi="Arial"/>
          <w:color w:val="333333"/>
          <w:sz w:val="20"/>
          <w:szCs w:val="20"/>
        </w:rPr>
        <w:t xml:space="preserve"/>
      </w:r>
    </w:p>
    <w:p>
      <w:pPr>
        <w:pBdr>
          <w:bottom w:val="single" w:color="E8C547" w:sz="4"/>
        </w:pBdr>
        <w:spacing w:after="60" w:before="60"/>
      </w:pPr>
      <w:r>
        <w:rPr>
          <w:rFonts w:ascii="Arial" w:cs="Arial" w:eastAsia="Arial" w:hAnsi="Arial"/>
          <w:color w:val="333333"/>
          <w:sz w:val="20"/>
          <w:szCs w:val="20"/>
        </w:rPr>
        <w:t xml:space="preserve"/>
      </w:r>
    </w:p>
    <w:p>
      <w:pPr>
        <w:spacing w:after="80" w:before="0"/>
      </w:pPr>
      <w:r>
        <w:rPr>
          <w:rFonts w:ascii="Arial" w:cs="Arial" w:eastAsia="Arial" w:hAnsi="Arial"/>
          <w:color w:val="333333"/>
          <w:sz w:val="20"/>
          <w:szCs w:val="20"/>
        </w:rPr>
        <w:t xml:space="preserve"/>
      </w:r>
    </w:p>
    <w:p>
      <w:pPr>
        <w:spacing w:after="50" w:before="0"/>
        <w:jc w:val="center"/>
      </w:pPr>
      <w:r>
        <w:rPr>
          <w:rFonts w:ascii="Arial" w:cs="Arial" w:eastAsia="Arial" w:hAnsi="Arial"/>
          <w:color w:val="7F8C8D"/>
          <w:sz w:val="17"/>
          <w:szCs w:val="17"/>
        </w:rPr>
        <w:t xml:space="preserve">enquiries@flagstaffe.com  |  01260 460 003  |  www.flagstaffe.com  |  CRN: 14154708  |  VAT: 421442927</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1A2E"/>
      <w:sz w:val="28"/>
      <w:szCs w:val="28"/>
    </w:rPr>
  </w:style>
  <w:style w:type="paragraph" w:styleId="Heading2">
    <w:name w:val="Heading 2"/>
    <w:basedOn w:val="Normal"/>
    <w:next w:val="Normal"/>
    <w:qFormat/>
    <w:pPr>
      <w:spacing w:after="60" w:before="200"/>
      <w:outlineLvl w:val="1"/>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2026-06-02T20:26:36.228Z</dcterms:created>
  <dcterms:modified xsi:type="dcterms:W3CDTF">2026-06-02T20:26:36.228Z</dcterms:modified>
</cp:coreProperties>
</file>

<file path=docProps/custom.xml><?xml version="1.0" encoding="utf-8"?>
<Properties xmlns="http://schemas.openxmlformats.org/officeDocument/2006/custom-properties" xmlns:vt="http://schemas.openxmlformats.org/officeDocument/2006/docPropsVTypes"/>
</file>