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0"/>
      </w:pPr>
      <w:r>
        <w:rPr>
          <w:rFonts w:ascii="Arial" w:cs="Arial" w:eastAsia="Arial" w:hAnsi="Arial"/>
          <w:color w:val="333333"/>
          <w:sz w:val="22"/>
          <w:szCs w:val="22"/>
        </w:rPr>
        <w:t xml:space="preserve"/>
      </w:r>
    </w:p>
    <w:p>
      <w:pPr>
        <w:spacing w:after="80" w:before="0"/>
        <w:jc w:val="center"/>
      </w:pPr>
      <w:r>
        <w:rPr>
          <w:rFonts w:ascii="Arial" w:cs="Arial" w:eastAsia="Arial" w:hAnsi="Arial"/>
          <w:b/>
          <w:bCs/>
          <w:caps/>
          <w:color w:val="1A1A2E"/>
          <w:sz w:val="60"/>
          <w:szCs w:val="60"/>
        </w:rPr>
        <w:t xml:space="preserve">FLAGSTAFFE</w:t>
      </w:r>
    </w:p>
    <w:p>
      <w:pPr>
        <w:spacing w:after="40" w:before="0"/>
        <w:jc w:val="center"/>
      </w:pPr>
      <w:r>
        <w:rPr>
          <w:rFonts w:ascii="Arial" w:cs="Arial" w:eastAsia="Arial" w:hAnsi="Arial"/>
          <w:color w:val="7F8C8D"/>
          <w:sz w:val="24"/>
          <w:szCs w:val="24"/>
        </w:rPr>
        <w:t xml:space="preserve">FF&amp;E Supply &amp; Installation  -  Nationwide</w:t>
      </w:r>
    </w:p>
    <w:p>
      <w:pPr>
        <w:pBdr>
          <w:bottom w:val="single" w:color="E8C547" w:sz="4"/>
        </w:pBdr>
        <w:spacing w:after="80" w:before="80"/>
      </w:pPr>
      <w:r>
        <w:rPr>
          <w:rFonts w:ascii="Arial" w:cs="Arial" w:eastAsia="Arial" w:hAnsi="Arial"/>
          <w:color w:val="333333"/>
          <w:sz w:val="22"/>
          <w:szCs w:val="22"/>
        </w:rPr>
        <w:t xml:space="preserve"/>
      </w:r>
    </w:p>
    <w:p>
      <w:pPr>
        <w:spacing w:after="200" w:before="0"/>
      </w:pPr>
      <w:r>
        <w:rPr>
          <w:rFonts w:ascii="Arial" w:cs="Arial" w:eastAsia="Arial" w:hAnsi="Arial"/>
          <w:color w:val="333333"/>
          <w:sz w:val="22"/>
          <w:szCs w:val="22"/>
        </w:rPr>
        <w:t xml:space="preserve"/>
      </w:r>
    </w:p>
    <w:p>
      <w:pPr>
        <w:spacing w:after="80" w:before="0"/>
        <w:jc w:val="center"/>
      </w:pPr>
      <w:r>
        <w:rPr>
          <w:rFonts w:ascii="Arial" w:cs="Arial" w:eastAsia="Arial" w:hAnsi="Arial"/>
          <w:b/>
          <w:bCs/>
          <w:color w:val="1A1A2E"/>
          <w:sz w:val="36"/>
          <w:szCs w:val="36"/>
        </w:rPr>
        <w:t xml:space="preserve">South West Planning Intelligence Report</w:t>
      </w:r>
    </w:p>
    <w:p>
      <w:pPr>
        <w:spacing w:after="60" w:before="0"/>
        <w:jc w:val="center"/>
      </w:pPr>
      <w:r>
        <w:rPr>
          <w:rFonts w:ascii="Arial" w:cs="Arial" w:eastAsia="Arial" w:hAnsi="Arial"/>
          <w:color w:val="333333"/>
          <w:sz w:val="28"/>
          <w:szCs w:val="28"/>
        </w:rPr>
        <w:t xml:space="preserve">Top 5 Opportunities with Indicative FF&amp;E Budgets</w:t>
      </w:r>
    </w:p>
    <w:p>
      <w:pPr>
        <w:spacing w:after="40" w:before="0"/>
        <w:jc w:val="center"/>
      </w:pPr>
      <w:r>
        <w:rPr>
          <w:rFonts w:ascii="Arial" w:cs="Arial" w:eastAsia="Arial" w:hAnsi="Arial"/>
          <w:color w:val="7F8C8D"/>
          <w:sz w:val="18"/>
          <w:szCs w:val="18"/>
        </w:rPr>
        <w:t xml:space="preserve">Scrape date: 2 June 2026  |  LPAs covered: Bristol, Bath &amp; NES, Exeter, Plymouth</w:t>
      </w:r>
    </w:p>
    <w:p>
      <w:pPr>
        <w:spacing w:after="200" w:before="0"/>
      </w:pPr>
      <w:r>
        <w:rPr>
          <w:rFonts w:ascii="Arial" w:cs="Arial" w:eastAsia="Arial" w:hAnsi="Arial"/>
          <w:color w:val="333333"/>
          <w:sz w:val="22"/>
          <w:szCs w:val="22"/>
        </w:rPr>
        <w:t xml:space="preserve"/>
      </w:r>
    </w:p>
    <w:p>
      <w:pPr>
        <w:pBdr>
          <w:top w:val="single" w:color="E65100" w:sz="2"/>
          <w:left w:val="single" w:color="E65100" w:sz="16"/>
          <w:bottom w:val="single" w:color="E65100" w:sz="2"/>
          <w:right w:val="none" w:color="FFFFFF" w:sz="0"/>
        </w:pBdr>
        <w:shd w:fill="FFF9C4" w:val="clear"/>
        <w:spacing w:after="160" w:before="160"/>
        <w:ind w:left="360"/>
      </w:pPr>
      <w:r>
        <w:rPr>
          <w:rFonts w:ascii="Arial" w:cs="Arial" w:eastAsia="Arial" w:hAnsi="Arial"/>
          <w:b/>
          <w:bCs/>
          <w:color w:val="E65100"/>
          <w:sz w:val="22"/>
          <w:szCs w:val="22"/>
        </w:rPr>
        <w:t xml:space="preserve">INDICATIVE BUDGET ESTIMATES ONLY. All pricing is based on unit rates from Flag22167 (Stafford Street, Wolverhampton, April 2026, Kronospan Band A). Room counts are assumed from planning documents. Final pricing requires confirmed room splits, drawings and site survey. Not for external distribution without updating from confirmed drawings.</w:t>
      </w:r>
    </w:p>
    <w:p>
      <w:pPr>
        <w:spacing w:after="300" w:before="0"/>
      </w:pPr>
      <w:r>
        <w:rPr>
          <w:rFonts w:ascii="Arial" w:cs="Arial" w:eastAsia="Arial" w:hAnsi="Arial"/>
          <w:color w:val="333333"/>
          <w:sz w:val="22"/>
          <w:szCs w:val="22"/>
        </w:rPr>
        <w:t xml:space="preserve"/>
      </w:r>
    </w:p>
    <w:p>
      <w:pPr>
        <w:pBdr>
          <w:bottom w:val="single" w:color="E8C547" w:sz="4"/>
        </w:pBdr>
        <w:spacing w:after="80" w:before="80"/>
      </w:pPr>
      <w:r>
        <w:rPr>
          <w:rFonts w:ascii="Arial" w:cs="Arial" w:eastAsia="Arial" w:hAnsi="Arial"/>
          <w:color w:val="333333"/>
          <w:sz w:val="22"/>
          <w:szCs w:val="22"/>
        </w:rPr>
        <w:t xml:space="preserve"/>
      </w:r>
    </w:p>
    <w:p>
      <w:pPr>
        <w:spacing w:after="100" w:before="0"/>
      </w:pPr>
      <w:r>
        <w:rPr>
          <w:rFonts w:ascii="Arial" w:cs="Arial" w:eastAsia="Arial" w:hAnsi="Arial"/>
          <w:color w:val="333333"/>
          <w:sz w:val="22"/>
          <w:szCs w:val="22"/>
        </w:rPr>
        <w:t xml:space="preserve"/>
      </w:r>
    </w:p>
    <w:p>
      <w:pPr>
        <w:spacing w:after="60" w:before="0"/>
        <w:jc w:val="center"/>
      </w:pPr>
      <w:r>
        <w:rPr>
          <w:rFonts w:ascii="Arial" w:cs="Arial" w:eastAsia="Arial" w:hAnsi="Arial"/>
          <w:color w:val="7F8C8D"/>
          <w:sz w:val="18"/>
          <w:szCs w:val="18"/>
        </w:rPr>
        <w:t xml:space="preserve">Dan Brownsword &amp; Kam Krupinski  -  enquiries@flagstaffe.com  -  01260 460 003</w:t>
      </w:r>
    </w:p>
    <w:p>
      <w:pPr>
        <w:spacing w:after="0" w:before="0"/>
        <w:jc w:val="center"/>
      </w:pPr>
      <w:r>
        <w:rPr>
          <w:rFonts w:ascii="Arial" w:cs="Arial" w:eastAsia="Arial" w:hAnsi="Arial"/>
          <w:color w:val="7F8C8D"/>
          <w:sz w:val="18"/>
          <w:szCs w:val="18"/>
        </w:rPr>
        <w:t xml:space="preserve">The Granary Business Centre, Cranage, CW4 8GE  -  flagstaffe.com</w:t>
      </w:r>
    </w:p>
    <w:p>
      <w:r>
        <w:br w:type="page"/>
      </w:r>
    </w:p>
    <w:p>
      <w:pPr>
        <w:pStyle w:val="Heading1"/>
        <w:pBdr>
          <w:bottom w:val="single" w:color="E8C547" w:sz="10" w:space="4"/>
        </w:pBdr>
        <w:spacing w:after="160" w:before="400"/>
      </w:pPr>
      <w:r>
        <w:rPr>
          <w:rFonts w:ascii="Arial" w:cs="Arial" w:eastAsia="Arial" w:hAnsi="Arial"/>
          <w:b/>
          <w:bCs/>
          <w:color w:val="1A1A2E"/>
          <w:sz w:val="32"/>
          <w:szCs w:val="32"/>
        </w:rPr>
        <w:t xml:space="preserve">South West Pipeline Summary</w:t>
      </w:r>
    </w:p>
    <w:p>
      <w:pPr>
        <w:spacing w:after="150" w:before="0"/>
      </w:pPr>
      <w:r>
        <w:rPr>
          <w:rFonts w:ascii="Arial" w:cs="Arial" w:eastAsia="Arial" w:hAnsi="Arial"/>
          <w:color w:val="333333"/>
          <w:sz w:val="22"/>
          <w:szCs w:val="22"/>
        </w:rPr>
        <w:t xml:space="preserve">The South West scrape identified 5 actionable PBSA and co-living opportunities across Bristol, Bath and Exeter. Combined indicative FF&amp;E pipeline value is approximately £8.5m–9.2m. All 5 schemes are post-consent; none have appointed a main contractor for FF&amp;E. Two are in the critical window of 0–6 months post-consent where FF&amp;E supplier engagement has the most influence.</w:t>
      </w:r>
    </w:p>
    <w:p>
      <w:pPr>
        <w:spacing w:after="100" w:before="0"/>
      </w:pPr>
      <w:r>
        <w:rPr>
          <w:rFonts w:ascii="Arial" w:cs="Arial" w:eastAsia="Arial" w:hAnsi="Arial"/>
          <w:color w:val="333333"/>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88"/>
        <w:gridCol w:w="722"/>
        <w:gridCol w:w="812"/>
        <w:gridCol w:w="1353"/>
        <w:gridCol w:w="1173"/>
        <w:gridCol w:w="2078"/>
      </w:tblGrid>
      <w:tr>
        <w:tc>
          <w:tcPr>
            <w:tcW w:type="dxa" w:w="2888"/>
            <w:tcBorders>
              <w:top w:val="single" w:color="DDDDDD" w:sz="1"/>
              <w:left w:val="single" w:color="DDDDDD" w:sz="1"/>
              <w:bottom w:val="single" w:color="DDDDDD" w:sz="1"/>
              <w:right w:val="single" w:color="DDDDDD" w:sz="1"/>
            </w:tcBorders>
            <w:shd w:fill="1A1A2E" w:val="clear"/>
            <w:tcMar>
              <w:top w:type="dxa" w:w="80"/>
              <w:left w:type="dxa" w:w="160"/>
              <w:bottom w:type="dxa" w:w="80"/>
              <w:right w:type="dxa" w:w="160"/>
            </w:tcMar>
          </w:tcPr>
          <w:p>
            <w:pPr>
              <w:spacing w:after="0" w:before="0"/>
              <w:jc w:val="left"/>
            </w:pPr>
            <w:r>
              <w:rPr>
                <w:rFonts w:ascii="Arial" w:cs="Arial" w:eastAsia="Arial" w:hAnsi="Arial"/>
                <w:b/>
                <w:bCs/>
                <w:color w:val="FFFFFF"/>
                <w:sz w:val="18"/>
                <w:szCs w:val="18"/>
              </w:rPr>
              <w:t xml:space="preserve">Scheme</w:t>
            </w:r>
          </w:p>
        </w:tc>
        <w:tc>
          <w:tcPr>
            <w:tcW w:type="dxa" w:w="722"/>
            <w:tcBorders>
              <w:top w:val="single" w:color="DDDDDD" w:sz="1"/>
              <w:left w:val="single" w:color="DDDDDD" w:sz="1"/>
              <w:bottom w:val="single" w:color="DDDDDD" w:sz="1"/>
              <w:right w:val="single" w:color="DDDDDD" w:sz="1"/>
            </w:tcBorders>
            <w:shd w:fill="1A1A2E" w:val="clear"/>
            <w:tcMar>
              <w:top w:type="dxa" w:w="80"/>
              <w:left w:type="dxa" w:w="160"/>
              <w:bottom w:type="dxa" w:w="80"/>
              <w:right w:type="dxa" w:w="160"/>
            </w:tcMar>
          </w:tcPr>
          <w:p>
            <w:pPr>
              <w:spacing w:after="0" w:before="0"/>
              <w:jc w:val="left"/>
            </w:pPr>
            <w:r>
              <w:rPr>
                <w:rFonts w:ascii="Arial" w:cs="Arial" w:eastAsia="Arial" w:hAnsi="Arial"/>
                <w:b/>
                <w:bCs/>
                <w:color w:val="FFFFFF"/>
                <w:sz w:val="18"/>
                <w:szCs w:val="18"/>
              </w:rPr>
              <w:t xml:space="preserve">Units</w:t>
            </w:r>
          </w:p>
        </w:tc>
        <w:tc>
          <w:tcPr>
            <w:tcW w:type="dxa" w:w="812"/>
            <w:tcBorders>
              <w:top w:val="single" w:color="DDDDDD" w:sz="1"/>
              <w:left w:val="single" w:color="DDDDDD" w:sz="1"/>
              <w:bottom w:val="single" w:color="DDDDDD" w:sz="1"/>
              <w:right w:val="single" w:color="DDDDDD" w:sz="1"/>
            </w:tcBorders>
            <w:shd w:fill="1A1A2E" w:val="clear"/>
            <w:tcMar>
              <w:top w:type="dxa" w:w="80"/>
              <w:left w:type="dxa" w:w="160"/>
              <w:bottom w:type="dxa" w:w="80"/>
              <w:right w:type="dxa" w:w="160"/>
            </w:tcMar>
          </w:tcPr>
          <w:p>
            <w:pPr>
              <w:spacing w:after="0" w:before="0"/>
              <w:jc w:val="center"/>
            </w:pPr>
            <w:r>
              <w:rPr>
                <w:rFonts w:ascii="Arial" w:cs="Arial" w:eastAsia="Arial" w:hAnsi="Arial"/>
                <w:b/>
                <w:bCs/>
                <w:color w:val="FFFFFF"/>
                <w:sz w:val="18"/>
                <w:szCs w:val="18"/>
              </w:rPr>
              <w:t xml:space="preserve">KLDs</w:t>
            </w:r>
          </w:p>
        </w:tc>
        <w:tc>
          <w:tcPr>
            <w:tcW w:type="dxa" w:w="1353"/>
            <w:tcBorders>
              <w:top w:val="single" w:color="DDDDDD" w:sz="1"/>
              <w:left w:val="single" w:color="DDDDDD" w:sz="1"/>
              <w:bottom w:val="single" w:color="DDDDDD" w:sz="1"/>
              <w:right w:val="single" w:color="DDDDDD" w:sz="1"/>
            </w:tcBorders>
            <w:shd w:fill="1A1A2E" w:val="clear"/>
            <w:tcMar>
              <w:top w:type="dxa" w:w="80"/>
              <w:left w:type="dxa" w:w="160"/>
              <w:bottom w:type="dxa" w:w="80"/>
              <w:right w:type="dxa" w:w="160"/>
            </w:tcMar>
          </w:tcPr>
          <w:p>
            <w:pPr>
              <w:spacing w:after="0" w:before="0"/>
              <w:jc w:val="center"/>
            </w:pPr>
            <w:r>
              <w:rPr>
                <w:rFonts w:ascii="Arial" w:cs="Arial" w:eastAsia="Arial" w:hAnsi="Arial"/>
                <w:b/>
                <w:bCs/>
                <w:color w:val="FFFFFF"/>
                <w:sz w:val="18"/>
                <w:szCs w:val="18"/>
              </w:rPr>
              <w:t xml:space="preserve">Status</w:t>
            </w:r>
          </w:p>
        </w:tc>
        <w:tc>
          <w:tcPr>
            <w:tcW w:type="dxa" w:w="1173"/>
            <w:tcBorders>
              <w:top w:val="single" w:color="DDDDDD" w:sz="1"/>
              <w:left w:val="single" w:color="DDDDDD" w:sz="1"/>
              <w:bottom w:val="single" w:color="DDDDDD" w:sz="1"/>
              <w:right w:val="single" w:color="DDDDDD" w:sz="1"/>
            </w:tcBorders>
            <w:shd w:fill="1A1A2E" w:val="clear"/>
            <w:tcMar>
              <w:top w:type="dxa" w:w="80"/>
              <w:left w:type="dxa" w:w="160"/>
              <w:bottom w:type="dxa" w:w="80"/>
              <w:right w:type="dxa" w:w="160"/>
            </w:tcMar>
          </w:tcPr>
          <w:p>
            <w:pPr>
              <w:spacing w:after="0" w:before="0"/>
              <w:jc w:val="center"/>
            </w:pPr>
            <w:r>
              <w:rPr>
                <w:rFonts w:ascii="Arial" w:cs="Arial" w:eastAsia="Arial" w:hAnsi="Arial"/>
                <w:b/>
                <w:bCs/>
                <w:color w:val="FFFFFF"/>
                <w:sz w:val="18"/>
                <w:szCs w:val="18"/>
              </w:rPr>
              <w:t xml:space="preserve">Action</w:t>
            </w:r>
          </w:p>
        </w:tc>
        <w:tc>
          <w:tcPr>
            <w:tcW w:type="dxa" w:w="2078"/>
            <w:tcBorders>
              <w:top w:val="single" w:color="DDDDDD" w:sz="1"/>
              <w:left w:val="single" w:color="DDDDDD" w:sz="1"/>
              <w:bottom w:val="single" w:color="DDDDDD" w:sz="1"/>
              <w:right w:val="single" w:color="DDDDDD" w:sz="1"/>
            </w:tcBorders>
            <w:shd w:fill="1A1A2E" w:val="clear"/>
            <w:tcMar>
              <w:top w:type="dxa" w:w="80"/>
              <w:left w:type="dxa" w:w="160"/>
              <w:bottom w:type="dxa" w:w="80"/>
              <w:right w:type="dxa" w:w="160"/>
            </w:tcMar>
          </w:tcPr>
          <w:p>
            <w:pPr>
              <w:spacing w:after="0" w:before="0"/>
              <w:jc w:val="center"/>
            </w:pPr>
            <w:r>
              <w:rPr>
                <w:rFonts w:ascii="Arial" w:cs="Arial" w:eastAsia="Arial" w:hAnsi="Arial"/>
                <w:b/>
                <w:bCs/>
                <w:color w:val="FFFFFF"/>
                <w:sz w:val="18"/>
                <w:szCs w:val="18"/>
              </w:rPr>
              <w:t xml:space="preserve">Indicative Total</w:t>
            </w:r>
          </w:p>
        </w:tc>
      </w:tr>
      <w:tr>
        <w:tc>
          <w:tcPr>
            <w:tcW w:type="dxa" w:w="2888"/>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spacing w:after="0" w:before="0"/>
              <w:jc w:val="left"/>
            </w:pPr>
            <w:r>
              <w:rPr>
                <w:rFonts w:ascii="Arial" w:cs="Arial" w:eastAsia="Arial" w:hAnsi="Arial"/>
                <w:b w:val="false"/>
                <w:bCs w:val="false"/>
                <w:color w:val="333333"/>
                <w:sz w:val="18"/>
                <w:szCs w:val="18"/>
              </w:rPr>
              <w:t xml:space="preserve">Heavitree Road, Exeter (Former Police HQ)</w:t>
            </w:r>
          </w:p>
        </w:tc>
        <w:tc>
          <w:tcPr>
            <w:tcW w:type="dxa" w:w="722"/>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spacing w:after="0" w:before="0"/>
              <w:jc w:val="left"/>
            </w:pPr>
            <w:r>
              <w:rPr>
                <w:rFonts w:ascii="Arial" w:cs="Arial" w:eastAsia="Arial" w:hAnsi="Arial"/>
                <w:b w:val="false"/>
                <w:bCs w:val="false"/>
                <w:color w:val="333333"/>
                <w:sz w:val="18"/>
                <w:szCs w:val="18"/>
              </w:rPr>
              <w:t xml:space="preserve">813</w:t>
            </w:r>
          </w:p>
        </w:tc>
        <w:tc>
          <w:tcPr>
            <w:tcW w:type="dxa" w:w="812"/>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spacing w:after="0" w:before="0"/>
              <w:jc w:val="center"/>
            </w:pPr>
            <w:r>
              <w:rPr>
                <w:rFonts w:ascii="Arial" w:cs="Arial" w:eastAsia="Arial" w:hAnsi="Arial"/>
                <w:b w:val="false"/>
                <w:bCs w:val="false"/>
                <w:color w:val="333333"/>
                <w:sz w:val="18"/>
                <w:szCs w:val="18"/>
              </w:rPr>
              <w:t xml:space="preserve">0</w:t>
            </w:r>
          </w:p>
        </w:tc>
        <w:tc>
          <w:tcPr>
            <w:tcW w:type="dxa" w:w="1353"/>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spacing w:after="0" w:before="0"/>
              <w:jc w:val="center"/>
            </w:pPr>
            <w:r>
              <w:rPr>
                <w:rFonts w:ascii="Arial" w:cs="Arial" w:eastAsia="Arial" w:hAnsi="Arial"/>
                <w:b w:val="false"/>
                <w:bCs w:val="false"/>
                <w:color w:val="333333"/>
                <w:sz w:val="18"/>
                <w:szCs w:val="18"/>
              </w:rPr>
              <w:t xml:space="preserve">Approved December 2025</w:t>
            </w:r>
          </w:p>
        </w:tc>
        <w:tc>
          <w:tcPr>
            <w:tcW w:type="dxa" w:w="1173"/>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spacing w:after="0" w:before="0"/>
              <w:jc w:val="center"/>
            </w:pPr>
            <w:r>
              <w:rPr>
                <w:rFonts w:ascii="Arial" w:cs="Arial" w:eastAsia="Arial" w:hAnsi="Arial"/>
                <w:b w:val="false"/>
                <w:bCs w:val="false"/>
                <w:color w:val="333333"/>
                <w:sz w:val="18"/>
                <w:szCs w:val="18"/>
              </w:rPr>
              <w:t xml:space="preserve">Priority 1</w:t>
            </w:r>
          </w:p>
        </w:tc>
        <w:tc>
          <w:tcPr>
            <w:tcW w:type="dxa" w:w="2078"/>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spacing w:after="0" w:before="0"/>
              <w:jc w:val="center"/>
            </w:pPr>
            <w:r>
              <w:rPr>
                <w:rFonts w:ascii="Arial" w:cs="Arial" w:eastAsia="Arial" w:hAnsi="Arial"/>
                <w:b w:val="false"/>
                <w:bCs w:val="false"/>
                <w:color w:val="333333"/>
                <w:sz w:val="18"/>
                <w:szCs w:val="18"/>
              </w:rPr>
              <w:t xml:space="preserve">£3,455,215.00</w:t>
            </w:r>
          </w:p>
        </w:tc>
      </w:tr>
      <w:tr>
        <w:tc>
          <w:tcPr>
            <w:tcW w:type="dxa" w:w="2888"/>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spacing w:after="0" w:before="0"/>
              <w:jc w:val="left"/>
            </w:pPr>
            <w:r>
              <w:rPr>
                <w:rFonts w:ascii="Arial" w:cs="Arial" w:eastAsia="Arial" w:hAnsi="Arial"/>
                <w:b w:val="false"/>
                <w:bCs w:val="false"/>
                <w:color w:val="333333"/>
                <w:sz w:val="18"/>
                <w:szCs w:val="18"/>
              </w:rPr>
              <w:t xml:space="preserve">University of Bath Campus, Claverton Down, Bath</w:t>
            </w:r>
          </w:p>
        </w:tc>
        <w:tc>
          <w:tcPr>
            <w:tcW w:type="dxa" w:w="722"/>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spacing w:after="0" w:before="0"/>
              <w:jc w:val="left"/>
            </w:pPr>
            <w:r>
              <w:rPr>
                <w:rFonts w:ascii="Arial" w:cs="Arial" w:eastAsia="Arial" w:hAnsi="Arial"/>
                <w:b w:val="false"/>
                <w:bCs w:val="false"/>
                <w:color w:val="333333"/>
                <w:sz w:val="18"/>
                <w:szCs w:val="18"/>
              </w:rPr>
              <w:t xml:space="preserve">926</w:t>
            </w:r>
          </w:p>
        </w:tc>
        <w:tc>
          <w:tcPr>
            <w:tcW w:type="dxa" w:w="812"/>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spacing w:after="0" w:before="0"/>
              <w:jc w:val="center"/>
            </w:pPr>
            <w:r>
              <w:rPr>
                <w:rFonts w:ascii="Arial" w:cs="Arial" w:eastAsia="Arial" w:hAnsi="Arial"/>
                <w:b w:val="false"/>
                <w:bCs w:val="false"/>
                <w:color w:val="333333"/>
                <w:sz w:val="18"/>
                <w:szCs w:val="18"/>
              </w:rPr>
              <w:t xml:space="preserve">130</w:t>
            </w:r>
          </w:p>
        </w:tc>
        <w:tc>
          <w:tcPr>
            <w:tcW w:type="dxa" w:w="1353"/>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spacing w:after="0" w:before="0"/>
              <w:jc w:val="center"/>
            </w:pPr>
            <w:r>
              <w:rPr>
                <w:rFonts w:ascii="Arial" w:cs="Arial" w:eastAsia="Arial" w:hAnsi="Arial"/>
                <w:b w:val="false"/>
                <w:bCs w:val="false"/>
                <w:color w:val="333333"/>
                <w:sz w:val="18"/>
                <w:szCs w:val="18"/>
              </w:rPr>
              <w:t xml:space="preserve">Approved 15 April 2026</w:t>
            </w:r>
          </w:p>
        </w:tc>
        <w:tc>
          <w:tcPr>
            <w:tcW w:type="dxa" w:w="1173"/>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spacing w:after="0" w:before="0"/>
              <w:jc w:val="center"/>
            </w:pPr>
            <w:r>
              <w:rPr>
                <w:rFonts w:ascii="Arial" w:cs="Arial" w:eastAsia="Arial" w:hAnsi="Arial"/>
                <w:b w:val="false"/>
                <w:bCs w:val="false"/>
                <w:color w:val="333333"/>
                <w:sz w:val="18"/>
                <w:szCs w:val="18"/>
              </w:rPr>
              <w:t xml:space="preserve">Priority 2</w:t>
            </w:r>
          </w:p>
        </w:tc>
        <w:tc>
          <w:tcPr>
            <w:tcW w:type="dxa" w:w="2078"/>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spacing w:after="0" w:before="0"/>
              <w:jc w:val="center"/>
            </w:pPr>
            <w:r>
              <w:rPr>
                <w:rFonts w:ascii="Arial" w:cs="Arial" w:eastAsia="Arial" w:hAnsi="Arial"/>
                <w:b w:val="false"/>
                <w:bCs w:val="false"/>
                <w:color w:val="333333"/>
                <w:sz w:val="18"/>
                <w:szCs w:val="18"/>
              </w:rPr>
              <w:t xml:space="preserve">£2,866,792.00</w:t>
            </w:r>
          </w:p>
        </w:tc>
      </w:tr>
      <w:tr>
        <w:tc>
          <w:tcPr>
            <w:tcW w:type="dxa" w:w="2888"/>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spacing w:after="0" w:before="0"/>
              <w:jc w:val="left"/>
            </w:pPr>
            <w:r>
              <w:rPr>
                <w:rFonts w:ascii="Arial" w:cs="Arial" w:eastAsia="Arial" w:hAnsi="Arial"/>
                <w:b w:val="false"/>
                <w:bCs w:val="false"/>
                <w:color w:val="333333"/>
                <w:sz w:val="18"/>
                <w:szCs w:val="18"/>
              </w:rPr>
              <w:t xml:space="preserve">38 Albert Road, Bristol (Temple Quarter)</w:t>
            </w:r>
          </w:p>
        </w:tc>
        <w:tc>
          <w:tcPr>
            <w:tcW w:type="dxa" w:w="722"/>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spacing w:after="0" w:before="0"/>
              <w:jc w:val="left"/>
            </w:pPr>
            <w:r>
              <w:rPr>
                <w:rFonts w:ascii="Arial" w:cs="Arial" w:eastAsia="Arial" w:hAnsi="Arial"/>
                <w:b w:val="false"/>
                <w:bCs w:val="false"/>
                <w:color w:val="333333"/>
                <w:sz w:val="18"/>
                <w:szCs w:val="18"/>
              </w:rPr>
              <w:t xml:space="preserve">531</w:t>
            </w:r>
          </w:p>
        </w:tc>
        <w:tc>
          <w:tcPr>
            <w:tcW w:type="dxa" w:w="812"/>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spacing w:after="0" w:before="0"/>
              <w:jc w:val="center"/>
            </w:pPr>
            <w:r>
              <w:rPr>
                <w:rFonts w:ascii="Arial" w:cs="Arial" w:eastAsia="Arial" w:hAnsi="Arial"/>
                <w:b w:val="false"/>
                <w:bCs w:val="false"/>
                <w:color w:val="333333"/>
                <w:sz w:val="18"/>
                <w:szCs w:val="18"/>
              </w:rPr>
              <w:t xml:space="preserve">44</w:t>
            </w:r>
          </w:p>
        </w:tc>
        <w:tc>
          <w:tcPr>
            <w:tcW w:type="dxa" w:w="1353"/>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spacing w:after="0" w:before="0"/>
              <w:jc w:val="center"/>
            </w:pPr>
            <w:r>
              <w:rPr>
                <w:rFonts w:ascii="Arial" w:cs="Arial" w:eastAsia="Arial" w:hAnsi="Arial"/>
                <w:b w:val="false"/>
                <w:bCs w:val="false"/>
                <w:color w:val="333333"/>
                <w:sz w:val="18"/>
                <w:szCs w:val="18"/>
              </w:rPr>
              <w:t xml:space="preserve">Approved 22 January 2025 — 17+ months post-consent</w:t>
            </w:r>
          </w:p>
        </w:tc>
        <w:tc>
          <w:tcPr>
            <w:tcW w:type="dxa" w:w="1173"/>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spacing w:after="0" w:before="0"/>
              <w:jc w:val="center"/>
            </w:pPr>
            <w:r>
              <w:rPr>
                <w:rFonts w:ascii="Arial" w:cs="Arial" w:eastAsia="Arial" w:hAnsi="Arial"/>
                <w:b w:val="false"/>
                <w:bCs w:val="false"/>
                <w:color w:val="333333"/>
                <w:sz w:val="18"/>
                <w:szCs w:val="18"/>
              </w:rPr>
              <w:t xml:space="preserve">Priority 3</w:t>
            </w:r>
          </w:p>
        </w:tc>
        <w:tc>
          <w:tcPr>
            <w:tcW w:type="dxa" w:w="2078"/>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spacing w:after="0" w:before="0"/>
              <w:jc w:val="center"/>
            </w:pPr>
            <w:r>
              <w:rPr>
                <w:rFonts w:ascii="Arial" w:cs="Arial" w:eastAsia="Arial" w:hAnsi="Arial"/>
                <w:b w:val="false"/>
                <w:bCs w:val="false"/>
                <w:color w:val="333333"/>
                <w:sz w:val="18"/>
                <w:szCs w:val="18"/>
              </w:rPr>
              <w:t xml:space="preserve">£1,859,789.00</w:t>
            </w:r>
          </w:p>
        </w:tc>
      </w:tr>
      <w:tr>
        <w:tc>
          <w:tcPr>
            <w:tcW w:type="dxa" w:w="2888"/>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spacing w:after="0" w:before="0"/>
              <w:jc w:val="left"/>
            </w:pPr>
            <w:r>
              <w:rPr>
                <w:rFonts w:ascii="Arial" w:cs="Arial" w:eastAsia="Arial" w:hAnsi="Arial"/>
                <w:b w:val="false"/>
                <w:bCs w:val="false"/>
                <w:color w:val="333333"/>
                <w:sz w:val="18"/>
                <w:szCs w:val="18"/>
              </w:rPr>
              <w:t xml:space="preserve">Clarendon House, Western Way, Exeter</w:t>
            </w:r>
          </w:p>
        </w:tc>
        <w:tc>
          <w:tcPr>
            <w:tcW w:type="dxa" w:w="722"/>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spacing w:after="0" w:before="0"/>
              <w:jc w:val="left"/>
            </w:pPr>
            <w:r>
              <w:rPr>
                <w:rFonts w:ascii="Arial" w:cs="Arial" w:eastAsia="Arial" w:hAnsi="Arial"/>
                <w:b w:val="false"/>
                <w:bCs w:val="false"/>
                <w:color w:val="333333"/>
                <w:sz w:val="18"/>
                <w:szCs w:val="18"/>
              </w:rPr>
              <w:t xml:space="preserve">297</w:t>
            </w:r>
          </w:p>
        </w:tc>
        <w:tc>
          <w:tcPr>
            <w:tcW w:type="dxa" w:w="812"/>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spacing w:after="0" w:before="0"/>
              <w:jc w:val="center"/>
            </w:pPr>
            <w:r>
              <w:rPr>
                <w:rFonts w:ascii="Arial" w:cs="Arial" w:eastAsia="Arial" w:hAnsi="Arial"/>
                <w:b w:val="false"/>
                <w:bCs w:val="false"/>
                <w:color w:val="333333"/>
                <w:sz w:val="18"/>
                <w:szCs w:val="18"/>
              </w:rPr>
              <w:t xml:space="preserve">29</w:t>
            </w:r>
          </w:p>
        </w:tc>
        <w:tc>
          <w:tcPr>
            <w:tcW w:type="dxa" w:w="1353"/>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spacing w:after="0" w:before="0"/>
              <w:jc w:val="center"/>
            </w:pPr>
            <w:r>
              <w:rPr>
                <w:rFonts w:ascii="Arial" w:cs="Arial" w:eastAsia="Arial" w:hAnsi="Arial"/>
                <w:b w:val="false"/>
                <w:bCs w:val="false"/>
                <w:color w:val="333333"/>
                <w:sz w:val="18"/>
                <w:szCs w:val="18"/>
              </w:rPr>
              <w:t xml:space="preserve">Approved February 2026 — 4 months post-consent</w:t>
            </w:r>
          </w:p>
        </w:tc>
        <w:tc>
          <w:tcPr>
            <w:tcW w:type="dxa" w:w="1173"/>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spacing w:after="0" w:before="0"/>
              <w:jc w:val="center"/>
            </w:pPr>
            <w:r>
              <w:rPr>
                <w:rFonts w:ascii="Arial" w:cs="Arial" w:eastAsia="Arial" w:hAnsi="Arial"/>
                <w:b w:val="false"/>
                <w:bCs w:val="false"/>
                <w:color w:val="333333"/>
                <w:sz w:val="18"/>
                <w:szCs w:val="18"/>
              </w:rPr>
              <w:t xml:space="preserve">Priority 4</w:t>
            </w:r>
          </w:p>
        </w:tc>
        <w:tc>
          <w:tcPr>
            <w:tcW w:type="dxa" w:w="2078"/>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spacing w:after="0" w:before="0"/>
              <w:jc w:val="center"/>
            </w:pPr>
            <w:r>
              <w:rPr>
                <w:rFonts w:ascii="Arial" w:cs="Arial" w:eastAsia="Arial" w:hAnsi="Arial"/>
                <w:b w:val="false"/>
                <w:bCs w:val="false"/>
                <w:color w:val="333333"/>
                <w:sz w:val="18"/>
                <w:szCs w:val="18"/>
              </w:rPr>
              <w:t xml:space="preserve">£1,010,679.00</w:t>
            </w:r>
          </w:p>
        </w:tc>
      </w:tr>
      <w:tr>
        <w:tc>
          <w:tcPr>
            <w:tcW w:type="dxa" w:w="2888"/>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spacing w:after="0" w:before="0"/>
              <w:jc w:val="left"/>
            </w:pPr>
            <w:r>
              <w:rPr>
                <w:rFonts w:ascii="Arial" w:cs="Arial" w:eastAsia="Arial" w:hAnsi="Arial"/>
                <w:b w:val="false"/>
                <w:bCs w:val="false"/>
                <w:color w:val="333333"/>
                <w:sz w:val="18"/>
                <w:szCs w:val="18"/>
              </w:rPr>
              <w:t xml:space="preserve">26-28 Longbrook Street, Exeter</w:t>
            </w:r>
          </w:p>
        </w:tc>
        <w:tc>
          <w:tcPr>
            <w:tcW w:type="dxa" w:w="722"/>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spacing w:after="0" w:before="0"/>
              <w:jc w:val="left"/>
            </w:pPr>
            <w:r>
              <w:rPr>
                <w:rFonts w:ascii="Arial" w:cs="Arial" w:eastAsia="Arial" w:hAnsi="Arial"/>
                <w:b w:val="false"/>
                <w:bCs w:val="false"/>
                <w:color w:val="333333"/>
                <w:sz w:val="18"/>
                <w:szCs w:val="18"/>
              </w:rPr>
              <w:t xml:space="preserve">108</w:t>
            </w:r>
          </w:p>
        </w:tc>
        <w:tc>
          <w:tcPr>
            <w:tcW w:type="dxa" w:w="812"/>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spacing w:after="0" w:before="0"/>
              <w:jc w:val="center"/>
            </w:pPr>
            <w:r>
              <w:rPr>
                <w:rFonts w:ascii="Arial" w:cs="Arial" w:eastAsia="Arial" w:hAnsi="Arial"/>
                <w:b w:val="false"/>
                <w:bCs w:val="false"/>
                <w:color w:val="333333"/>
                <w:sz w:val="18"/>
                <w:szCs w:val="18"/>
              </w:rPr>
              <w:t xml:space="preserve">0</w:t>
            </w:r>
          </w:p>
        </w:tc>
        <w:tc>
          <w:tcPr>
            <w:tcW w:type="dxa" w:w="1353"/>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spacing w:after="0" w:before="0"/>
              <w:jc w:val="center"/>
            </w:pPr>
            <w:r>
              <w:rPr>
                <w:rFonts w:ascii="Arial" w:cs="Arial" w:eastAsia="Arial" w:hAnsi="Arial"/>
                <w:b w:val="false"/>
                <w:bCs w:val="false"/>
                <w:color w:val="333333"/>
                <w:sz w:val="18"/>
                <w:szCs w:val="18"/>
              </w:rPr>
              <w:t xml:space="preserve">Approved September 2025 — 9 months post-consent, S106 signed</w:t>
            </w:r>
          </w:p>
        </w:tc>
        <w:tc>
          <w:tcPr>
            <w:tcW w:type="dxa" w:w="1173"/>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spacing w:after="0" w:before="0"/>
              <w:jc w:val="center"/>
            </w:pPr>
            <w:r>
              <w:rPr>
                <w:rFonts w:ascii="Arial" w:cs="Arial" w:eastAsia="Arial" w:hAnsi="Arial"/>
                <w:b w:val="false"/>
                <w:bCs w:val="false"/>
                <w:color w:val="333333"/>
                <w:sz w:val="18"/>
                <w:szCs w:val="18"/>
              </w:rPr>
              <w:t xml:space="preserve">Priority 5</w:t>
            </w:r>
          </w:p>
        </w:tc>
        <w:tc>
          <w:tcPr>
            <w:tcW w:type="dxa" w:w="2078"/>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spacing w:after="0" w:before="0"/>
              <w:jc w:val="center"/>
            </w:pPr>
            <w:r>
              <w:rPr>
                <w:rFonts w:ascii="Arial" w:cs="Arial" w:eastAsia="Arial" w:hAnsi="Arial"/>
                <w:b w:val="false"/>
                <w:bCs w:val="false"/>
                <w:color w:val="333333"/>
                <w:sz w:val="18"/>
                <w:szCs w:val="18"/>
              </w:rPr>
              <w:t xml:space="preserve">£458,995.00</w:t>
            </w:r>
          </w:p>
        </w:tc>
      </w:tr>
      <w:tr>
        <w:tc>
          <w:tcPr>
            <w:tcW w:type="dxa" w:w="2888"/>
            <w:tcBorders>
              <w:top w:val="single" w:color="DDDDDD" w:sz="1"/>
              <w:left w:val="single" w:color="DDDDDD" w:sz="1"/>
              <w:bottom w:val="single" w:color="DDDDDD" w:sz="1"/>
              <w:right w:val="single" w:color="DDDDDD" w:sz="1"/>
            </w:tcBorders>
            <w:shd w:fill="E8C547" w:val="clear"/>
            <w:tcMar>
              <w:top w:type="dxa" w:w="80"/>
              <w:left w:type="dxa" w:w="160"/>
              <w:bottom w:type="dxa" w:w="80"/>
              <w:right w:type="dxa" w:w="160"/>
            </w:tcMar>
          </w:tcPr>
          <w:p>
            <w:pPr>
              <w:spacing w:after="0" w:before="0"/>
              <w:jc w:val="left"/>
            </w:pPr>
            <w:r>
              <w:rPr>
                <w:rFonts w:ascii="Arial" w:cs="Arial" w:eastAsia="Arial" w:hAnsi="Arial"/>
                <w:b/>
                <w:bCs/>
                <w:color w:val="1A1A2E"/>
                <w:sz w:val="18"/>
                <w:szCs w:val="18"/>
              </w:rPr>
              <w:t xml:space="preserve">COMBINED PIPELINE</w:t>
            </w:r>
          </w:p>
        </w:tc>
        <w:tc>
          <w:tcPr>
            <w:tcW w:type="dxa" w:w="722"/>
            <w:tcBorders>
              <w:top w:val="single" w:color="DDDDDD" w:sz="1"/>
              <w:left w:val="single" w:color="DDDDDD" w:sz="1"/>
              <w:bottom w:val="single" w:color="DDDDDD" w:sz="1"/>
              <w:right w:val="single" w:color="DDDDDD" w:sz="1"/>
            </w:tcBorders>
            <w:shd w:fill="E8C547" w:val="clear"/>
            <w:tcMar>
              <w:top w:type="dxa" w:w="80"/>
              <w:left w:type="dxa" w:w="160"/>
              <w:bottom w:type="dxa" w:w="80"/>
              <w:right w:type="dxa" w:w="160"/>
            </w:tcMar>
          </w:tcPr>
          <w:p>
            <w:pPr>
              <w:spacing w:after="0" w:before="0"/>
              <w:jc w:val="left"/>
            </w:pPr>
            <w:r>
              <w:rPr>
                <w:rFonts w:ascii="Arial" w:cs="Arial" w:eastAsia="Arial" w:hAnsi="Arial"/>
                <w:b/>
                <w:bCs/>
                <w:color w:val="1A1A2E"/>
                <w:sz w:val="18"/>
                <w:szCs w:val="18"/>
              </w:rPr>
              <w:t xml:space="preserve">2,675</w:t>
            </w:r>
          </w:p>
        </w:tc>
        <w:tc>
          <w:tcPr>
            <w:tcW w:type="dxa" w:w="812"/>
            <w:tcBorders>
              <w:top w:val="single" w:color="DDDDDD" w:sz="1"/>
              <w:left w:val="single" w:color="DDDDDD" w:sz="1"/>
              <w:bottom w:val="single" w:color="DDDDDD" w:sz="1"/>
              <w:right w:val="single" w:color="DDDDDD" w:sz="1"/>
            </w:tcBorders>
            <w:shd w:fill="E8C547" w:val="clear"/>
            <w:tcMar>
              <w:top w:type="dxa" w:w="80"/>
              <w:left w:type="dxa" w:w="160"/>
              <w:bottom w:type="dxa" w:w="80"/>
              <w:right w:type="dxa" w:w="160"/>
            </w:tcMar>
          </w:tcPr>
          <w:p>
            <w:pPr>
              <w:spacing w:after="0" w:before="0"/>
              <w:jc w:val="center"/>
            </w:pPr>
            <w:r>
              <w:rPr>
                <w:rFonts w:ascii="Arial" w:cs="Arial" w:eastAsia="Arial" w:hAnsi="Arial"/>
                <w:b/>
                <w:bCs/>
                <w:color w:val="1A1A2E"/>
                <w:sz w:val="18"/>
                <w:szCs w:val="18"/>
              </w:rPr>
              <w:t xml:space="preserve">203</w:t>
            </w:r>
          </w:p>
        </w:tc>
        <w:tc>
          <w:tcPr>
            <w:tcW w:type="dxa" w:w="1353"/>
            <w:tcBorders>
              <w:top w:val="single" w:color="DDDDDD" w:sz="1"/>
              <w:left w:val="single" w:color="DDDDDD" w:sz="1"/>
              <w:bottom w:val="single" w:color="DDDDDD" w:sz="1"/>
              <w:right w:val="single" w:color="DDDDDD" w:sz="1"/>
            </w:tcBorders>
            <w:shd w:fill="E8C547" w:val="clear"/>
            <w:tcMar>
              <w:top w:type="dxa" w:w="80"/>
              <w:left w:type="dxa" w:w="160"/>
              <w:bottom w:type="dxa" w:w="80"/>
              <w:right w:type="dxa" w:w="160"/>
            </w:tcMar>
          </w:tcPr>
          <w:p>
            <w:pPr>
              <w:spacing w:after="0" w:before="0"/>
              <w:jc w:val="center"/>
            </w:pPr>
            <w:r>
              <w:rPr>
                <w:rFonts w:ascii="Arial" w:cs="Arial" w:eastAsia="Arial" w:hAnsi="Arial"/>
                <w:b/>
                <w:bCs/>
                <w:color w:val="1A1A2E"/>
                <w:sz w:val="18"/>
                <w:szCs w:val="18"/>
              </w:rPr>
              <w:t xml:space="preserve"/>
            </w:r>
          </w:p>
        </w:tc>
        <w:tc>
          <w:tcPr>
            <w:tcW w:type="dxa" w:w="1173"/>
            <w:tcBorders>
              <w:top w:val="single" w:color="DDDDDD" w:sz="1"/>
              <w:left w:val="single" w:color="DDDDDD" w:sz="1"/>
              <w:bottom w:val="single" w:color="DDDDDD" w:sz="1"/>
              <w:right w:val="single" w:color="DDDDDD" w:sz="1"/>
            </w:tcBorders>
            <w:shd w:fill="E8C547" w:val="clear"/>
            <w:tcMar>
              <w:top w:type="dxa" w:w="80"/>
              <w:left w:type="dxa" w:w="160"/>
              <w:bottom w:type="dxa" w:w="80"/>
              <w:right w:type="dxa" w:w="160"/>
            </w:tcMar>
          </w:tcPr>
          <w:p>
            <w:pPr>
              <w:spacing w:after="0" w:before="0"/>
              <w:jc w:val="center"/>
            </w:pPr>
            <w:r>
              <w:rPr>
                <w:rFonts w:ascii="Arial" w:cs="Arial" w:eastAsia="Arial" w:hAnsi="Arial"/>
                <w:b/>
                <w:bCs/>
                <w:color w:val="1A1A2E"/>
                <w:sz w:val="18"/>
                <w:szCs w:val="18"/>
              </w:rPr>
              <w:t xml:space="preserve"/>
            </w:r>
          </w:p>
        </w:tc>
        <w:tc>
          <w:tcPr>
            <w:tcW w:type="dxa" w:w="2078"/>
            <w:tcBorders>
              <w:top w:val="single" w:color="DDDDDD" w:sz="1"/>
              <w:left w:val="single" w:color="DDDDDD" w:sz="1"/>
              <w:bottom w:val="single" w:color="DDDDDD" w:sz="1"/>
              <w:right w:val="single" w:color="DDDDDD" w:sz="1"/>
            </w:tcBorders>
            <w:shd w:fill="E8C547" w:val="clear"/>
            <w:tcMar>
              <w:top w:type="dxa" w:w="80"/>
              <w:left w:type="dxa" w:w="160"/>
              <w:bottom w:type="dxa" w:w="80"/>
              <w:right w:type="dxa" w:w="160"/>
            </w:tcMar>
          </w:tcPr>
          <w:p>
            <w:pPr>
              <w:spacing w:after="0" w:before="0"/>
              <w:jc w:val="center"/>
            </w:pPr>
            <w:r>
              <w:rPr>
                <w:rFonts w:ascii="Arial" w:cs="Arial" w:eastAsia="Arial" w:hAnsi="Arial"/>
                <w:b/>
                <w:bCs/>
                <w:color w:val="1A1A2E"/>
                <w:sz w:val="18"/>
                <w:szCs w:val="18"/>
              </w:rPr>
              <w:t xml:space="preserve">£9,651,470.00</w:t>
            </w:r>
          </w:p>
        </w:tc>
      </w:tr>
    </w:tbl>
    <w:p>
      <w:pPr>
        <w:spacing w:after="80" w:before="0"/>
      </w:pPr>
      <w:r>
        <w:rPr>
          <w:rFonts w:ascii="Arial" w:cs="Arial" w:eastAsia="Arial" w:hAnsi="Arial"/>
          <w:color w:val="333333"/>
          <w:sz w:val="22"/>
          <w:szCs w:val="22"/>
        </w:rPr>
        <w:t xml:space="preserve"/>
      </w:r>
    </w:p>
    <w:p>
      <w:pPr>
        <w:spacing w:after="80" w:before="0"/>
      </w:pPr>
      <w:r>
        <w:rPr>
          <w:rFonts w:ascii="Arial" w:cs="Arial" w:eastAsia="Arial" w:hAnsi="Arial"/>
          <w:color w:val="7F8C8D"/>
          <w:sz w:val="17"/>
          <w:szCs w:val="17"/>
        </w:rPr>
        <w:t xml:space="preserve">* All figures are indicative estimates. Room counts assumed from planning documents. See individual scheme sections for assumptions and detail. Rates based on Flag22167, Kronospan Band A, inflated to Jan-27 start.</w:t>
      </w:r>
    </w:p>
    <w:p>
      <w:r>
        <w:br w:type="page"/>
      </w:r>
    </w:p>
    <w:p>
      <w:pPr>
        <w:spacing w:after="60" w:before="0"/>
      </w:pPr>
      <w:r>
        <w:rPr>
          <w:rFonts w:ascii="Arial" w:cs="Arial" w:eastAsia="Arial" w:hAnsi="Arial"/>
          <w:b/>
          <w:bCs/>
          <w:color w:val="7F8C8D"/>
          <w:sz w:val="18"/>
          <w:szCs w:val="18"/>
        </w:rPr>
        <w:t xml:space="preserve">Scheme Priority 1</w:t>
      </w:r>
    </w:p>
    <w:p>
      <w:pPr>
        <w:spacing w:after="60" w:before="0"/>
      </w:pPr>
      <w:r>
        <w:rPr>
          <w:rFonts w:ascii="Arial" w:cs="Arial" w:eastAsia="Arial" w:hAnsi="Arial"/>
          <w:b/>
          <w:bCs/>
          <w:color w:val="1A1A2E"/>
          <w:sz w:val="22"/>
          <w:szCs w:val="22"/>
        </w:rPr>
        <w:t xml:space="preserve">PBSA + CO-LIVING </w:t>
      </w:r>
      <w:r>
        <w:rPr>
          <w:rFonts w:ascii="Arial" w:cs="Arial" w:eastAsia="Arial" w:hAnsi="Arial"/>
          <w:color w:val="7F8C8D"/>
          <w:sz w:val="19"/>
          <w:szCs w:val="19"/>
        </w:rPr>
        <w:t xml:space="preserve">High — approved 5 months ago, construction imminent</w:t>
      </w:r>
    </w:p>
    <w:p>
      <w:pPr>
        <w:spacing w:after="80" w:before="0"/>
      </w:pPr>
      <w:r>
        <w:rPr>
          <w:rFonts w:ascii="Arial" w:cs="Arial" w:eastAsia="Arial" w:hAnsi="Arial"/>
          <w:b/>
          <w:bCs/>
          <w:color w:val="1A1A2E"/>
          <w:sz w:val="36"/>
          <w:szCs w:val="36"/>
        </w:rPr>
        <w:t xml:space="preserve">Heavitree Road, Exeter (Former Police HQ)</w:t>
      </w:r>
    </w:p>
    <w:p>
      <w:pPr>
        <w:pBdr>
          <w:bottom w:val="single" w:color="E8C547" w:sz="6"/>
        </w:pBdr>
        <w:spacing w:after="120" w:before="0"/>
      </w:pPr>
      <w:r>
        <w:rPr>
          <w:rFonts w:ascii="Arial" w:cs="Arial" w:eastAsia="Arial" w:hAnsi="Arial"/>
          <w:color w:val="333333"/>
          <w:sz w:val="22"/>
          <w:szCs w:val="22"/>
        </w:rPr>
        <w:t xml:space="preserve"/>
      </w:r>
    </w:p>
    <w:p>
      <w:pPr>
        <w:spacing w:after="80" w:before="0"/>
      </w:pPr>
      <w:r>
        <w:rPr>
          <w:rFonts w:ascii="Arial" w:cs="Arial" w:eastAsia="Arial" w:hAnsi="Arial"/>
          <w:color w:val="333333"/>
          <w:sz w:val="22"/>
          <w:szCs w:val="22"/>
        </w:rPr>
        <w:t xml:space="preserve"/>
      </w:r>
    </w:p>
    <w:p>
      <w:pPr>
        <w:pStyle w:val="Heading2"/>
        <w:spacing w:after="80" w:before="280"/>
      </w:pPr>
      <w:r>
        <w:rPr>
          <w:rFonts w:ascii="Arial" w:cs="Arial" w:eastAsia="Arial" w:hAnsi="Arial"/>
          <w:b/>
          <w:bCs/>
          <w:color w:val="1A1A2E"/>
          <w:sz w:val="24"/>
          <w:szCs w:val="24"/>
        </w:rPr>
        <w:t xml:space="preserve">Planning application</w:t>
      </w:r>
    </w:p>
    <w:p>
      <w:pPr>
        <w:tabs>
          <w:tab w:val="left" w:pos="2800"/>
        </w:tabs>
        <w:spacing w:after="80" w:before="0"/>
      </w:pPr>
      <w:r>
        <w:rPr>
          <w:rFonts w:ascii="Arial" w:cs="Arial" w:eastAsia="Arial" w:hAnsi="Arial"/>
          <w:b/>
          <w:bCs/>
          <w:color w:val="1A1A2E"/>
          <w:sz w:val="22"/>
          <w:szCs w:val="22"/>
        </w:rPr>
        <w:t xml:space="preserve">Planning reference</w:t>
      </w:r>
      <w:r>
        <w:rPr>
          <w:rFonts w:ascii="Arial" w:cs="Arial" w:eastAsia="Arial" w:hAnsi="Arial"/>
        </w:rPr>
        <w:t xml:space="preserve">	</w:t>
      </w:r>
      <w:r>
        <w:rPr>
          <w:rFonts w:ascii="Arial" w:cs="Arial" w:eastAsia="Arial" w:hAnsi="Arial"/>
          <w:b/>
          <w:bCs/>
          <w:color w:val="333333"/>
          <w:sz w:val="22"/>
          <w:szCs w:val="22"/>
        </w:rPr>
        <w:t xml:space="preserve">25/0676/FUL</w:t>
      </w:r>
    </w:p>
    <w:p>
      <w:pPr>
        <w:tabs>
          <w:tab w:val="left" w:pos="2800"/>
        </w:tabs>
        <w:spacing w:after="80" w:before="0"/>
      </w:pPr>
      <w:r>
        <w:rPr>
          <w:rFonts w:ascii="Arial" w:cs="Arial" w:eastAsia="Arial" w:hAnsi="Arial"/>
          <w:b/>
          <w:bCs/>
          <w:color w:val="1A1A2E"/>
          <w:sz w:val="22"/>
          <w:szCs w:val="22"/>
        </w:rPr>
        <w:t xml:space="preserve">Address</w:t>
      </w:r>
      <w:r>
        <w:rPr>
          <w:rFonts w:ascii="Arial" w:cs="Arial" w:eastAsia="Arial" w:hAnsi="Arial"/>
        </w:rPr>
        <w:t xml:space="preserve">	</w:t>
      </w:r>
      <w:r>
        <w:rPr>
          <w:rFonts w:ascii="Arial" w:cs="Arial" w:eastAsia="Arial" w:hAnsi="Arial"/>
          <w:b w:val="false"/>
          <w:bCs w:val="false"/>
          <w:color w:val="333333"/>
          <w:sz w:val="22"/>
          <w:szCs w:val="22"/>
        </w:rPr>
        <w:t xml:space="preserve">Devon &amp; Cornwall Constabulary, Heavitree Road, Exeter EX1 2LH</w:t>
      </w:r>
    </w:p>
    <w:p>
      <w:pPr>
        <w:tabs>
          <w:tab w:val="left" w:pos="2800"/>
        </w:tabs>
        <w:spacing w:after="80" w:before="0"/>
      </w:pPr>
      <w:r>
        <w:rPr>
          <w:rFonts w:ascii="Arial" w:cs="Arial" w:eastAsia="Arial" w:hAnsi="Arial"/>
          <w:b/>
          <w:bCs/>
          <w:color w:val="1A1A2E"/>
          <w:sz w:val="22"/>
          <w:szCs w:val="22"/>
        </w:rPr>
        <w:t xml:space="preserve">Developer</w:t>
      </w:r>
      <w:r>
        <w:rPr>
          <w:rFonts w:ascii="Arial" w:cs="Arial" w:eastAsia="Arial" w:hAnsi="Arial"/>
        </w:rPr>
        <w:t xml:space="preserve">	</w:t>
      </w:r>
      <w:r>
        <w:rPr>
          <w:rFonts w:ascii="Arial" w:cs="Arial" w:eastAsia="Arial" w:hAnsi="Arial"/>
          <w:b w:val="false"/>
          <w:bCs w:val="false"/>
          <w:color w:val="333333"/>
          <w:sz w:val="22"/>
          <w:szCs w:val="22"/>
        </w:rPr>
        <w:t xml:space="preserve">NCO (Seven) Limited + Nixon Homes Limited</w:t>
      </w:r>
    </w:p>
    <w:p>
      <w:pPr>
        <w:tabs>
          <w:tab w:val="left" w:pos="2800"/>
        </w:tabs>
        <w:spacing w:after="80" w:before="0"/>
      </w:pPr>
      <w:r>
        <w:rPr>
          <w:rFonts w:ascii="Arial" w:cs="Arial" w:eastAsia="Arial" w:hAnsi="Arial"/>
          <w:b/>
          <w:bCs/>
          <w:color w:val="1A1A2E"/>
          <w:sz w:val="22"/>
          <w:szCs w:val="22"/>
        </w:rPr>
        <w:t xml:space="preserve">Architect</w:t>
      </w:r>
      <w:r>
        <w:rPr>
          <w:rFonts w:ascii="Arial" w:cs="Arial" w:eastAsia="Arial" w:hAnsi="Arial"/>
        </w:rPr>
        <w:t xml:space="preserve">	</w:t>
      </w:r>
      <w:r>
        <w:rPr>
          <w:rFonts w:ascii="Arial" w:cs="Arial" w:eastAsia="Arial" w:hAnsi="Arial"/>
          <w:b w:val="false"/>
          <w:bCs w:val="false"/>
          <w:color w:val="333333"/>
          <w:sz w:val="22"/>
          <w:szCs w:val="22"/>
        </w:rPr>
        <w:t xml:space="preserve">Brown &amp; Company</w:t>
      </w:r>
    </w:p>
    <w:p>
      <w:pPr>
        <w:tabs>
          <w:tab w:val="left" w:pos="2800"/>
        </w:tabs>
        <w:spacing w:after="80" w:before="0"/>
      </w:pPr>
      <w:r>
        <w:rPr>
          <w:rFonts w:ascii="Arial" w:cs="Arial" w:eastAsia="Arial" w:hAnsi="Arial"/>
          <w:b/>
          <w:bCs/>
          <w:color w:val="1A1A2E"/>
          <w:sz w:val="22"/>
          <w:szCs w:val="22"/>
        </w:rPr>
        <w:t xml:space="preserve">LPA</w:t>
      </w:r>
      <w:r>
        <w:rPr>
          <w:rFonts w:ascii="Arial" w:cs="Arial" w:eastAsia="Arial" w:hAnsi="Arial"/>
        </w:rPr>
        <w:t xml:space="preserve">	</w:t>
      </w:r>
      <w:r>
        <w:rPr>
          <w:rFonts w:ascii="Arial" w:cs="Arial" w:eastAsia="Arial" w:hAnsi="Arial"/>
          <w:b w:val="false"/>
          <w:bCs w:val="false"/>
          <w:color w:val="333333"/>
          <w:sz w:val="22"/>
          <w:szCs w:val="22"/>
        </w:rPr>
        <w:t xml:space="preserve">Exeter City Council</w:t>
      </w:r>
    </w:p>
    <w:p>
      <w:pPr>
        <w:tabs>
          <w:tab w:val="left" w:pos="2800"/>
        </w:tabs>
        <w:spacing w:after="80" w:before="0"/>
      </w:pPr>
      <w:r>
        <w:rPr>
          <w:rFonts w:ascii="Arial" w:cs="Arial" w:eastAsia="Arial" w:hAnsi="Arial"/>
          <w:b/>
          <w:bCs/>
          <w:color w:val="1A1A2E"/>
          <w:sz w:val="22"/>
          <w:szCs w:val="22"/>
        </w:rPr>
        <w:t xml:space="preserve">Status</w:t>
      </w:r>
      <w:r>
        <w:rPr>
          <w:rFonts w:ascii="Arial" w:cs="Arial" w:eastAsia="Arial" w:hAnsi="Arial"/>
        </w:rPr>
        <w:t xml:space="preserve">	</w:t>
      </w:r>
      <w:r>
        <w:rPr>
          <w:rFonts w:ascii="Arial" w:cs="Arial" w:eastAsia="Arial" w:hAnsi="Arial"/>
          <w:b w:val="false"/>
          <w:bCs w:val="false"/>
          <w:color w:val="333333"/>
          <w:sz w:val="22"/>
          <w:szCs w:val="22"/>
        </w:rPr>
        <w:t xml:space="preserve">Approved December 2025</w:t>
      </w:r>
    </w:p>
    <w:p>
      <w:pPr>
        <w:tabs>
          <w:tab w:val="left" w:pos="2800"/>
        </w:tabs>
        <w:spacing w:after="80" w:before="0"/>
      </w:pPr>
      <w:r>
        <w:rPr>
          <w:rFonts w:ascii="Arial" w:cs="Arial" w:eastAsia="Arial" w:hAnsi="Arial"/>
          <w:b/>
          <w:bCs/>
          <w:color w:val="1A1A2E"/>
          <w:sz w:val="22"/>
          <w:szCs w:val="22"/>
        </w:rPr>
        <w:t xml:space="preserve">Portal</w:t>
      </w:r>
      <w:r>
        <w:rPr>
          <w:rFonts w:ascii="Arial" w:cs="Arial" w:eastAsia="Arial" w:hAnsi="Arial"/>
        </w:rPr>
        <w:t xml:space="preserve">	</w:t>
      </w:r>
      <w:r>
        <w:rPr>
          <w:rFonts w:ascii="Arial" w:cs="Arial" w:eastAsia="Arial" w:hAnsi="Arial"/>
          <w:b w:val="false"/>
          <w:bCs w:val="false"/>
          <w:color w:val="333333"/>
          <w:sz w:val="22"/>
          <w:szCs w:val="22"/>
        </w:rPr>
        <w:t xml:space="preserve">25/0676/FUL — search on Exeter City Council planning portal: exeter.gov.uk/planning-services</w:t>
      </w:r>
    </w:p>
    <w:p>
      <w:pPr>
        <w:spacing w:after="100" w:before="0"/>
      </w:pPr>
      <w:r>
        <w:rPr>
          <w:rFonts w:ascii="Arial" w:cs="Arial" w:eastAsia="Arial" w:hAnsi="Arial"/>
          <w:color w:val="333333"/>
          <w:sz w:val="22"/>
          <w:szCs w:val="22"/>
        </w:rPr>
        <w:t xml:space="preserve"/>
      </w:r>
    </w:p>
    <w:p>
      <w:pPr>
        <w:pStyle w:val="Heading2"/>
        <w:spacing w:after="80" w:before="280"/>
      </w:pPr>
      <w:r>
        <w:rPr>
          <w:rFonts w:ascii="Arial" w:cs="Arial" w:eastAsia="Arial" w:hAnsi="Arial"/>
          <w:b/>
          <w:bCs/>
          <w:color w:val="1A1A2E"/>
          <w:sz w:val="24"/>
          <w:szCs w:val="24"/>
        </w:rPr>
        <w:t xml:space="preserve">Classification</w:t>
      </w:r>
    </w:p>
    <w:p>
      <w:pPr>
        <w:spacing w:after="150" w:before="0"/>
      </w:pPr>
      <w:r>
        <w:rPr>
          <w:rFonts w:ascii="Arial" w:cs="Arial" w:eastAsia="Arial" w:hAnsi="Arial"/>
          <w:color w:val="333333"/>
          <w:sz w:val="22"/>
          <w:szCs w:val="22"/>
        </w:rPr>
        <w:t xml:space="preserve">The scheme at the former Devon &amp; Cornwall Constabulary HQ and Magistrates Court site on Heavitree Road proposes 399 PBSA studios and 414 co-living studios across seven blocks of up to six storeys. All units are studio format (Sui Generis use class). This is the largest scheme in the South West pipeline by combined unit count and the nearest to construction commencement.</w:t>
      </w:r>
    </w:p>
    <w:p>
      <w:pPr>
        <w:spacing w:after="100" w:before="0"/>
      </w:pPr>
      <w:r>
        <w:rPr>
          <w:rFonts w:ascii="Arial" w:cs="Arial" w:eastAsia="Arial" w:hAnsi="Arial"/>
          <w:color w:val="333333"/>
          <w:sz w:val="22"/>
          <w:szCs w:val="22"/>
        </w:rPr>
        <w:t xml:space="preserve"/>
      </w:r>
    </w:p>
    <w:p>
      <w:pPr>
        <w:pStyle w:val="Heading2"/>
        <w:spacing w:after="80" w:before="280"/>
      </w:pPr>
      <w:r>
        <w:rPr>
          <w:rFonts w:ascii="Arial" w:cs="Arial" w:eastAsia="Arial" w:hAnsi="Arial"/>
          <w:b/>
          <w:bCs/>
          <w:color w:val="1A1A2E"/>
          <w:sz w:val="24"/>
          <w:szCs w:val="24"/>
        </w:rPr>
        <w:t xml:space="preserve">Stage assessment</w:t>
      </w:r>
    </w:p>
    <w:p>
      <w:pPr>
        <w:tabs>
          <w:tab w:val="left" w:pos="2800"/>
        </w:tabs>
        <w:spacing w:after="80" w:before="0"/>
      </w:pPr>
      <w:r>
        <w:rPr>
          <w:rFonts w:ascii="Arial" w:cs="Arial" w:eastAsia="Arial" w:hAnsi="Arial"/>
          <w:b/>
          <w:bCs/>
          <w:color w:val="1A1A2E"/>
          <w:sz w:val="22"/>
          <w:szCs w:val="22"/>
        </w:rPr>
        <w:t xml:space="preserve">Assumed start</w:t>
      </w:r>
      <w:r>
        <w:rPr>
          <w:rFonts w:ascii="Arial" w:cs="Arial" w:eastAsia="Arial" w:hAnsi="Arial"/>
        </w:rPr>
        <w:t xml:space="preserve">	</w:t>
      </w:r>
      <w:r>
        <w:rPr>
          <w:rFonts w:ascii="Arial" w:cs="Arial" w:eastAsia="Arial" w:hAnsi="Arial"/>
          <w:b w:val="false"/>
          <w:bCs w:val="false"/>
          <w:color w:val="333333"/>
          <w:sz w:val="22"/>
          <w:szCs w:val="22"/>
        </w:rPr>
        <w:t xml:space="preserve">Q3-Q4 2026 (stated by developer)</w:t>
      </w:r>
    </w:p>
    <w:p>
      <w:pPr>
        <w:tabs>
          <w:tab w:val="left" w:pos="2800"/>
        </w:tabs>
        <w:spacing w:after="80" w:before="0"/>
      </w:pPr>
      <w:r>
        <w:rPr>
          <w:rFonts w:ascii="Arial" w:cs="Arial" w:eastAsia="Arial" w:hAnsi="Arial"/>
          <w:b/>
          <w:bCs/>
          <w:color w:val="1A1A2E"/>
          <w:sz w:val="22"/>
          <w:szCs w:val="22"/>
        </w:rPr>
        <w:t xml:space="preserve">Programme</w:t>
      </w:r>
      <w:r>
        <w:rPr>
          <w:rFonts w:ascii="Arial" w:cs="Arial" w:eastAsia="Arial" w:hAnsi="Arial"/>
        </w:rPr>
        <w:t xml:space="preserve">	</w:t>
      </w:r>
      <w:r>
        <w:rPr>
          <w:rFonts w:ascii="Arial" w:cs="Arial" w:eastAsia="Arial" w:hAnsi="Arial"/>
          <w:b w:val="false"/>
          <w:bCs w:val="false"/>
          <w:color w:val="333333"/>
          <w:sz w:val="22"/>
          <w:szCs w:val="22"/>
        </w:rPr>
        <w:t xml:space="preserve">12-16 months assumed</w:t>
      </w:r>
    </w:p>
    <w:p>
      <w:pPr>
        <w:tabs>
          <w:tab w:val="left" w:pos="2800"/>
        </w:tabs>
        <w:spacing w:after="80" w:before="0"/>
      </w:pPr>
      <w:r>
        <w:rPr>
          <w:rFonts w:ascii="Arial" w:cs="Arial" w:eastAsia="Arial" w:hAnsi="Arial"/>
          <w:b/>
          <w:bCs/>
          <w:color w:val="1A1A2E"/>
          <w:sz w:val="22"/>
          <w:szCs w:val="22"/>
        </w:rPr>
        <w:t xml:space="preserve">Beds</w:t>
      </w:r>
      <w:r>
        <w:rPr>
          <w:rFonts w:ascii="Arial" w:cs="Arial" w:eastAsia="Arial" w:hAnsi="Arial"/>
        </w:rPr>
        <w:t xml:space="preserve">	</w:t>
      </w:r>
      <w:r>
        <w:rPr>
          <w:rFonts w:ascii="Arial" w:cs="Arial" w:eastAsia="Arial" w:hAnsi="Arial"/>
          <w:b w:val="false"/>
          <w:bCs w:val="false"/>
          <w:color w:val="333333"/>
          <w:sz w:val="22"/>
          <w:szCs w:val="22"/>
        </w:rPr>
        <w:t xml:space="preserve">813</w:t>
      </w:r>
    </w:p>
    <w:p>
      <w:pPr>
        <w:tabs>
          <w:tab w:val="left" w:pos="2800"/>
        </w:tabs>
        <w:spacing w:after="80" w:before="0"/>
      </w:pPr>
      <w:r>
        <w:rPr>
          <w:rFonts w:ascii="Arial" w:cs="Arial" w:eastAsia="Arial" w:hAnsi="Arial"/>
          <w:b/>
          <w:bCs/>
          <w:color w:val="1A1A2E"/>
          <w:sz w:val="22"/>
          <w:szCs w:val="22"/>
        </w:rPr>
        <w:t xml:space="preserve">KLDs (cluster kitchens)</w:t>
      </w:r>
      <w:r>
        <w:rPr>
          <w:rFonts w:ascii="Arial" w:cs="Arial" w:eastAsia="Arial" w:hAnsi="Arial"/>
        </w:rPr>
        <w:t xml:space="preserve">	</w:t>
      </w:r>
      <w:r>
        <w:rPr>
          <w:rFonts w:ascii="Arial" w:cs="Arial" w:eastAsia="Arial" w:hAnsi="Arial"/>
          <w:b w:val="false"/>
          <w:bCs w:val="false"/>
          <w:color w:val="333333"/>
          <w:sz w:val="22"/>
          <w:szCs w:val="22"/>
        </w:rPr>
        <w:t xml:space="preserve">0</w:t>
      </w:r>
    </w:p>
    <w:p>
      <w:pPr>
        <w:spacing w:after="100" w:before="0"/>
      </w:pPr>
      <w:r>
        <w:rPr>
          <w:rFonts w:ascii="Arial" w:cs="Arial" w:eastAsia="Arial" w:hAnsi="Arial"/>
          <w:color w:val="333333"/>
          <w:sz w:val="22"/>
          <w:szCs w:val="22"/>
        </w:rPr>
        <w:t xml:space="preserve"/>
      </w:r>
    </w:p>
    <w:p>
      <w:pPr>
        <w:pStyle w:val="Heading2"/>
        <w:spacing w:after="80" w:before="280"/>
      </w:pPr>
      <w:r>
        <w:rPr>
          <w:rFonts w:ascii="Arial" w:cs="Arial" w:eastAsia="Arial" w:hAnsi="Arial"/>
          <w:b/>
          <w:bCs/>
          <w:color w:val="1A1A2E"/>
          <w:sz w:val="24"/>
          <w:szCs w:val="24"/>
        </w:rPr>
        <w:t xml:space="preserve">Opportunities for Flagstaffe</w:t>
      </w:r>
    </w:p>
    <w:p>
      <w:pPr>
        <w:pStyle w:val="ListParagraph"/>
        <w:numPr>
          <w:ilvl w:val="0"/>
          <w:numId w:val="2"/>
        </w:numPr>
        <w:spacing w:after="90" w:before="0"/>
      </w:pPr>
      <w:r>
        <w:rPr>
          <w:rFonts w:ascii="Arial" w:cs="Arial" w:eastAsia="Arial" w:hAnsi="Arial"/>
          <w:color w:val="333333"/>
          <w:sz w:val="22"/>
          <w:szCs w:val="22"/>
        </w:rPr>
        <w:t xml:space="preserve">813 studio units with no cluster complexity — the highest-repeatability FF&amp;E format Flagstaffe delivers. Supply chain efficiency and programme speed are at their maximum.</w:t>
      </w:r>
    </w:p>
    <w:p>
      <w:pPr>
        <w:pStyle w:val="ListParagraph"/>
        <w:numPr>
          <w:ilvl w:val="0"/>
          <w:numId w:val="2"/>
        </w:numPr>
        <w:spacing w:after="90" w:before="0"/>
      </w:pPr>
      <w:r>
        <w:rPr>
          <w:rFonts w:ascii="Arial" w:cs="Arial" w:eastAsia="Arial" w:hAnsi="Arial"/>
          <w:color w:val="333333"/>
          <w:sz w:val="22"/>
          <w:szCs w:val="22"/>
        </w:rPr>
        <w:t xml:space="preserve">Construction expected to start Q3-Q4 2026 — approaching now means Flagstaffe is in the conversation before any FF&amp;E supplier is appointed.</w:t>
      </w:r>
    </w:p>
    <w:p>
      <w:pPr>
        <w:pStyle w:val="ListParagraph"/>
        <w:numPr>
          <w:ilvl w:val="0"/>
          <w:numId w:val="2"/>
        </w:numPr>
        <w:spacing w:after="90" w:before="0"/>
      </w:pPr>
      <w:r>
        <w:rPr>
          <w:rFonts w:ascii="Arial" w:cs="Arial" w:eastAsia="Arial" w:hAnsi="Arial"/>
          <w:color w:val="333333"/>
          <w:sz w:val="22"/>
          <w:szCs w:val="22"/>
        </w:rPr>
        <w:t xml:space="preserve">NCO (Seven) and Nixon Homes are active across multiple co-living and PBSA schemes. A strong first engagement here could open further pipeline with both developers.</w:t>
      </w:r>
    </w:p>
    <w:p>
      <w:pPr>
        <w:pStyle w:val="ListParagraph"/>
        <w:numPr>
          <w:ilvl w:val="0"/>
          <w:numId w:val="2"/>
        </w:numPr>
        <w:spacing w:after="90" w:before="0"/>
      </w:pPr>
      <w:r>
        <w:rPr>
          <w:rFonts w:ascii="Arial" w:cs="Arial" w:eastAsia="Arial" w:hAnsi="Arial"/>
          <w:color w:val="333333"/>
          <w:sz w:val="22"/>
          <w:szCs w:val="22"/>
        </w:rPr>
        <w:t xml:space="preserve">Co-living studios are functionally identical to PBSA studios for FF&amp;E purposes — identical procurement scope, combined into a single supply chain relationship.</w:t>
      </w:r>
    </w:p>
    <w:p>
      <w:pPr>
        <w:pStyle w:val="ListParagraph"/>
        <w:numPr>
          <w:ilvl w:val="0"/>
          <w:numId w:val="2"/>
        </w:numPr>
        <w:spacing w:after="90" w:before="0"/>
      </w:pPr>
      <w:r>
        <w:rPr>
          <w:rFonts w:ascii="Arial" w:cs="Arial" w:eastAsia="Arial" w:hAnsi="Arial"/>
          <w:color w:val="333333"/>
          <w:sz w:val="22"/>
          <w:szCs w:val="22"/>
        </w:rPr>
        <w:t xml:space="preserve">Brown &amp; Company (architect) specialises in PBSA/co-living across the UK. A relationship with them could feed multiple future projects.</w:t>
      </w:r>
    </w:p>
    <w:p>
      <w:pPr>
        <w:spacing w:after="100" w:before="0"/>
      </w:pPr>
      <w:r>
        <w:rPr>
          <w:rFonts w:ascii="Arial" w:cs="Arial" w:eastAsia="Arial" w:hAnsi="Arial"/>
          <w:color w:val="333333"/>
          <w:sz w:val="22"/>
          <w:szCs w:val="22"/>
        </w:rPr>
        <w:t xml:space="preserve"/>
      </w:r>
    </w:p>
    <w:p>
      <w:pPr>
        <w:pStyle w:val="Heading2"/>
        <w:spacing w:after="80" w:before="280"/>
      </w:pPr>
      <w:r>
        <w:rPr>
          <w:rFonts w:ascii="Arial" w:cs="Arial" w:eastAsia="Arial" w:hAnsi="Arial"/>
          <w:b/>
          <w:bCs/>
          <w:color w:val="1A1A2E"/>
          <w:sz w:val="24"/>
          <w:szCs w:val="24"/>
        </w:rPr>
        <w:t xml:space="preserve">Red flags</w:t>
      </w:r>
    </w:p>
    <w:p>
      <w:pPr>
        <w:pStyle w:val="ListParagraph"/>
        <w:numPr>
          <w:ilvl w:val="0"/>
          <w:numId w:val="2"/>
        </w:numPr>
        <w:spacing w:after="90" w:before="0"/>
      </w:pPr>
      <w:r>
        <w:rPr>
          <w:rFonts w:ascii="Arial" w:cs="Arial" w:eastAsia="Arial" w:hAnsi="Arial"/>
          <w:color w:val="C62828"/>
          <w:sz w:val="22"/>
          <w:szCs w:val="22"/>
        </w:rPr>
        <w:t xml:space="preserve">The Gorge — the only co-living scheme so far built in Exeter and immediately adjacent to this site — is reportedly only 80% occupied two years after opening. This may indicate an operator willing to cut FF&amp;E specification to hit a price point.</w:t>
      </w:r>
    </w:p>
    <w:p>
      <w:pPr>
        <w:pStyle w:val="ListParagraph"/>
        <w:numPr>
          <w:ilvl w:val="0"/>
          <w:numId w:val="2"/>
        </w:numPr>
        <w:spacing w:after="90" w:before="0"/>
      </w:pPr>
      <w:r>
        <w:rPr>
          <w:rFonts w:ascii="Arial" w:cs="Arial" w:eastAsia="Arial" w:hAnsi="Arial"/>
          <w:color w:val="C62828"/>
          <w:sz w:val="22"/>
          <w:szCs w:val="22"/>
        </w:rPr>
        <w:t xml:space="preserve">29 public objections were received during consultation. The approval was achieved but this project has local opposition that may result in a judicial review challenge delaying construction.</w:t>
      </w:r>
    </w:p>
    <w:p>
      <w:pPr>
        <w:pStyle w:val="ListParagraph"/>
        <w:numPr>
          <w:ilvl w:val="0"/>
          <w:numId w:val="2"/>
        </w:numPr>
        <w:spacing w:after="90" w:before="0"/>
      </w:pPr>
      <w:r>
        <w:rPr>
          <w:rFonts w:ascii="Arial" w:cs="Arial" w:eastAsia="Arial" w:hAnsi="Arial"/>
          <w:color w:val="C62828"/>
          <w:sz w:val="22"/>
          <w:szCs w:val="22"/>
        </w:rPr>
        <w:t xml:space="preserve">The developer has not publicly announced a main contractor. If Flagstaffe is to engage ahead of contractor appointment, outreach must happen very soon.</w:t>
      </w:r>
    </w:p>
    <w:p>
      <w:pPr>
        <w:spacing w:after="100" w:before="0"/>
      </w:pPr>
      <w:r>
        <w:rPr>
          <w:rFonts w:ascii="Arial" w:cs="Arial" w:eastAsia="Arial" w:hAnsi="Arial"/>
          <w:color w:val="333333"/>
          <w:sz w:val="22"/>
          <w:szCs w:val="22"/>
        </w:rPr>
        <w:t xml:space="preserve"/>
      </w:r>
    </w:p>
    <w:p>
      <w:pPr>
        <w:pStyle w:val="Heading2"/>
        <w:spacing w:after="80" w:before="280"/>
      </w:pPr>
      <w:r>
        <w:rPr>
          <w:rFonts w:ascii="Arial" w:cs="Arial" w:eastAsia="Arial" w:hAnsi="Arial"/>
          <w:b/>
          <w:bCs/>
          <w:color w:val="1A1A2E"/>
          <w:sz w:val="24"/>
          <w:szCs w:val="24"/>
        </w:rPr>
        <w:t xml:space="preserve">Recommended action</w:t>
      </w:r>
    </w:p>
    <w:p>
      <w:pPr>
        <w:pBdr>
          <w:top w:val="single" w:color="E65100" w:sz="2"/>
          <w:left w:val="single" w:color="E65100" w:sz="16"/>
          <w:bottom w:val="single" w:color="E65100" w:sz="2"/>
          <w:right w:val="none" w:color="FFFFFF" w:sz="0"/>
        </w:pBdr>
        <w:shd w:fill="FFF9C4" w:val="clear"/>
        <w:spacing w:after="160" w:before="160"/>
        <w:ind w:left="360"/>
      </w:pPr>
      <w:r>
        <w:rPr>
          <w:rFonts w:ascii="Arial" w:cs="Arial" w:eastAsia="Arial" w:hAnsi="Arial"/>
          <w:b/>
          <w:bCs/>
          <w:color w:val="E65100"/>
          <w:sz w:val="22"/>
          <w:szCs w:val="22"/>
        </w:rPr>
        <w:t xml:space="preserve">Approach NCO (Seven) Ltd and Nixon Homes directly and immediately. Lead with Flagstaffe's co-living and PBSA studio delivery track record. The construction start timeline of Q3-Q4 2026 means FF&amp;E procurement decisions will be made in the next 6-8 weeks.</w:t>
      </w:r>
    </w:p>
    <w:p>
      <w:pPr>
        <w:spacing w:after="120" w:before="0"/>
      </w:pPr>
      <w:r>
        <w:rPr>
          <w:rFonts w:ascii="Arial" w:cs="Arial" w:eastAsia="Arial" w:hAnsi="Arial"/>
          <w:color w:val="333333"/>
          <w:sz w:val="22"/>
          <w:szCs w:val="22"/>
        </w:rPr>
        <w:t xml:space="preserve"/>
      </w:r>
    </w:p>
    <w:p>
      <w:pPr>
        <w:pStyle w:val="Heading2"/>
        <w:spacing w:after="80" w:before="280"/>
      </w:pPr>
      <w:r>
        <w:rPr>
          <w:rFonts w:ascii="Arial" w:cs="Arial" w:eastAsia="Arial" w:hAnsi="Arial"/>
          <w:b/>
          <w:bCs/>
          <w:color w:val="1A1A2E"/>
          <w:sz w:val="24"/>
          <w:szCs w:val="24"/>
        </w:rPr>
        <w:t xml:space="preserve">Indicative FF&amp;E budget</w:t>
      </w:r>
    </w:p>
    <w:p>
      <w:pPr>
        <w:pBdr>
          <w:top w:val="single" w:color="E65100" w:sz="2"/>
          <w:left w:val="single" w:color="E65100" w:sz="16"/>
          <w:bottom w:val="single" w:color="E65100" w:sz="2"/>
          <w:right w:val="none" w:color="FFFFFF" w:sz="0"/>
        </w:pBdr>
        <w:shd w:fill="FFF9C4" w:val="clear"/>
        <w:spacing w:after="160" w:before="160"/>
        <w:ind w:left="360"/>
      </w:pPr>
      <w:r>
        <w:rPr>
          <w:rFonts w:ascii="Arial" w:cs="Arial" w:eastAsia="Arial" w:hAnsi="Arial"/>
          <w:b/>
          <w:bCs/>
          <w:color w:val="E65100"/>
          <w:sz w:val="22"/>
          <w:szCs w:val="22"/>
        </w:rPr>
        <w:t xml:space="preserve">Room counts are ASSUMED from planning documents. Update the Excel pricing tool (Flagstaffe_Manchester_Pricing_Tool.xlsx) with confirmed room counts when drawings are available.</w:t>
      </w:r>
    </w:p>
    <w:p>
      <w:pPr>
        <w:spacing w:after="80" w:before="0"/>
      </w:pPr>
      <w:r>
        <w:rPr>
          <w:rFonts w:ascii="Arial" w:cs="Arial" w:eastAsia="Arial" w:hAnsi="Arial"/>
          <w:color w:val="333333"/>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29"/>
        <w:gridCol w:w="1173"/>
        <w:gridCol w:w="1444"/>
        <w:gridCol w:w="1624"/>
        <w:gridCol w:w="1356"/>
      </w:tblGrid>
      <w:tr>
        <w:tc>
          <w:tcPr>
            <w:tcW w:type="dxa" w:w="3429"/>
            <w:tcBorders>
              <w:top w:val="single" w:color="DDDDDD" w:sz="1"/>
              <w:left w:val="single" w:color="DDDDDD" w:sz="1"/>
              <w:bottom w:val="single" w:color="DDDDDD" w:sz="1"/>
              <w:right w:val="single" w:color="DDDDDD" w:sz="1"/>
            </w:tcBorders>
            <w:shd w:fill="1A1A2E" w:val="clear"/>
            <w:tcMar>
              <w:top w:type="dxa" w:w="80"/>
              <w:left w:type="dxa" w:w="160"/>
              <w:bottom w:type="dxa" w:w="80"/>
              <w:right w:type="dxa" w:w="160"/>
            </w:tcMar>
          </w:tcPr>
          <w:p>
            <w:pPr>
              <w:spacing w:after="0" w:before="0"/>
              <w:jc w:val="left"/>
            </w:pPr>
            <w:r>
              <w:rPr>
                <w:rFonts w:ascii="Arial" w:cs="Arial" w:eastAsia="Arial" w:hAnsi="Arial"/>
                <w:b/>
                <w:bCs/>
                <w:color w:val="FFFFFF"/>
                <w:sz w:val="20"/>
                <w:szCs w:val="20"/>
              </w:rPr>
              <w:t xml:space="preserve">Room / Unit Type</w:t>
            </w:r>
          </w:p>
        </w:tc>
        <w:tc>
          <w:tcPr>
            <w:tcW w:type="dxa" w:w="1173"/>
            <w:tcBorders>
              <w:top w:val="single" w:color="DDDDDD" w:sz="1"/>
              <w:left w:val="single" w:color="DDDDDD" w:sz="1"/>
              <w:bottom w:val="single" w:color="DDDDDD" w:sz="1"/>
              <w:right w:val="single" w:color="DDDDDD" w:sz="1"/>
            </w:tcBorders>
            <w:shd w:fill="1A1A2E" w:val="clear"/>
            <w:tcMar>
              <w:top w:type="dxa" w:w="80"/>
              <w:left w:type="dxa" w:w="160"/>
              <w:bottom w:type="dxa" w:w="80"/>
              <w:right w:type="dxa" w:w="160"/>
            </w:tcMar>
          </w:tcPr>
          <w:p>
            <w:pPr>
              <w:spacing w:after="0" w:before="0"/>
              <w:jc w:val="right"/>
            </w:pPr>
            <w:r>
              <w:rPr>
                <w:rFonts w:ascii="Arial" w:cs="Arial" w:eastAsia="Arial" w:hAnsi="Arial"/>
                <w:b/>
                <w:bCs/>
                <w:color w:val="FFFFFF"/>
                <w:sz w:val="20"/>
                <w:szCs w:val="20"/>
              </w:rPr>
              <w:t xml:space="preserve">Count</w:t>
            </w:r>
          </w:p>
        </w:tc>
        <w:tc>
          <w:tcPr>
            <w:tcW w:type="dxa" w:w="1444"/>
            <w:tcBorders>
              <w:top w:val="single" w:color="DDDDDD" w:sz="1"/>
              <w:left w:val="single" w:color="DDDDDD" w:sz="1"/>
              <w:bottom w:val="single" w:color="DDDDDD" w:sz="1"/>
              <w:right w:val="single" w:color="DDDDDD" w:sz="1"/>
            </w:tcBorders>
            <w:shd w:fill="1A1A2E" w:val="clear"/>
            <w:tcMar>
              <w:top w:type="dxa" w:w="80"/>
              <w:left w:type="dxa" w:w="160"/>
              <w:bottom w:type="dxa" w:w="80"/>
              <w:right w:type="dxa" w:w="160"/>
            </w:tcMar>
          </w:tcPr>
          <w:p>
            <w:pPr>
              <w:spacing w:after="0" w:before="0"/>
              <w:jc w:val="right"/>
            </w:pPr>
            <w:r>
              <w:rPr>
                <w:rFonts w:ascii="Arial" w:cs="Arial" w:eastAsia="Arial" w:hAnsi="Arial"/>
                <w:b/>
                <w:bCs/>
                <w:color w:val="FFFFFF"/>
                <w:sz w:val="20"/>
                <w:szCs w:val="20"/>
              </w:rPr>
              <w:t xml:space="preserve">Unit Rate</w:t>
            </w:r>
          </w:p>
        </w:tc>
        <w:tc>
          <w:tcPr>
            <w:tcW w:type="dxa" w:w="1624"/>
            <w:tcBorders>
              <w:top w:val="single" w:color="DDDDDD" w:sz="1"/>
              <w:left w:val="single" w:color="DDDDDD" w:sz="1"/>
              <w:bottom w:val="single" w:color="DDDDDD" w:sz="1"/>
              <w:right w:val="single" w:color="DDDDDD" w:sz="1"/>
            </w:tcBorders>
            <w:shd w:fill="1A1A2E" w:val="clear"/>
            <w:tcMar>
              <w:top w:type="dxa" w:w="80"/>
              <w:left w:type="dxa" w:w="160"/>
              <w:bottom w:type="dxa" w:w="80"/>
              <w:right w:type="dxa" w:w="160"/>
            </w:tcMar>
          </w:tcPr>
          <w:p>
            <w:pPr>
              <w:spacing w:after="0" w:before="0"/>
              <w:jc w:val="right"/>
            </w:pPr>
            <w:r>
              <w:rPr>
                <w:rFonts w:ascii="Arial" w:cs="Arial" w:eastAsia="Arial" w:hAnsi="Arial"/>
                <w:b/>
                <w:bCs/>
                <w:color w:val="FFFFFF"/>
                <w:sz w:val="20"/>
                <w:szCs w:val="20"/>
              </w:rPr>
              <w:t xml:space="preserve">Sub-total</w:t>
            </w:r>
          </w:p>
        </w:tc>
        <w:tc>
          <w:tcPr>
            <w:tcW w:type="dxa" w:w="1356"/>
            <w:tcBorders>
              <w:top w:val="single" w:color="DDDDDD" w:sz="1"/>
              <w:left w:val="single" w:color="DDDDDD" w:sz="1"/>
              <w:bottom w:val="single" w:color="DDDDDD" w:sz="1"/>
              <w:right w:val="single" w:color="DDDDDD" w:sz="1"/>
            </w:tcBorders>
            <w:shd w:fill="1A1A2E" w:val="clear"/>
            <w:tcMar>
              <w:top w:type="dxa" w:w="80"/>
              <w:left w:type="dxa" w:w="160"/>
              <w:bottom w:type="dxa" w:w="80"/>
              <w:right w:type="dxa" w:w="160"/>
            </w:tcMar>
          </w:tcPr>
          <w:p>
            <w:pPr>
              <w:spacing w:after="0" w:before="0"/>
              <w:jc w:val="left"/>
            </w:pPr>
            <w:r>
              <w:rPr>
                <w:rFonts w:ascii="Arial" w:cs="Arial" w:eastAsia="Arial" w:hAnsi="Arial"/>
                <w:b/>
                <w:bCs/>
                <w:color w:val="FFFFFF"/>
                <w:sz w:val="20"/>
                <w:szCs w:val="20"/>
              </w:rPr>
              <w:t xml:space="preserve"/>
            </w:r>
          </w:p>
        </w:tc>
      </w:tr>
      <w:tr>
        <w:tc>
          <w:tcPr>
            <w:tcW w:type="dxa" w:w="3429"/>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spacing w:after="0" w:before="0"/>
              <w:jc w:val="left"/>
            </w:pPr>
            <w:r>
              <w:rPr>
                <w:rFonts w:ascii="Arial" w:cs="Arial" w:eastAsia="Arial" w:hAnsi="Arial"/>
                <w:b w:val="false"/>
                <w:bCs w:val="false"/>
                <w:color w:val="333333"/>
                <w:sz w:val="20"/>
                <w:szCs w:val="20"/>
              </w:rPr>
              <w:t xml:space="preserve">Standard Studios</w:t>
            </w:r>
          </w:p>
        </w:tc>
        <w:tc>
          <w:tcPr>
            <w:tcW w:type="dxa" w:w="1173"/>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spacing w:after="0" w:before="0"/>
              <w:jc w:val="right"/>
            </w:pPr>
            <w:r>
              <w:rPr>
                <w:rFonts w:ascii="Arial" w:cs="Arial" w:eastAsia="Arial" w:hAnsi="Arial"/>
                <w:b w:val="false"/>
                <w:bCs w:val="false"/>
                <w:color w:val="333333"/>
                <w:sz w:val="20"/>
                <w:szCs w:val="20"/>
              </w:rPr>
              <w:t xml:space="preserve">813</w:t>
            </w:r>
          </w:p>
        </w:tc>
        <w:tc>
          <w:tcPr>
            <w:tcW w:type="dxa" w:w="1444"/>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spacing w:after="0" w:before="0"/>
              <w:jc w:val="right"/>
            </w:pPr>
            <w:r>
              <w:rPr>
                <w:rFonts w:ascii="Arial" w:cs="Arial" w:eastAsia="Arial" w:hAnsi="Arial"/>
                <w:b w:val="false"/>
                <w:bCs w:val="false"/>
                <w:color w:val="333333"/>
                <w:sz w:val="20"/>
                <w:szCs w:val="20"/>
              </w:rPr>
              <w:t xml:space="preserve">£4,290.50</w:t>
            </w:r>
          </w:p>
        </w:tc>
        <w:tc>
          <w:tcPr>
            <w:tcW w:type="dxa" w:w="1624"/>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spacing w:after="0" w:before="0"/>
              <w:jc w:val="right"/>
            </w:pPr>
            <w:r>
              <w:rPr>
                <w:rFonts w:ascii="Arial" w:cs="Arial" w:eastAsia="Arial" w:hAnsi="Arial"/>
                <w:b w:val="false"/>
                <w:bCs w:val="false"/>
                <w:color w:val="333333"/>
                <w:sz w:val="20"/>
                <w:szCs w:val="20"/>
              </w:rPr>
              <w:t xml:space="preserve">£3,488,176.50</w:t>
            </w:r>
          </w:p>
        </w:tc>
        <w:tc>
          <w:tcPr>
            <w:tcW w:type="dxa" w:w="1356"/>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spacing w:after="0" w:before="0"/>
              <w:jc w:val="left"/>
            </w:pPr>
            <w:r>
              <w:rPr>
                <w:rFonts w:ascii="Arial" w:cs="Arial" w:eastAsia="Arial" w:hAnsi="Arial"/>
                <w:b w:val="false"/>
                <w:bCs w:val="false"/>
                <w:color w:val="333333"/>
                <w:sz w:val="20"/>
                <w:szCs w:val="20"/>
              </w:rPr>
              <w:t xml:space="preserve"/>
            </w:r>
          </w:p>
        </w:tc>
      </w:tr>
      <w:tr>
        <w:tc>
          <w:tcPr>
            <w:tcW w:type="dxa" w:w="3429"/>
            <w:tcBorders>
              <w:top w:val="single" w:color="DDDDDD" w:sz="1"/>
              <w:left w:val="single" w:color="DDDDDD" w:sz="1"/>
              <w:bottom w:val="single" w:color="DDDDDD" w:sz="1"/>
              <w:right w:val="single" w:color="DDDDDD" w:sz="1"/>
            </w:tcBorders>
            <w:shd w:fill="FFF9E0" w:val="clear"/>
            <w:tcMar>
              <w:top w:type="dxa" w:w="80"/>
              <w:left w:type="dxa" w:w="160"/>
              <w:bottom w:type="dxa" w:w="80"/>
              <w:right w:type="dxa" w:w="160"/>
            </w:tcMar>
          </w:tcPr>
          <w:p>
            <w:pPr>
              <w:spacing w:after="0" w:before="0"/>
              <w:jc w:val="left"/>
            </w:pPr>
            <w:r>
              <w:rPr>
                <w:rFonts w:ascii="Arial" w:cs="Arial" w:eastAsia="Arial" w:hAnsi="Arial"/>
                <w:b w:val="false"/>
                <w:bCs w:val="false"/>
                <w:color w:val="333333"/>
                <w:sz w:val="20"/>
                <w:szCs w:val="20"/>
              </w:rPr>
              <w:t xml:space="preserve">Bedrooms &amp; Studios sub-total</w:t>
            </w:r>
          </w:p>
        </w:tc>
        <w:tc>
          <w:tcPr>
            <w:tcW w:type="dxa" w:w="1173"/>
            <w:tcBorders>
              <w:top w:val="single" w:color="DDDDDD" w:sz="1"/>
              <w:left w:val="single" w:color="DDDDDD" w:sz="1"/>
              <w:bottom w:val="single" w:color="DDDDDD" w:sz="1"/>
              <w:right w:val="single" w:color="DDDDDD" w:sz="1"/>
            </w:tcBorders>
            <w:shd w:fill="FFF9E0" w:val="clear"/>
            <w:tcMar>
              <w:top w:type="dxa" w:w="80"/>
              <w:left w:type="dxa" w:w="160"/>
              <w:bottom w:type="dxa" w:w="80"/>
              <w:right w:type="dxa" w:w="160"/>
            </w:tcMar>
          </w:tcPr>
          <w:p>
            <w:pPr>
              <w:spacing w:after="0" w:before="0"/>
              <w:jc w:val="right"/>
            </w:pPr>
            <w:r>
              <w:rPr>
                <w:rFonts w:ascii="Arial" w:cs="Arial" w:eastAsia="Arial" w:hAnsi="Arial"/>
                <w:b w:val="false"/>
                <w:bCs w:val="false"/>
                <w:color w:val="333333"/>
                <w:sz w:val="20"/>
                <w:szCs w:val="20"/>
              </w:rPr>
              <w:t xml:space="preserve"/>
            </w:r>
          </w:p>
        </w:tc>
        <w:tc>
          <w:tcPr>
            <w:tcW w:type="dxa" w:w="1444"/>
            <w:tcBorders>
              <w:top w:val="single" w:color="DDDDDD" w:sz="1"/>
              <w:left w:val="single" w:color="DDDDDD" w:sz="1"/>
              <w:bottom w:val="single" w:color="DDDDDD" w:sz="1"/>
              <w:right w:val="single" w:color="DDDDDD" w:sz="1"/>
            </w:tcBorders>
            <w:shd w:fill="FFF9E0" w:val="clear"/>
            <w:tcMar>
              <w:top w:type="dxa" w:w="80"/>
              <w:left w:type="dxa" w:w="160"/>
              <w:bottom w:type="dxa" w:w="80"/>
              <w:right w:type="dxa" w:w="160"/>
            </w:tcMar>
          </w:tcPr>
          <w:p>
            <w:pPr>
              <w:spacing w:after="0" w:before="0"/>
              <w:jc w:val="right"/>
            </w:pPr>
            <w:r>
              <w:rPr>
                <w:rFonts w:ascii="Arial" w:cs="Arial" w:eastAsia="Arial" w:hAnsi="Arial"/>
                <w:b w:val="false"/>
                <w:bCs w:val="false"/>
                <w:color w:val="333333"/>
                <w:sz w:val="20"/>
                <w:szCs w:val="20"/>
              </w:rPr>
              <w:t xml:space="preserve"/>
            </w:r>
          </w:p>
        </w:tc>
        <w:tc>
          <w:tcPr>
            <w:tcW w:type="dxa" w:w="1624"/>
            <w:tcBorders>
              <w:top w:val="single" w:color="DDDDDD" w:sz="1"/>
              <w:left w:val="single" w:color="DDDDDD" w:sz="1"/>
              <w:bottom w:val="single" w:color="DDDDDD" w:sz="1"/>
              <w:right w:val="single" w:color="DDDDDD" w:sz="1"/>
            </w:tcBorders>
            <w:shd w:fill="FFF9E0" w:val="clear"/>
            <w:tcMar>
              <w:top w:type="dxa" w:w="80"/>
              <w:left w:type="dxa" w:w="160"/>
              <w:bottom w:type="dxa" w:w="80"/>
              <w:right w:type="dxa" w:w="160"/>
            </w:tcMar>
          </w:tcPr>
          <w:p>
            <w:pPr>
              <w:spacing w:after="0" w:before="0"/>
              <w:jc w:val="right"/>
            </w:pPr>
            <w:r>
              <w:rPr>
                <w:rFonts w:ascii="Arial" w:cs="Arial" w:eastAsia="Arial" w:hAnsi="Arial"/>
                <w:b w:val="false"/>
                <w:bCs w:val="false"/>
                <w:color w:val="333333"/>
                <w:sz w:val="20"/>
                <w:szCs w:val="20"/>
              </w:rPr>
              <w:t xml:space="preserve">£3,488,176.50</w:t>
            </w:r>
          </w:p>
        </w:tc>
        <w:tc>
          <w:tcPr>
            <w:tcW w:type="dxa" w:w="1356"/>
            <w:tcBorders>
              <w:top w:val="single" w:color="DDDDDD" w:sz="1"/>
              <w:left w:val="single" w:color="DDDDDD" w:sz="1"/>
              <w:bottom w:val="single" w:color="DDDDDD" w:sz="1"/>
              <w:right w:val="single" w:color="DDDDDD" w:sz="1"/>
            </w:tcBorders>
            <w:shd w:fill="FFF9E0" w:val="clear"/>
            <w:tcMar>
              <w:top w:type="dxa" w:w="80"/>
              <w:left w:type="dxa" w:w="160"/>
              <w:bottom w:type="dxa" w:w="80"/>
              <w:right w:type="dxa" w:w="160"/>
            </w:tcMar>
          </w:tcPr>
          <w:p>
            <w:pPr>
              <w:spacing w:after="0" w:before="0"/>
              <w:jc w:val="left"/>
            </w:pPr>
            <w:r>
              <w:rPr>
                <w:rFonts w:ascii="Arial" w:cs="Arial" w:eastAsia="Arial" w:hAnsi="Arial"/>
                <w:b w:val="false"/>
                <w:bCs w:val="false"/>
                <w:color w:val="333333"/>
                <w:sz w:val="20"/>
                <w:szCs w:val="20"/>
              </w:rPr>
              <w:t xml:space="preserve"/>
            </w:r>
          </w:p>
        </w:tc>
      </w:tr>
      <w:tr>
        <w:tc>
          <w:tcPr>
            <w:tcW w:type="dxa" w:w="3429"/>
            <w:tcBorders>
              <w:top w:val="single" w:color="DDDDDD" w:sz="1"/>
              <w:left w:val="single" w:color="DDDDDD" w:sz="1"/>
              <w:bottom w:val="single" w:color="DDDDDD" w:sz="1"/>
              <w:right w:val="single" w:color="DDDDDD" w:sz="1"/>
            </w:tcBorders>
            <w:shd w:fill="FFF9E0" w:val="clear"/>
            <w:tcMar>
              <w:top w:type="dxa" w:w="80"/>
              <w:left w:type="dxa" w:w="160"/>
              <w:bottom w:type="dxa" w:w="80"/>
              <w:right w:type="dxa" w:w="160"/>
            </w:tcMar>
          </w:tcPr>
          <w:p>
            <w:pPr>
              <w:spacing w:after="0" w:before="0"/>
              <w:jc w:val="left"/>
            </w:pPr>
            <w:r>
              <w:rPr>
                <w:rFonts w:ascii="Arial" w:cs="Arial" w:eastAsia="Arial" w:hAnsi="Arial"/>
                <w:b w:val="false"/>
                <w:bCs w:val="false"/>
                <w:color w:val="333333"/>
                <w:sz w:val="20"/>
                <w:szCs w:val="20"/>
              </w:rPr>
              <w:t xml:space="preserve">Project Management / Prelims fee</w:t>
            </w:r>
          </w:p>
        </w:tc>
        <w:tc>
          <w:tcPr>
            <w:tcW w:type="dxa" w:w="1173"/>
            <w:tcBorders>
              <w:top w:val="single" w:color="DDDDDD" w:sz="1"/>
              <w:left w:val="single" w:color="DDDDDD" w:sz="1"/>
              <w:bottom w:val="single" w:color="DDDDDD" w:sz="1"/>
              <w:right w:val="single" w:color="DDDDDD" w:sz="1"/>
            </w:tcBorders>
            <w:shd w:fill="FFF9E0" w:val="clear"/>
            <w:tcMar>
              <w:top w:type="dxa" w:w="80"/>
              <w:left w:type="dxa" w:w="160"/>
              <w:bottom w:type="dxa" w:w="80"/>
              <w:right w:type="dxa" w:w="160"/>
            </w:tcMar>
          </w:tcPr>
          <w:p>
            <w:pPr>
              <w:spacing w:after="0" w:before="0"/>
              <w:jc w:val="right"/>
            </w:pPr>
            <w:r>
              <w:rPr>
                <w:rFonts w:ascii="Arial" w:cs="Arial" w:eastAsia="Arial" w:hAnsi="Arial"/>
                <w:b w:val="false"/>
                <w:bCs w:val="false"/>
                <w:color w:val="333333"/>
                <w:sz w:val="20"/>
                <w:szCs w:val="20"/>
              </w:rPr>
              <w:t xml:space="preserve">813 units</w:t>
            </w:r>
          </w:p>
        </w:tc>
        <w:tc>
          <w:tcPr>
            <w:tcW w:type="dxa" w:w="1444"/>
            <w:tcBorders>
              <w:top w:val="single" w:color="DDDDDD" w:sz="1"/>
              <w:left w:val="single" w:color="DDDDDD" w:sz="1"/>
              <w:bottom w:val="single" w:color="DDDDDD" w:sz="1"/>
              <w:right w:val="single" w:color="DDDDDD" w:sz="1"/>
            </w:tcBorders>
            <w:shd w:fill="FFF9E0" w:val="clear"/>
            <w:tcMar>
              <w:top w:type="dxa" w:w="80"/>
              <w:left w:type="dxa" w:w="160"/>
              <w:bottom w:type="dxa" w:w="80"/>
              <w:right w:type="dxa" w:w="160"/>
            </w:tcMar>
          </w:tcPr>
          <w:p>
            <w:pPr>
              <w:spacing w:after="0" w:before="0"/>
              <w:jc w:val="right"/>
            </w:pPr>
            <w:r>
              <w:rPr>
                <w:rFonts w:ascii="Arial" w:cs="Arial" w:eastAsia="Arial" w:hAnsi="Arial"/>
                <w:b w:val="false"/>
                <w:bCs w:val="false"/>
                <w:color w:val="333333"/>
                <w:sz w:val="20"/>
                <w:szCs w:val="20"/>
              </w:rPr>
              <w:t xml:space="preserve">£68.43</w:t>
            </w:r>
          </w:p>
        </w:tc>
        <w:tc>
          <w:tcPr>
            <w:tcW w:type="dxa" w:w="1624"/>
            <w:tcBorders>
              <w:top w:val="single" w:color="DDDDDD" w:sz="1"/>
              <w:left w:val="single" w:color="DDDDDD" w:sz="1"/>
              <w:bottom w:val="single" w:color="DDDDDD" w:sz="1"/>
              <w:right w:val="single" w:color="DDDDDD" w:sz="1"/>
            </w:tcBorders>
            <w:shd w:fill="FFF9E0" w:val="clear"/>
            <w:tcMar>
              <w:top w:type="dxa" w:w="80"/>
              <w:left w:type="dxa" w:w="160"/>
              <w:bottom w:type="dxa" w:w="80"/>
              <w:right w:type="dxa" w:w="160"/>
            </w:tcMar>
          </w:tcPr>
          <w:p>
            <w:pPr>
              <w:spacing w:after="0" w:before="0"/>
              <w:jc w:val="right"/>
            </w:pPr>
            <w:r>
              <w:rPr>
                <w:rFonts w:ascii="Arial" w:cs="Arial" w:eastAsia="Arial" w:hAnsi="Arial"/>
                <w:b w:val="false"/>
                <w:bCs w:val="false"/>
                <w:color w:val="333333"/>
                <w:sz w:val="20"/>
                <w:szCs w:val="20"/>
              </w:rPr>
              <w:t xml:space="preserve">£55,633.59</w:t>
            </w:r>
          </w:p>
        </w:tc>
        <w:tc>
          <w:tcPr>
            <w:tcW w:type="dxa" w:w="1356"/>
            <w:tcBorders>
              <w:top w:val="single" w:color="DDDDDD" w:sz="1"/>
              <w:left w:val="single" w:color="DDDDDD" w:sz="1"/>
              <w:bottom w:val="single" w:color="DDDDDD" w:sz="1"/>
              <w:right w:val="single" w:color="DDDDDD" w:sz="1"/>
            </w:tcBorders>
            <w:shd w:fill="FFF9E0" w:val="clear"/>
            <w:tcMar>
              <w:top w:type="dxa" w:w="80"/>
              <w:left w:type="dxa" w:w="160"/>
              <w:bottom w:type="dxa" w:w="80"/>
              <w:right w:type="dxa" w:w="160"/>
            </w:tcMar>
          </w:tcPr>
          <w:p>
            <w:pPr>
              <w:spacing w:after="0" w:before="0"/>
              <w:jc w:val="left"/>
            </w:pPr>
            <w:r>
              <w:rPr>
                <w:rFonts w:ascii="Arial" w:cs="Arial" w:eastAsia="Arial" w:hAnsi="Arial"/>
                <w:b w:val="false"/>
                <w:bCs w:val="false"/>
                <w:color w:val="333333"/>
                <w:sz w:val="20"/>
                <w:szCs w:val="20"/>
              </w:rPr>
              <w:t xml:space="preserve"/>
            </w:r>
          </w:p>
        </w:tc>
      </w:tr>
      <w:tr>
        <w:tc>
          <w:tcPr>
            <w:tcW w:type="dxa" w:w="3429"/>
            <w:tcBorders>
              <w:top w:val="single" w:color="DDDDDD" w:sz="1"/>
              <w:left w:val="single" w:color="DDDDDD" w:sz="1"/>
              <w:bottom w:val="single" w:color="DDDDDD" w:sz="1"/>
              <w:right w:val="single" w:color="DDDDDD" w:sz="1"/>
            </w:tcBorders>
            <w:shd w:fill="FFF9E0" w:val="clear"/>
            <w:tcMar>
              <w:top w:type="dxa" w:w="80"/>
              <w:left w:type="dxa" w:w="160"/>
              <w:bottom w:type="dxa" w:w="80"/>
              <w:right w:type="dxa" w:w="160"/>
            </w:tcMar>
          </w:tcPr>
          <w:p>
            <w:pPr>
              <w:spacing w:after="0" w:before="0"/>
              <w:jc w:val="left"/>
            </w:pPr>
            <w:r>
              <w:rPr>
                <w:rFonts w:ascii="Arial" w:cs="Arial" w:eastAsia="Arial" w:hAnsi="Arial"/>
                <w:b w:val="false"/>
                <w:bCs w:val="false"/>
                <w:color w:val="333333"/>
                <w:sz w:val="20"/>
                <w:szCs w:val="20"/>
              </w:rPr>
              <w:t xml:space="preserve">SUB-TOTAL</w:t>
            </w:r>
          </w:p>
        </w:tc>
        <w:tc>
          <w:tcPr>
            <w:tcW w:type="dxa" w:w="1173"/>
            <w:tcBorders>
              <w:top w:val="single" w:color="DDDDDD" w:sz="1"/>
              <w:left w:val="single" w:color="DDDDDD" w:sz="1"/>
              <w:bottom w:val="single" w:color="DDDDDD" w:sz="1"/>
              <w:right w:val="single" w:color="DDDDDD" w:sz="1"/>
            </w:tcBorders>
            <w:shd w:fill="FFF9E0" w:val="clear"/>
            <w:tcMar>
              <w:top w:type="dxa" w:w="80"/>
              <w:left w:type="dxa" w:w="160"/>
              <w:bottom w:type="dxa" w:w="80"/>
              <w:right w:type="dxa" w:w="160"/>
            </w:tcMar>
          </w:tcPr>
          <w:p>
            <w:pPr>
              <w:spacing w:after="0" w:before="0"/>
              <w:jc w:val="right"/>
            </w:pPr>
            <w:r>
              <w:rPr>
                <w:rFonts w:ascii="Arial" w:cs="Arial" w:eastAsia="Arial" w:hAnsi="Arial"/>
                <w:b w:val="false"/>
                <w:bCs w:val="false"/>
                <w:color w:val="333333"/>
                <w:sz w:val="20"/>
                <w:szCs w:val="20"/>
              </w:rPr>
              <w:t xml:space="preserve"/>
            </w:r>
          </w:p>
        </w:tc>
        <w:tc>
          <w:tcPr>
            <w:tcW w:type="dxa" w:w="1444"/>
            <w:tcBorders>
              <w:top w:val="single" w:color="DDDDDD" w:sz="1"/>
              <w:left w:val="single" w:color="DDDDDD" w:sz="1"/>
              <w:bottom w:val="single" w:color="DDDDDD" w:sz="1"/>
              <w:right w:val="single" w:color="DDDDDD" w:sz="1"/>
            </w:tcBorders>
            <w:shd w:fill="FFF9E0" w:val="clear"/>
            <w:tcMar>
              <w:top w:type="dxa" w:w="80"/>
              <w:left w:type="dxa" w:w="160"/>
              <w:bottom w:type="dxa" w:w="80"/>
              <w:right w:type="dxa" w:w="160"/>
            </w:tcMar>
          </w:tcPr>
          <w:p>
            <w:pPr>
              <w:spacing w:after="0" w:before="0"/>
              <w:jc w:val="right"/>
            </w:pPr>
            <w:r>
              <w:rPr>
                <w:rFonts w:ascii="Arial" w:cs="Arial" w:eastAsia="Arial" w:hAnsi="Arial"/>
                <w:b w:val="false"/>
                <w:bCs w:val="false"/>
                <w:color w:val="333333"/>
                <w:sz w:val="20"/>
                <w:szCs w:val="20"/>
              </w:rPr>
              <w:t xml:space="preserve"/>
            </w:r>
          </w:p>
        </w:tc>
        <w:tc>
          <w:tcPr>
            <w:tcW w:type="dxa" w:w="1624"/>
            <w:tcBorders>
              <w:top w:val="single" w:color="DDDDDD" w:sz="1"/>
              <w:left w:val="single" w:color="DDDDDD" w:sz="1"/>
              <w:bottom w:val="single" w:color="DDDDDD" w:sz="1"/>
              <w:right w:val="single" w:color="DDDDDD" w:sz="1"/>
            </w:tcBorders>
            <w:shd w:fill="FFF9E0" w:val="clear"/>
            <w:tcMar>
              <w:top w:type="dxa" w:w="80"/>
              <w:left w:type="dxa" w:w="160"/>
              <w:bottom w:type="dxa" w:w="80"/>
              <w:right w:type="dxa" w:w="160"/>
            </w:tcMar>
          </w:tcPr>
          <w:p>
            <w:pPr>
              <w:spacing w:after="0" w:before="0"/>
              <w:jc w:val="right"/>
            </w:pPr>
            <w:r>
              <w:rPr>
                <w:rFonts w:ascii="Arial" w:cs="Arial" w:eastAsia="Arial" w:hAnsi="Arial"/>
                <w:b w:val="false"/>
                <w:bCs w:val="false"/>
                <w:color w:val="333333"/>
                <w:sz w:val="20"/>
                <w:szCs w:val="20"/>
              </w:rPr>
              <w:t xml:space="preserve">£3,543,810.09</w:t>
            </w:r>
          </w:p>
        </w:tc>
        <w:tc>
          <w:tcPr>
            <w:tcW w:type="dxa" w:w="1356"/>
            <w:tcBorders>
              <w:top w:val="single" w:color="DDDDDD" w:sz="1"/>
              <w:left w:val="single" w:color="DDDDDD" w:sz="1"/>
              <w:bottom w:val="single" w:color="DDDDDD" w:sz="1"/>
              <w:right w:val="single" w:color="DDDDDD" w:sz="1"/>
            </w:tcBorders>
            <w:shd w:fill="FFF9E0" w:val="clear"/>
            <w:tcMar>
              <w:top w:type="dxa" w:w="80"/>
              <w:left w:type="dxa" w:w="160"/>
              <w:bottom w:type="dxa" w:w="80"/>
              <w:right w:type="dxa" w:w="160"/>
            </w:tcMar>
          </w:tcPr>
          <w:p>
            <w:pPr>
              <w:spacing w:after="0" w:before="0"/>
              <w:jc w:val="left"/>
            </w:pPr>
            <w:r>
              <w:rPr>
                <w:rFonts w:ascii="Arial" w:cs="Arial" w:eastAsia="Arial" w:hAnsi="Arial"/>
                <w:b w:val="false"/>
                <w:bCs w:val="false"/>
                <w:color w:val="333333"/>
                <w:sz w:val="20"/>
                <w:szCs w:val="20"/>
              </w:rPr>
              <w:t xml:space="preserve"/>
            </w:r>
          </w:p>
        </w:tc>
      </w:tr>
      <w:tr>
        <w:tc>
          <w:tcPr>
            <w:tcW w:type="dxa" w:w="3429"/>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spacing w:after="0" w:before="0"/>
              <w:jc w:val="left"/>
            </w:pPr>
            <w:r>
              <w:rPr>
                <w:rFonts w:ascii="Arial" w:cs="Arial" w:eastAsia="Arial" w:hAnsi="Arial"/>
                <w:b w:val="false"/>
                <w:bCs w:val="false"/>
                <w:color w:val="333333"/>
                <w:sz w:val="20"/>
                <w:szCs w:val="20"/>
              </w:rPr>
              <w:t xml:space="preserve">2.5% MCD Discount</w:t>
            </w:r>
          </w:p>
        </w:tc>
        <w:tc>
          <w:tcPr>
            <w:tcW w:type="dxa" w:w="1173"/>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spacing w:after="0" w:before="0"/>
              <w:jc w:val="right"/>
            </w:pPr>
            <w:r>
              <w:rPr>
                <w:rFonts w:ascii="Arial" w:cs="Arial" w:eastAsia="Arial" w:hAnsi="Arial"/>
                <w:b w:val="false"/>
                <w:bCs w:val="false"/>
                <w:color w:val="333333"/>
                <w:sz w:val="20"/>
                <w:szCs w:val="20"/>
              </w:rPr>
              <w:t xml:space="preserve"/>
            </w:r>
          </w:p>
        </w:tc>
        <w:tc>
          <w:tcPr>
            <w:tcW w:type="dxa" w:w="1444"/>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spacing w:after="0" w:before="0"/>
              <w:jc w:val="right"/>
            </w:pPr>
            <w:r>
              <w:rPr>
                <w:rFonts w:ascii="Arial" w:cs="Arial" w:eastAsia="Arial" w:hAnsi="Arial"/>
                <w:b w:val="false"/>
                <w:bCs w:val="false"/>
                <w:color w:val="333333"/>
                <w:sz w:val="20"/>
                <w:szCs w:val="20"/>
              </w:rPr>
              <w:t xml:space="preserve"/>
            </w:r>
          </w:p>
        </w:tc>
        <w:tc>
          <w:tcPr>
            <w:tcW w:type="dxa" w:w="1624"/>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spacing w:after="0" w:before="0"/>
              <w:jc w:val="right"/>
            </w:pPr>
            <w:r>
              <w:rPr>
                <w:rFonts w:ascii="Arial" w:cs="Arial" w:eastAsia="Arial" w:hAnsi="Arial"/>
                <w:b w:val="false"/>
                <w:bCs w:val="false"/>
                <w:color w:val="333333"/>
                <w:sz w:val="20"/>
                <w:szCs w:val="20"/>
              </w:rPr>
              <w:t xml:space="preserve">-£88,595.25</w:t>
            </w:r>
          </w:p>
        </w:tc>
        <w:tc>
          <w:tcPr>
            <w:tcW w:type="dxa" w:w="1356"/>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spacing w:after="0" w:before="0"/>
              <w:jc w:val="left"/>
            </w:pPr>
            <w:r>
              <w:rPr>
                <w:rFonts w:ascii="Arial" w:cs="Arial" w:eastAsia="Arial" w:hAnsi="Arial"/>
                <w:b w:val="false"/>
                <w:bCs w:val="false"/>
                <w:color w:val="333333"/>
                <w:sz w:val="20"/>
                <w:szCs w:val="20"/>
              </w:rPr>
              <w:t xml:space="preserve"/>
            </w:r>
          </w:p>
        </w:tc>
      </w:tr>
      <w:tr>
        <w:tc>
          <w:tcPr>
            <w:tcW w:type="dxa" w:w="6046"/>
            <w:gridSpan w:val="3"/>
            <w:tcBorders>
              <w:top w:val="single" w:color="1A1A2E" w:sz="1"/>
              <w:left w:val="single" w:color="1A1A2E" w:sz="1"/>
              <w:bottom w:val="single" w:color="1A1A2E" w:sz="1"/>
              <w:right w:val="single" w:color="1A1A2E" w:sz="1"/>
            </w:tcBorders>
            <w:shd w:fill="1A1A2E" w:val="clear"/>
            <w:tcMar>
              <w:top w:type="dxa" w:w="100"/>
              <w:left w:type="dxa" w:w="160"/>
              <w:bottom w:type="dxa" w:w="100"/>
              <w:right w:type="dxa" w:w="160"/>
            </w:tcMar>
          </w:tcPr>
          <w:p>
            <w:pPr>
              <w:spacing w:after="0" w:before="0"/>
            </w:pPr>
            <w:r>
              <w:rPr>
                <w:rFonts w:ascii="Arial" w:cs="Arial" w:eastAsia="Arial" w:hAnsi="Arial"/>
                <w:b/>
                <w:bCs/>
                <w:color w:val="FFFFFF"/>
                <w:sz w:val="22"/>
                <w:szCs w:val="22"/>
              </w:rPr>
              <w:t xml:space="preserve">INDICATIVE TOTAL (excl. VAT)</w:t>
            </w:r>
          </w:p>
        </w:tc>
        <w:tc>
          <w:tcPr>
            <w:tcW w:type="dxa" w:w="2980"/>
            <w:gridSpan w:val="2"/>
            <w:tcBorders>
              <w:top w:val="single" w:color="1A1A2E" w:sz="1"/>
              <w:left w:val="single" w:color="1A1A2E" w:sz="1"/>
              <w:bottom w:val="single" w:color="1A1A2E" w:sz="1"/>
              <w:right w:val="single" w:color="1A1A2E" w:sz="1"/>
            </w:tcBorders>
            <w:shd w:fill="E8C547" w:val="clear"/>
            <w:tcMar>
              <w:top w:type="dxa" w:w="100"/>
              <w:left w:type="dxa" w:w="160"/>
              <w:bottom w:type="dxa" w:w="100"/>
              <w:right w:type="dxa" w:w="160"/>
            </w:tcMar>
          </w:tcPr>
          <w:p>
            <w:pPr>
              <w:spacing w:after="0" w:before="0"/>
              <w:jc w:val="right"/>
            </w:pPr>
            <w:r>
              <w:rPr>
                <w:rFonts w:ascii="Arial" w:cs="Arial" w:eastAsia="Arial" w:hAnsi="Arial"/>
                <w:b/>
                <w:bCs/>
                <w:color w:val="1A1A2E"/>
                <w:sz w:val="22"/>
                <w:szCs w:val="22"/>
              </w:rPr>
              <w:t xml:space="preserve">£3,455,214.84</w:t>
            </w:r>
          </w:p>
        </w:tc>
      </w:tr>
      <w:tr>
        <w:tc>
          <w:tcPr>
            <w:tcW w:type="dxa" w:w="3429"/>
            <w:tcBorders>
              <w:top w:val="single" w:color="DDDDDD" w:sz="1"/>
              <w:left w:val="single" w:color="DDDDDD" w:sz="1"/>
              <w:bottom w:val="single" w:color="DDDDDD" w:sz="1"/>
              <w:right w:val="single" w:color="DDDDDD" w:sz="1"/>
            </w:tcBorders>
            <w:shd w:fill="F7F5F0" w:val="clear"/>
            <w:tcMar>
              <w:top w:type="dxa" w:w="80"/>
              <w:left w:type="dxa" w:w="160"/>
              <w:bottom w:type="dxa" w:w="80"/>
              <w:right w:type="dxa" w:w="160"/>
            </w:tcMar>
          </w:tcPr>
          <w:p>
            <w:pPr>
              <w:spacing w:after="0" w:before="0"/>
              <w:jc w:val="left"/>
            </w:pPr>
            <w:r>
              <w:rPr>
                <w:rFonts w:ascii="Arial" w:cs="Arial" w:eastAsia="Arial" w:hAnsi="Arial"/>
                <w:b w:val="false"/>
                <w:bCs w:val="false"/>
                <w:color w:val="333333"/>
                <w:sz w:val="20"/>
                <w:szCs w:val="20"/>
              </w:rPr>
              <w:t xml:space="preserve">Indicative cost per bedroom</w:t>
            </w:r>
          </w:p>
        </w:tc>
        <w:tc>
          <w:tcPr>
            <w:tcW w:type="dxa" w:w="1173"/>
            <w:tcBorders>
              <w:top w:val="single" w:color="DDDDDD" w:sz="1"/>
              <w:left w:val="single" w:color="DDDDDD" w:sz="1"/>
              <w:bottom w:val="single" w:color="DDDDDD" w:sz="1"/>
              <w:right w:val="single" w:color="DDDDDD" w:sz="1"/>
            </w:tcBorders>
            <w:shd w:fill="F7F5F0" w:val="clear"/>
            <w:tcMar>
              <w:top w:type="dxa" w:w="80"/>
              <w:left w:type="dxa" w:w="160"/>
              <w:bottom w:type="dxa" w:w="80"/>
              <w:right w:type="dxa" w:w="160"/>
            </w:tcMar>
          </w:tcPr>
          <w:p>
            <w:pPr>
              <w:spacing w:after="0" w:before="0"/>
              <w:jc w:val="right"/>
            </w:pPr>
            <w:r>
              <w:rPr>
                <w:rFonts w:ascii="Arial" w:cs="Arial" w:eastAsia="Arial" w:hAnsi="Arial"/>
                <w:b w:val="false"/>
                <w:bCs w:val="false"/>
                <w:color w:val="333333"/>
                <w:sz w:val="20"/>
                <w:szCs w:val="20"/>
              </w:rPr>
              <w:t xml:space="preserve"/>
            </w:r>
          </w:p>
        </w:tc>
        <w:tc>
          <w:tcPr>
            <w:tcW w:type="dxa" w:w="1444"/>
            <w:tcBorders>
              <w:top w:val="single" w:color="DDDDDD" w:sz="1"/>
              <w:left w:val="single" w:color="DDDDDD" w:sz="1"/>
              <w:bottom w:val="single" w:color="DDDDDD" w:sz="1"/>
              <w:right w:val="single" w:color="DDDDDD" w:sz="1"/>
            </w:tcBorders>
            <w:shd w:fill="F7F5F0" w:val="clear"/>
            <w:tcMar>
              <w:top w:type="dxa" w:w="80"/>
              <w:left w:type="dxa" w:w="160"/>
              <w:bottom w:type="dxa" w:w="80"/>
              <w:right w:type="dxa" w:w="160"/>
            </w:tcMar>
          </w:tcPr>
          <w:p>
            <w:pPr>
              <w:spacing w:after="0" w:before="0"/>
              <w:jc w:val="right"/>
            </w:pPr>
            <w:r>
              <w:rPr>
                <w:rFonts w:ascii="Arial" w:cs="Arial" w:eastAsia="Arial" w:hAnsi="Arial"/>
                <w:b w:val="false"/>
                <w:bCs w:val="false"/>
                <w:color w:val="333333"/>
                <w:sz w:val="20"/>
                <w:szCs w:val="20"/>
              </w:rPr>
              <w:t xml:space="preserve"/>
            </w:r>
          </w:p>
        </w:tc>
        <w:tc>
          <w:tcPr>
            <w:tcW w:type="dxa" w:w="1624"/>
            <w:tcBorders>
              <w:top w:val="single" w:color="DDDDDD" w:sz="1"/>
              <w:left w:val="single" w:color="DDDDDD" w:sz="1"/>
              <w:bottom w:val="single" w:color="DDDDDD" w:sz="1"/>
              <w:right w:val="single" w:color="DDDDDD" w:sz="1"/>
            </w:tcBorders>
            <w:shd w:fill="F7F5F0" w:val="clear"/>
            <w:tcMar>
              <w:top w:type="dxa" w:w="80"/>
              <w:left w:type="dxa" w:w="160"/>
              <w:bottom w:type="dxa" w:w="80"/>
              <w:right w:type="dxa" w:w="160"/>
            </w:tcMar>
          </w:tcPr>
          <w:p>
            <w:pPr>
              <w:spacing w:after="0" w:before="0"/>
              <w:jc w:val="right"/>
            </w:pPr>
            <w:r>
              <w:rPr>
                <w:rFonts w:ascii="Arial" w:cs="Arial" w:eastAsia="Arial" w:hAnsi="Arial"/>
                <w:b w:val="false"/>
                <w:bCs w:val="false"/>
                <w:color w:val="333333"/>
                <w:sz w:val="20"/>
                <w:szCs w:val="20"/>
              </w:rPr>
              <w:t xml:space="preserve">£4,290.50</w:t>
            </w:r>
          </w:p>
        </w:tc>
        <w:tc>
          <w:tcPr>
            <w:tcW w:type="dxa" w:w="1356"/>
            <w:tcBorders>
              <w:top w:val="single" w:color="DDDDDD" w:sz="1"/>
              <w:left w:val="single" w:color="DDDDDD" w:sz="1"/>
              <w:bottom w:val="single" w:color="DDDDDD" w:sz="1"/>
              <w:right w:val="single" w:color="DDDDDD" w:sz="1"/>
            </w:tcBorders>
            <w:shd w:fill="F7F5F0" w:val="clear"/>
            <w:tcMar>
              <w:top w:type="dxa" w:w="80"/>
              <w:left w:type="dxa" w:w="160"/>
              <w:bottom w:type="dxa" w:w="80"/>
              <w:right w:type="dxa" w:w="160"/>
            </w:tcMar>
          </w:tcPr>
          <w:p>
            <w:pPr>
              <w:spacing w:after="0" w:before="0"/>
              <w:jc w:val="left"/>
            </w:pPr>
            <w:r>
              <w:rPr>
                <w:rFonts w:ascii="Arial" w:cs="Arial" w:eastAsia="Arial" w:hAnsi="Arial"/>
                <w:b w:val="false"/>
                <w:bCs w:val="false"/>
                <w:color w:val="333333"/>
                <w:sz w:val="20"/>
                <w:szCs w:val="20"/>
              </w:rPr>
              <w:t xml:space="preserve"/>
            </w:r>
          </w:p>
        </w:tc>
      </w:tr>
    </w:tbl>
    <w:p>
      <w:pPr>
        <w:spacing w:after="80" w:before="0"/>
      </w:pPr>
      <w:r>
        <w:rPr>
          <w:rFonts w:ascii="Arial" w:cs="Arial" w:eastAsia="Arial" w:hAnsi="Arial"/>
          <w:color w:val="333333"/>
          <w:sz w:val="22"/>
          <w:szCs w:val="22"/>
        </w:rPr>
        <w:t xml:space="preserve"/>
      </w:r>
    </w:p>
    <w:p>
      <w:pPr>
        <w:pStyle w:val="Heading2"/>
        <w:spacing w:after="80" w:before="280"/>
      </w:pPr>
      <w:r>
        <w:rPr>
          <w:rFonts w:ascii="Arial" w:cs="Arial" w:eastAsia="Arial" w:hAnsi="Arial"/>
          <w:b/>
          <w:bCs/>
          <w:color w:val="1A1A2E"/>
          <w:sz w:val="24"/>
          <w:szCs w:val="24"/>
        </w:rPr>
        <w:t xml:space="preserve">Assumed room split (basis of estimate)</w:t>
      </w:r>
    </w:p>
    <w:p>
      <w:pPr>
        <w:tabs>
          <w:tab w:val="left" w:pos="2800"/>
        </w:tabs>
        <w:spacing w:after="80" w:before="0"/>
      </w:pPr>
      <w:r>
        <w:rPr>
          <w:rFonts w:ascii="Arial" w:cs="Arial" w:eastAsia="Arial" w:hAnsi="Arial"/>
          <w:b/>
          <w:bCs/>
          <w:color w:val="1A1A2E"/>
          <w:sz w:val="22"/>
          <w:szCs w:val="22"/>
        </w:rPr>
        <w:t xml:space="preserve">Standard Studios (assumed)</w:t>
      </w:r>
      <w:r>
        <w:rPr>
          <w:rFonts w:ascii="Arial" w:cs="Arial" w:eastAsia="Arial" w:hAnsi="Arial"/>
        </w:rPr>
        <w:t xml:space="preserve">	</w:t>
      </w:r>
      <w:r>
        <w:rPr>
          <w:rFonts w:ascii="Arial" w:cs="Arial" w:eastAsia="Arial" w:hAnsi="Arial"/>
          <w:b w:val="false"/>
          <w:bCs w:val="false"/>
          <w:color w:val="333333"/>
          <w:sz w:val="22"/>
          <w:szCs w:val="22"/>
        </w:rPr>
        <w:t xml:space="preserve">813</w:t>
      </w:r>
    </w:p>
    <w:p>
      <w:pPr>
        <w:spacing w:after="80" w:before="0"/>
      </w:pPr>
      <w:r>
        <w:rPr>
          <w:rFonts w:ascii="Arial" w:cs="Arial" w:eastAsia="Arial" w:hAnsi="Arial"/>
          <w:color w:val="333333"/>
          <w:sz w:val="22"/>
          <w:szCs w:val="22"/>
        </w:rPr>
        <w:t xml:space="preserve"/>
      </w:r>
    </w:p>
    <w:p>
      <w:pPr>
        <w:spacing w:after="150" w:before="0"/>
      </w:pPr>
      <w:r>
        <w:rPr>
          <w:rFonts w:ascii="Arial" w:cs="Arial" w:eastAsia="Arial" w:hAnsi="Arial"/>
          <w:color w:val="333333"/>
          <w:sz w:val="22"/>
          <w:szCs w:val="22"/>
        </w:rPr>
        <w:t xml:space="preserve">All studio format: 399 PBSA studios + 414 co-living studios. No cluster KLDs — all self-contained units.</w:t>
      </w:r>
    </w:p>
    <w:p>
      <w:pPr>
        <w:spacing w:after="120" w:before="0"/>
      </w:pPr>
      <w:r>
        <w:rPr>
          <w:rFonts w:ascii="Arial" w:cs="Arial" w:eastAsia="Arial" w:hAnsi="Arial"/>
          <w:color w:val="333333"/>
          <w:sz w:val="22"/>
          <w:szCs w:val="22"/>
        </w:rPr>
        <w:t xml:space="preserve"/>
      </w:r>
    </w:p>
    <w:p>
      <w:pPr>
        <w:pBdr>
          <w:bottom w:val="single" w:color="E8C547" w:sz="4"/>
        </w:pBdr>
        <w:spacing w:after="80" w:before="80"/>
      </w:pPr>
      <w:r>
        <w:rPr>
          <w:rFonts w:ascii="Arial" w:cs="Arial" w:eastAsia="Arial" w:hAnsi="Arial"/>
          <w:color w:val="333333"/>
          <w:sz w:val="22"/>
          <w:szCs w:val="22"/>
        </w:rPr>
        <w:t xml:space="preserve"/>
      </w:r>
    </w:p>
    <w:p>
      <w:r>
        <w:br w:type="page"/>
      </w:r>
    </w:p>
    <w:p>
      <w:pPr>
        <w:spacing w:after="60" w:before="0"/>
      </w:pPr>
      <w:r>
        <w:rPr>
          <w:rFonts w:ascii="Arial" w:cs="Arial" w:eastAsia="Arial" w:hAnsi="Arial"/>
          <w:b/>
          <w:bCs/>
          <w:color w:val="7F8C8D"/>
          <w:sz w:val="18"/>
          <w:szCs w:val="18"/>
        </w:rPr>
        <w:t xml:space="preserve">Scheme Priority 2</w:t>
      </w:r>
    </w:p>
    <w:p>
      <w:pPr>
        <w:spacing w:after="60" w:before="0"/>
      </w:pPr>
      <w:r>
        <w:rPr>
          <w:rFonts w:ascii="Arial" w:cs="Arial" w:eastAsia="Arial" w:hAnsi="Arial"/>
          <w:b/>
          <w:bCs/>
          <w:color w:val="1A1A2E"/>
          <w:sz w:val="22"/>
          <w:szCs w:val="22"/>
        </w:rPr>
        <w:t xml:space="preserve">PBSA — UNIVERSITY DIRECT </w:t>
      </w:r>
      <w:r>
        <w:rPr>
          <w:rFonts w:ascii="Arial" w:cs="Arial" w:eastAsia="Arial" w:hAnsi="Arial"/>
          <w:color w:val="7F8C8D"/>
          <w:sz w:val="19"/>
          <w:szCs w:val="19"/>
        </w:rPr>
        <w:t xml:space="preserve">High — approved 6 weeks ago, delivery partner procurement underway</w:t>
      </w:r>
    </w:p>
    <w:p>
      <w:pPr>
        <w:spacing w:after="80" w:before="0"/>
      </w:pPr>
      <w:r>
        <w:rPr>
          <w:rFonts w:ascii="Arial" w:cs="Arial" w:eastAsia="Arial" w:hAnsi="Arial"/>
          <w:b/>
          <w:bCs/>
          <w:color w:val="1A1A2E"/>
          <w:sz w:val="36"/>
          <w:szCs w:val="36"/>
        </w:rPr>
        <w:t xml:space="preserve">University of Bath Campus, Claverton Down, Bath</w:t>
      </w:r>
    </w:p>
    <w:p>
      <w:pPr>
        <w:pBdr>
          <w:bottom w:val="single" w:color="E8C547" w:sz="6"/>
        </w:pBdr>
        <w:spacing w:after="120" w:before="0"/>
      </w:pPr>
      <w:r>
        <w:rPr>
          <w:rFonts w:ascii="Arial" w:cs="Arial" w:eastAsia="Arial" w:hAnsi="Arial"/>
          <w:color w:val="333333"/>
          <w:sz w:val="22"/>
          <w:szCs w:val="22"/>
        </w:rPr>
        <w:t xml:space="preserve"/>
      </w:r>
    </w:p>
    <w:p>
      <w:pPr>
        <w:spacing w:after="80" w:before="0"/>
      </w:pPr>
      <w:r>
        <w:rPr>
          <w:rFonts w:ascii="Arial" w:cs="Arial" w:eastAsia="Arial" w:hAnsi="Arial"/>
          <w:color w:val="333333"/>
          <w:sz w:val="22"/>
          <w:szCs w:val="22"/>
        </w:rPr>
        <w:t xml:space="preserve"/>
      </w:r>
    </w:p>
    <w:p>
      <w:pPr>
        <w:pStyle w:val="Heading2"/>
        <w:spacing w:after="80" w:before="280"/>
      </w:pPr>
      <w:r>
        <w:rPr>
          <w:rFonts w:ascii="Arial" w:cs="Arial" w:eastAsia="Arial" w:hAnsi="Arial"/>
          <w:b/>
          <w:bCs/>
          <w:color w:val="1A1A2E"/>
          <w:sz w:val="24"/>
          <w:szCs w:val="24"/>
        </w:rPr>
        <w:t xml:space="preserve">Planning application</w:t>
      </w:r>
    </w:p>
    <w:p>
      <w:pPr>
        <w:tabs>
          <w:tab w:val="left" w:pos="2800"/>
        </w:tabs>
        <w:spacing w:after="80" w:before="0"/>
      </w:pPr>
      <w:r>
        <w:rPr>
          <w:rFonts w:ascii="Arial" w:cs="Arial" w:eastAsia="Arial" w:hAnsi="Arial"/>
          <w:b/>
          <w:bCs/>
          <w:color w:val="1A1A2E"/>
          <w:sz w:val="22"/>
          <w:szCs w:val="22"/>
        </w:rPr>
        <w:t xml:space="preserve">Planning reference</w:t>
      </w:r>
      <w:r>
        <w:rPr>
          <w:rFonts w:ascii="Arial" w:cs="Arial" w:eastAsia="Arial" w:hAnsi="Arial"/>
        </w:rPr>
        <w:t xml:space="preserve">	</w:t>
      </w:r>
      <w:r>
        <w:rPr>
          <w:rFonts w:ascii="Arial" w:cs="Arial" w:eastAsia="Arial" w:hAnsi="Arial"/>
          <w:b/>
          <w:bCs/>
          <w:color w:val="333333"/>
          <w:sz w:val="22"/>
          <w:szCs w:val="22"/>
        </w:rPr>
        <w:t xml:space="preserve">25/03757/EFUL</w:t>
      </w:r>
    </w:p>
    <w:p>
      <w:pPr>
        <w:tabs>
          <w:tab w:val="left" w:pos="2800"/>
        </w:tabs>
        <w:spacing w:after="80" w:before="0"/>
      </w:pPr>
      <w:r>
        <w:rPr>
          <w:rFonts w:ascii="Arial" w:cs="Arial" w:eastAsia="Arial" w:hAnsi="Arial"/>
          <w:b/>
          <w:bCs/>
          <w:color w:val="1A1A2E"/>
          <w:sz w:val="22"/>
          <w:szCs w:val="22"/>
        </w:rPr>
        <w:t xml:space="preserve">Address</w:t>
      </w:r>
      <w:r>
        <w:rPr>
          <w:rFonts w:ascii="Arial" w:cs="Arial" w:eastAsia="Arial" w:hAnsi="Arial"/>
        </w:rPr>
        <w:t xml:space="preserve">	</w:t>
      </w:r>
      <w:r>
        <w:rPr>
          <w:rFonts w:ascii="Arial" w:cs="Arial" w:eastAsia="Arial" w:hAnsi="Arial"/>
          <w:b w:val="false"/>
          <w:bCs w:val="false"/>
          <w:color w:val="333333"/>
          <w:sz w:val="22"/>
          <w:szCs w:val="22"/>
        </w:rPr>
        <w:t xml:space="preserve">Claverton Down Campus, Bath BA2 7AY</w:t>
      </w:r>
    </w:p>
    <w:p>
      <w:pPr>
        <w:tabs>
          <w:tab w:val="left" w:pos="2800"/>
        </w:tabs>
        <w:spacing w:after="80" w:before="0"/>
      </w:pPr>
      <w:r>
        <w:rPr>
          <w:rFonts w:ascii="Arial" w:cs="Arial" w:eastAsia="Arial" w:hAnsi="Arial"/>
          <w:b/>
          <w:bCs/>
          <w:color w:val="1A1A2E"/>
          <w:sz w:val="22"/>
          <w:szCs w:val="22"/>
        </w:rPr>
        <w:t xml:space="preserve">Developer</w:t>
      </w:r>
      <w:r>
        <w:rPr>
          <w:rFonts w:ascii="Arial" w:cs="Arial" w:eastAsia="Arial" w:hAnsi="Arial"/>
        </w:rPr>
        <w:t xml:space="preserve">	</w:t>
      </w:r>
      <w:r>
        <w:rPr>
          <w:rFonts w:ascii="Arial" w:cs="Arial" w:eastAsia="Arial" w:hAnsi="Arial"/>
          <w:b w:val="false"/>
          <w:bCs w:val="false"/>
          <w:color w:val="333333"/>
          <w:sz w:val="22"/>
          <w:szCs w:val="22"/>
        </w:rPr>
        <w:t xml:space="preserve">University of Bath (Dr Ghazwa Alwani-Starr, COO)</w:t>
      </w:r>
    </w:p>
    <w:p>
      <w:pPr>
        <w:tabs>
          <w:tab w:val="left" w:pos="2800"/>
        </w:tabs>
        <w:spacing w:after="80" w:before="0"/>
      </w:pPr>
      <w:r>
        <w:rPr>
          <w:rFonts w:ascii="Arial" w:cs="Arial" w:eastAsia="Arial" w:hAnsi="Arial"/>
          <w:b/>
          <w:bCs/>
          <w:color w:val="1A1A2E"/>
          <w:sz w:val="22"/>
          <w:szCs w:val="22"/>
        </w:rPr>
        <w:t xml:space="preserve">Architect</w:t>
      </w:r>
      <w:r>
        <w:rPr>
          <w:rFonts w:ascii="Arial" w:cs="Arial" w:eastAsia="Arial" w:hAnsi="Arial"/>
        </w:rPr>
        <w:t xml:space="preserve">	</w:t>
      </w:r>
      <w:r>
        <w:rPr>
          <w:rFonts w:ascii="Arial" w:cs="Arial" w:eastAsia="Arial" w:hAnsi="Arial"/>
          <w:b w:val="false"/>
          <w:bCs w:val="false"/>
          <w:color w:val="333333"/>
          <w:sz w:val="22"/>
          <w:szCs w:val="22"/>
        </w:rPr>
        <w:t xml:space="preserve">Not publicly confirmed</w:t>
      </w:r>
    </w:p>
    <w:p>
      <w:pPr>
        <w:tabs>
          <w:tab w:val="left" w:pos="2800"/>
        </w:tabs>
        <w:spacing w:after="80" w:before="0"/>
      </w:pPr>
      <w:r>
        <w:rPr>
          <w:rFonts w:ascii="Arial" w:cs="Arial" w:eastAsia="Arial" w:hAnsi="Arial"/>
          <w:b/>
          <w:bCs/>
          <w:color w:val="1A1A2E"/>
          <w:sz w:val="22"/>
          <w:szCs w:val="22"/>
        </w:rPr>
        <w:t xml:space="preserve">LPA</w:t>
      </w:r>
      <w:r>
        <w:rPr>
          <w:rFonts w:ascii="Arial" w:cs="Arial" w:eastAsia="Arial" w:hAnsi="Arial"/>
        </w:rPr>
        <w:t xml:space="preserve">	</w:t>
      </w:r>
      <w:r>
        <w:rPr>
          <w:rFonts w:ascii="Arial" w:cs="Arial" w:eastAsia="Arial" w:hAnsi="Arial"/>
          <w:b w:val="false"/>
          <w:bCs w:val="false"/>
          <w:color w:val="333333"/>
          <w:sz w:val="22"/>
          <w:szCs w:val="22"/>
        </w:rPr>
        <w:t xml:space="preserve">Bath &amp; North East Somerset Council</w:t>
      </w:r>
    </w:p>
    <w:p>
      <w:pPr>
        <w:tabs>
          <w:tab w:val="left" w:pos="2800"/>
        </w:tabs>
        <w:spacing w:after="80" w:before="0"/>
      </w:pPr>
      <w:r>
        <w:rPr>
          <w:rFonts w:ascii="Arial" w:cs="Arial" w:eastAsia="Arial" w:hAnsi="Arial"/>
          <w:b/>
          <w:bCs/>
          <w:color w:val="1A1A2E"/>
          <w:sz w:val="22"/>
          <w:szCs w:val="22"/>
        </w:rPr>
        <w:t xml:space="preserve">Status</w:t>
      </w:r>
      <w:r>
        <w:rPr>
          <w:rFonts w:ascii="Arial" w:cs="Arial" w:eastAsia="Arial" w:hAnsi="Arial"/>
        </w:rPr>
        <w:t xml:space="preserve">	</w:t>
      </w:r>
      <w:r>
        <w:rPr>
          <w:rFonts w:ascii="Arial" w:cs="Arial" w:eastAsia="Arial" w:hAnsi="Arial"/>
          <w:b w:val="false"/>
          <w:bCs w:val="false"/>
          <w:color w:val="333333"/>
          <w:sz w:val="22"/>
          <w:szCs w:val="22"/>
        </w:rPr>
        <w:t xml:space="preserve">Approved 15 April 2026</w:t>
      </w:r>
    </w:p>
    <w:p>
      <w:pPr>
        <w:tabs>
          <w:tab w:val="left" w:pos="2800"/>
        </w:tabs>
        <w:spacing w:after="80" w:before="0"/>
      </w:pPr>
      <w:r>
        <w:rPr>
          <w:rFonts w:ascii="Arial" w:cs="Arial" w:eastAsia="Arial" w:hAnsi="Arial"/>
          <w:b/>
          <w:bCs/>
          <w:color w:val="1A1A2E"/>
          <w:sz w:val="22"/>
          <w:szCs w:val="22"/>
        </w:rPr>
        <w:t xml:space="preserve">Portal</w:t>
      </w:r>
      <w:r>
        <w:rPr>
          <w:rFonts w:ascii="Arial" w:cs="Arial" w:eastAsia="Arial" w:hAnsi="Arial"/>
        </w:rPr>
        <w:t xml:space="preserve">	</w:t>
      </w:r>
      <w:r>
        <w:rPr>
          <w:rFonts w:ascii="Arial" w:cs="Arial" w:eastAsia="Arial" w:hAnsi="Arial"/>
          <w:b w:val="false"/>
          <w:bCs w:val="false"/>
          <w:color w:val="333333"/>
          <w:sz w:val="22"/>
          <w:szCs w:val="22"/>
        </w:rPr>
        <w:t xml:space="preserve">25/03757/EFUL — B&amp;NES Council planning portal. Procurement contact: Lester Hayward, University of Bath, l.hayward@bath.ac.uk, 01225 384822</w:t>
      </w:r>
    </w:p>
    <w:p>
      <w:pPr>
        <w:spacing w:after="100" w:before="0"/>
      </w:pPr>
      <w:r>
        <w:rPr>
          <w:rFonts w:ascii="Arial" w:cs="Arial" w:eastAsia="Arial" w:hAnsi="Arial"/>
          <w:color w:val="333333"/>
          <w:sz w:val="22"/>
          <w:szCs w:val="22"/>
        </w:rPr>
        <w:t xml:space="preserve"/>
      </w:r>
    </w:p>
    <w:p>
      <w:pPr>
        <w:pStyle w:val="Heading2"/>
        <w:spacing w:after="80" w:before="280"/>
      </w:pPr>
      <w:r>
        <w:rPr>
          <w:rFonts w:ascii="Arial" w:cs="Arial" w:eastAsia="Arial" w:hAnsi="Arial"/>
          <w:b/>
          <w:bCs/>
          <w:color w:val="1A1A2E"/>
          <w:sz w:val="24"/>
          <w:szCs w:val="24"/>
        </w:rPr>
        <w:t xml:space="preserve">Classification</w:t>
      </w:r>
    </w:p>
    <w:p>
      <w:pPr>
        <w:spacing w:after="150" w:before="0"/>
      </w:pPr>
      <w:r>
        <w:rPr>
          <w:rFonts w:ascii="Arial" w:cs="Arial" w:eastAsia="Arial" w:hAnsi="Arial"/>
          <w:color w:val="333333"/>
          <w:sz w:val="22"/>
          <w:szCs w:val="22"/>
        </w:rPr>
        <w:t xml:space="preserve">The University of Bath is delivering 926 student bedrooms across 8 blocks on its Claverton Down campus sports pitches — the single largest PBSA approval in the South West in 2026. This is university-direct procurement: the University published a preliminary market engagement notice in May 2025 seeking a Delivery Partner for the £100m+ contract. Planning was approved 15 April 2026. The contract delivery window is April 2026 - October 2028.</w:t>
      </w:r>
    </w:p>
    <w:p>
      <w:pPr>
        <w:spacing w:after="100" w:before="0"/>
      </w:pPr>
      <w:r>
        <w:rPr>
          <w:rFonts w:ascii="Arial" w:cs="Arial" w:eastAsia="Arial" w:hAnsi="Arial"/>
          <w:color w:val="333333"/>
          <w:sz w:val="22"/>
          <w:szCs w:val="22"/>
        </w:rPr>
        <w:t xml:space="preserve"/>
      </w:r>
    </w:p>
    <w:p>
      <w:pPr>
        <w:pStyle w:val="Heading2"/>
        <w:spacing w:after="80" w:before="280"/>
      </w:pPr>
      <w:r>
        <w:rPr>
          <w:rFonts w:ascii="Arial" w:cs="Arial" w:eastAsia="Arial" w:hAnsi="Arial"/>
          <w:b/>
          <w:bCs/>
          <w:color w:val="1A1A2E"/>
          <w:sz w:val="24"/>
          <w:szCs w:val="24"/>
        </w:rPr>
        <w:t xml:space="preserve">Stage assessment</w:t>
      </w:r>
    </w:p>
    <w:p>
      <w:pPr>
        <w:tabs>
          <w:tab w:val="left" w:pos="2800"/>
        </w:tabs>
        <w:spacing w:after="80" w:before="0"/>
      </w:pPr>
      <w:r>
        <w:rPr>
          <w:rFonts w:ascii="Arial" w:cs="Arial" w:eastAsia="Arial" w:hAnsi="Arial"/>
          <w:b/>
          <w:bCs/>
          <w:color w:val="1A1A2E"/>
          <w:sz w:val="22"/>
          <w:szCs w:val="22"/>
        </w:rPr>
        <w:t xml:space="preserve">Assumed start</w:t>
      </w:r>
      <w:r>
        <w:rPr>
          <w:rFonts w:ascii="Arial" w:cs="Arial" w:eastAsia="Arial" w:hAnsi="Arial"/>
        </w:rPr>
        <w:t xml:space="preserve">	</w:t>
      </w:r>
      <w:r>
        <w:rPr>
          <w:rFonts w:ascii="Arial" w:cs="Arial" w:eastAsia="Arial" w:hAnsi="Arial"/>
          <w:b w:val="false"/>
          <w:bCs w:val="false"/>
          <w:color w:val="333333"/>
          <w:sz w:val="22"/>
          <w:szCs w:val="22"/>
        </w:rPr>
        <w:t xml:space="preserve">April 2026 (contract dates per tender notice: April 2026 - October 2028)</w:t>
      </w:r>
    </w:p>
    <w:p>
      <w:pPr>
        <w:tabs>
          <w:tab w:val="left" w:pos="2800"/>
        </w:tabs>
        <w:spacing w:after="80" w:before="0"/>
      </w:pPr>
      <w:r>
        <w:rPr>
          <w:rFonts w:ascii="Arial" w:cs="Arial" w:eastAsia="Arial" w:hAnsi="Arial"/>
          <w:b/>
          <w:bCs/>
          <w:color w:val="1A1A2E"/>
          <w:sz w:val="22"/>
          <w:szCs w:val="22"/>
        </w:rPr>
        <w:t xml:space="preserve">Programme</w:t>
      </w:r>
      <w:r>
        <w:rPr>
          <w:rFonts w:ascii="Arial" w:cs="Arial" w:eastAsia="Arial" w:hAnsi="Arial"/>
        </w:rPr>
        <w:t xml:space="preserve">	</w:t>
      </w:r>
      <w:r>
        <w:rPr>
          <w:rFonts w:ascii="Arial" w:cs="Arial" w:eastAsia="Arial" w:hAnsi="Arial"/>
          <w:b w:val="false"/>
          <w:bCs w:val="false"/>
          <w:color w:val="333333"/>
          <w:sz w:val="22"/>
          <w:szCs w:val="22"/>
        </w:rPr>
        <w:t xml:space="preserve">30 months (phased, 8 blocks)</w:t>
      </w:r>
    </w:p>
    <w:p>
      <w:pPr>
        <w:tabs>
          <w:tab w:val="left" w:pos="2800"/>
        </w:tabs>
        <w:spacing w:after="80" w:before="0"/>
      </w:pPr>
      <w:r>
        <w:rPr>
          <w:rFonts w:ascii="Arial" w:cs="Arial" w:eastAsia="Arial" w:hAnsi="Arial"/>
          <w:b/>
          <w:bCs/>
          <w:color w:val="1A1A2E"/>
          <w:sz w:val="22"/>
          <w:szCs w:val="22"/>
        </w:rPr>
        <w:t xml:space="preserve">Beds</w:t>
      </w:r>
      <w:r>
        <w:rPr>
          <w:rFonts w:ascii="Arial" w:cs="Arial" w:eastAsia="Arial" w:hAnsi="Arial"/>
        </w:rPr>
        <w:t xml:space="preserve">	</w:t>
      </w:r>
      <w:r>
        <w:rPr>
          <w:rFonts w:ascii="Arial" w:cs="Arial" w:eastAsia="Arial" w:hAnsi="Arial"/>
          <w:b w:val="false"/>
          <w:bCs w:val="false"/>
          <w:color w:val="333333"/>
          <w:sz w:val="22"/>
          <w:szCs w:val="22"/>
        </w:rPr>
        <w:t xml:space="preserve">926</w:t>
      </w:r>
    </w:p>
    <w:p>
      <w:pPr>
        <w:tabs>
          <w:tab w:val="left" w:pos="2800"/>
        </w:tabs>
        <w:spacing w:after="80" w:before="0"/>
      </w:pPr>
      <w:r>
        <w:rPr>
          <w:rFonts w:ascii="Arial" w:cs="Arial" w:eastAsia="Arial" w:hAnsi="Arial"/>
          <w:b/>
          <w:bCs/>
          <w:color w:val="1A1A2E"/>
          <w:sz w:val="22"/>
          <w:szCs w:val="22"/>
        </w:rPr>
        <w:t xml:space="preserve">KLDs (cluster kitchens)</w:t>
      </w:r>
      <w:r>
        <w:rPr>
          <w:rFonts w:ascii="Arial" w:cs="Arial" w:eastAsia="Arial" w:hAnsi="Arial"/>
        </w:rPr>
        <w:t xml:space="preserve">	</w:t>
      </w:r>
      <w:r>
        <w:rPr>
          <w:rFonts w:ascii="Arial" w:cs="Arial" w:eastAsia="Arial" w:hAnsi="Arial"/>
          <w:b w:val="false"/>
          <w:bCs w:val="false"/>
          <w:color w:val="333333"/>
          <w:sz w:val="22"/>
          <w:szCs w:val="22"/>
        </w:rPr>
        <w:t xml:space="preserve">130</w:t>
      </w:r>
    </w:p>
    <w:p>
      <w:pPr>
        <w:spacing w:after="100" w:before="0"/>
      </w:pPr>
      <w:r>
        <w:rPr>
          <w:rFonts w:ascii="Arial" w:cs="Arial" w:eastAsia="Arial" w:hAnsi="Arial"/>
          <w:color w:val="333333"/>
          <w:sz w:val="22"/>
          <w:szCs w:val="22"/>
        </w:rPr>
        <w:t xml:space="preserve"/>
      </w:r>
    </w:p>
    <w:p>
      <w:pPr>
        <w:pStyle w:val="Heading2"/>
        <w:spacing w:after="80" w:before="280"/>
      </w:pPr>
      <w:r>
        <w:rPr>
          <w:rFonts w:ascii="Arial" w:cs="Arial" w:eastAsia="Arial" w:hAnsi="Arial"/>
          <w:b/>
          <w:bCs/>
          <w:color w:val="1A1A2E"/>
          <w:sz w:val="24"/>
          <w:szCs w:val="24"/>
        </w:rPr>
        <w:t xml:space="preserve">Opportunities for Flagstaffe</w:t>
      </w:r>
    </w:p>
    <w:p>
      <w:pPr>
        <w:pStyle w:val="ListParagraph"/>
        <w:numPr>
          <w:ilvl w:val="0"/>
          <w:numId w:val="2"/>
        </w:numPr>
        <w:spacing w:after="90" w:before="0"/>
      </w:pPr>
      <w:r>
        <w:rPr>
          <w:rFonts w:ascii="Arial" w:cs="Arial" w:eastAsia="Arial" w:hAnsi="Arial"/>
          <w:color w:val="333333"/>
          <w:sz w:val="22"/>
          <w:szCs w:val="22"/>
        </w:rPr>
        <w:t xml:space="preserve">926 beds across 8 blocks is the largest scale project in this South West report — estimated indicative FF&amp;E value exceeds £2.5m.</w:t>
      </w:r>
    </w:p>
    <w:p>
      <w:pPr>
        <w:pStyle w:val="ListParagraph"/>
        <w:numPr>
          <w:ilvl w:val="0"/>
          <w:numId w:val="2"/>
        </w:numPr>
        <w:spacing w:after="90" w:before="0"/>
      </w:pPr>
      <w:r>
        <w:rPr>
          <w:rFonts w:ascii="Arial" w:cs="Arial" w:eastAsia="Arial" w:hAnsi="Arial"/>
          <w:color w:val="333333"/>
          <w:sz w:val="22"/>
          <w:szCs w:val="22"/>
        </w:rPr>
        <w:t xml:space="preserve">University-direct procurement means Flagstaffe can engage at both the University's estates team and the main contractor level simultaneously.</w:t>
      </w:r>
    </w:p>
    <w:p>
      <w:pPr>
        <w:pStyle w:val="ListParagraph"/>
        <w:numPr>
          <w:ilvl w:val="0"/>
          <w:numId w:val="2"/>
        </w:numPr>
        <w:spacing w:after="90" w:before="0"/>
      </w:pPr>
      <w:r>
        <w:rPr>
          <w:rFonts w:ascii="Arial" w:cs="Arial" w:eastAsia="Arial" w:hAnsi="Arial"/>
          <w:color w:val="333333"/>
          <w:sz w:val="22"/>
          <w:szCs w:val="22"/>
        </w:rPr>
        <w:t xml:space="preserve">The construction programme runs to October 2028 — phased delivery over 2+ years creates a sustained supply chain relationship, not a one-off contract.</w:t>
      </w:r>
    </w:p>
    <w:p>
      <w:pPr>
        <w:pStyle w:val="ListParagraph"/>
        <w:numPr>
          <w:ilvl w:val="0"/>
          <w:numId w:val="2"/>
        </w:numPr>
        <w:spacing w:after="90" w:before="0"/>
      </w:pPr>
      <w:r>
        <w:rPr>
          <w:rFonts w:ascii="Arial" w:cs="Arial" w:eastAsia="Arial" w:hAnsi="Arial"/>
          <w:color w:val="333333"/>
          <w:sz w:val="22"/>
          <w:szCs w:val="22"/>
        </w:rPr>
        <w:t xml:space="preserve">Campus accommodation is typically cluster-heavy with communal kitchens (KLDs) — exactly the format where Flagstaffe's pricing model delivers best value at volume.</w:t>
      </w:r>
    </w:p>
    <w:p>
      <w:pPr>
        <w:pStyle w:val="ListParagraph"/>
        <w:numPr>
          <w:ilvl w:val="0"/>
          <w:numId w:val="2"/>
        </w:numPr>
        <w:spacing w:after="90" w:before="0"/>
      </w:pPr>
      <w:r>
        <w:rPr>
          <w:rFonts w:ascii="Arial" w:cs="Arial" w:eastAsia="Arial" w:hAnsi="Arial"/>
          <w:color w:val="333333"/>
          <w:sz w:val="22"/>
          <w:szCs w:val="22"/>
        </w:rPr>
        <w:t xml:space="preserve">The University's COO is the named spokesperson. Bath is a premium institution with a strong reputation — quality and programme reliability will be the key selling points.</w:t>
      </w:r>
    </w:p>
    <w:p>
      <w:pPr>
        <w:spacing w:after="100" w:before="0"/>
      </w:pPr>
      <w:r>
        <w:rPr>
          <w:rFonts w:ascii="Arial" w:cs="Arial" w:eastAsia="Arial" w:hAnsi="Arial"/>
          <w:color w:val="333333"/>
          <w:sz w:val="22"/>
          <w:szCs w:val="22"/>
        </w:rPr>
        <w:t xml:space="preserve"/>
      </w:r>
    </w:p>
    <w:p>
      <w:pPr>
        <w:pStyle w:val="Heading2"/>
        <w:spacing w:after="80" w:before="280"/>
      </w:pPr>
      <w:r>
        <w:rPr>
          <w:rFonts w:ascii="Arial" w:cs="Arial" w:eastAsia="Arial" w:hAnsi="Arial"/>
          <w:b/>
          <w:bCs/>
          <w:color w:val="1A1A2E"/>
          <w:sz w:val="24"/>
          <w:szCs w:val="24"/>
        </w:rPr>
        <w:t xml:space="preserve">Red flags</w:t>
      </w:r>
    </w:p>
    <w:p>
      <w:pPr>
        <w:pStyle w:val="ListParagraph"/>
        <w:numPr>
          <w:ilvl w:val="0"/>
          <w:numId w:val="2"/>
        </w:numPr>
        <w:spacing w:after="90" w:before="0"/>
      </w:pPr>
      <w:r>
        <w:rPr>
          <w:rFonts w:ascii="Arial" w:cs="Arial" w:eastAsia="Arial" w:hAnsi="Arial"/>
          <w:color w:val="C62828"/>
          <w:sz w:val="22"/>
          <w:szCs w:val="22"/>
        </w:rPr>
        <w:t xml:space="preserve">University procurement follows public tendering rules — Flagstaffe would need to respond to a formal FF&amp;E tender rather than securing the contract through direct relationship alone.</w:t>
      </w:r>
    </w:p>
    <w:p>
      <w:pPr>
        <w:pStyle w:val="ListParagraph"/>
        <w:numPr>
          <w:ilvl w:val="0"/>
          <w:numId w:val="2"/>
        </w:numPr>
        <w:spacing w:after="90" w:before="0"/>
      </w:pPr>
      <w:r>
        <w:rPr>
          <w:rFonts w:ascii="Arial" w:cs="Arial" w:eastAsia="Arial" w:hAnsi="Arial"/>
          <w:color w:val="C62828"/>
          <w:sz w:val="22"/>
          <w:szCs w:val="22"/>
        </w:rPr>
        <w:t xml:space="preserve">The preliminary market engagement notice (May 2025) had a tight deadline. If a delivery partner has already been appointed, the FF&amp;E supply chain may already be specified.</w:t>
      </w:r>
    </w:p>
    <w:p>
      <w:pPr>
        <w:pStyle w:val="ListParagraph"/>
        <w:numPr>
          <w:ilvl w:val="0"/>
          <w:numId w:val="2"/>
        </w:numPr>
        <w:spacing w:after="90" w:before="0"/>
      </w:pPr>
      <w:r>
        <w:rPr>
          <w:rFonts w:ascii="Arial" w:cs="Arial" w:eastAsia="Arial" w:hAnsi="Arial"/>
          <w:color w:val="C62828"/>
          <w:sz w:val="22"/>
          <w:szCs w:val="22"/>
        </w:rPr>
        <w:t xml:space="preserve">Campus accommodation often has tighter budget constraints than private PBSA — the University's focus on providing affordable first-year rooms means cost will be a key consideration alongside quality.</w:t>
      </w:r>
    </w:p>
    <w:p>
      <w:pPr>
        <w:pStyle w:val="ListParagraph"/>
        <w:numPr>
          <w:ilvl w:val="0"/>
          <w:numId w:val="2"/>
        </w:numPr>
        <w:spacing w:after="90" w:before="0"/>
      </w:pPr>
      <w:r>
        <w:rPr>
          <w:rFonts w:ascii="Arial" w:cs="Arial" w:eastAsia="Arial" w:hAnsi="Arial"/>
          <w:color w:val="C62828"/>
          <w:sz w:val="22"/>
          <w:szCs w:val="22"/>
        </w:rPr>
        <w:t xml:space="preserve">The site requires demolition of sports pitches and replacement with padel courts — construction complexity may affect programme.</w:t>
      </w:r>
    </w:p>
    <w:p>
      <w:pPr>
        <w:spacing w:after="100" w:before="0"/>
      </w:pPr>
      <w:r>
        <w:rPr>
          <w:rFonts w:ascii="Arial" w:cs="Arial" w:eastAsia="Arial" w:hAnsi="Arial"/>
          <w:color w:val="333333"/>
          <w:sz w:val="22"/>
          <w:szCs w:val="22"/>
        </w:rPr>
        <w:t xml:space="preserve"/>
      </w:r>
    </w:p>
    <w:p>
      <w:pPr>
        <w:pStyle w:val="Heading2"/>
        <w:spacing w:after="80" w:before="280"/>
      </w:pPr>
      <w:r>
        <w:rPr>
          <w:rFonts w:ascii="Arial" w:cs="Arial" w:eastAsia="Arial" w:hAnsi="Arial"/>
          <w:b/>
          <w:bCs/>
          <w:color w:val="1A1A2E"/>
          <w:sz w:val="24"/>
          <w:szCs w:val="24"/>
        </w:rPr>
        <w:t xml:space="preserve">Recommended action</w:t>
      </w:r>
    </w:p>
    <w:p>
      <w:pPr>
        <w:pBdr>
          <w:top w:val="single" w:color="E65100" w:sz="2"/>
          <w:left w:val="single" w:color="E65100" w:sz="16"/>
          <w:bottom w:val="single" w:color="E65100" w:sz="2"/>
          <w:right w:val="none" w:color="FFFFFF" w:sz="0"/>
        </w:pBdr>
        <w:shd w:fill="FFF9C4" w:val="clear"/>
        <w:spacing w:after="160" w:before="160"/>
        <w:ind w:left="360"/>
      </w:pPr>
      <w:r>
        <w:rPr>
          <w:rFonts w:ascii="Arial" w:cs="Arial" w:eastAsia="Arial" w:hAnsi="Arial"/>
          <w:b/>
          <w:bCs/>
          <w:color w:val="E65100"/>
          <w:sz w:val="22"/>
          <w:szCs w:val="22"/>
        </w:rPr>
        <w:t xml:space="preserve">Contact the University of Bath estates and capital projects team immediately (l.hayward@bath.ac.uk — Lester Hayward is the named procurement contact). Ask whether a main contractor has been appointed and whether FF&amp;E is to be separately tendered. Position Flagstaffe as the specialist FF&amp;E partner for large-scale university campus projects.</w:t>
      </w:r>
    </w:p>
    <w:p>
      <w:pPr>
        <w:spacing w:after="120" w:before="0"/>
      </w:pPr>
      <w:r>
        <w:rPr>
          <w:rFonts w:ascii="Arial" w:cs="Arial" w:eastAsia="Arial" w:hAnsi="Arial"/>
          <w:color w:val="333333"/>
          <w:sz w:val="22"/>
          <w:szCs w:val="22"/>
        </w:rPr>
        <w:t xml:space="preserve"/>
      </w:r>
    </w:p>
    <w:p>
      <w:pPr>
        <w:pStyle w:val="Heading2"/>
        <w:spacing w:after="80" w:before="280"/>
      </w:pPr>
      <w:r>
        <w:rPr>
          <w:rFonts w:ascii="Arial" w:cs="Arial" w:eastAsia="Arial" w:hAnsi="Arial"/>
          <w:b/>
          <w:bCs/>
          <w:color w:val="1A1A2E"/>
          <w:sz w:val="24"/>
          <w:szCs w:val="24"/>
        </w:rPr>
        <w:t xml:space="preserve">Indicative FF&amp;E budget</w:t>
      </w:r>
    </w:p>
    <w:p>
      <w:pPr>
        <w:pBdr>
          <w:top w:val="single" w:color="E65100" w:sz="2"/>
          <w:left w:val="single" w:color="E65100" w:sz="16"/>
          <w:bottom w:val="single" w:color="E65100" w:sz="2"/>
          <w:right w:val="none" w:color="FFFFFF" w:sz="0"/>
        </w:pBdr>
        <w:shd w:fill="FFF9C4" w:val="clear"/>
        <w:spacing w:after="160" w:before="160"/>
        <w:ind w:left="360"/>
      </w:pPr>
      <w:r>
        <w:rPr>
          <w:rFonts w:ascii="Arial" w:cs="Arial" w:eastAsia="Arial" w:hAnsi="Arial"/>
          <w:b/>
          <w:bCs/>
          <w:color w:val="E65100"/>
          <w:sz w:val="22"/>
          <w:szCs w:val="22"/>
        </w:rPr>
        <w:t xml:space="preserve">Room counts are ASSUMED from planning documents. Update the Excel pricing tool (Flagstaffe_Manchester_Pricing_Tool.xlsx) with confirmed room counts when drawings are available.</w:t>
      </w:r>
    </w:p>
    <w:p>
      <w:pPr>
        <w:spacing w:after="80" w:before="0"/>
      </w:pPr>
      <w:r>
        <w:rPr>
          <w:rFonts w:ascii="Arial" w:cs="Arial" w:eastAsia="Arial" w:hAnsi="Arial"/>
          <w:color w:val="333333"/>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29"/>
        <w:gridCol w:w="1173"/>
        <w:gridCol w:w="1444"/>
        <w:gridCol w:w="1624"/>
        <w:gridCol w:w="1356"/>
      </w:tblGrid>
      <w:tr>
        <w:tc>
          <w:tcPr>
            <w:tcW w:type="dxa" w:w="3429"/>
            <w:tcBorders>
              <w:top w:val="single" w:color="DDDDDD" w:sz="1"/>
              <w:left w:val="single" w:color="DDDDDD" w:sz="1"/>
              <w:bottom w:val="single" w:color="DDDDDD" w:sz="1"/>
              <w:right w:val="single" w:color="DDDDDD" w:sz="1"/>
            </w:tcBorders>
            <w:shd w:fill="1A1A2E" w:val="clear"/>
            <w:tcMar>
              <w:top w:type="dxa" w:w="80"/>
              <w:left w:type="dxa" w:w="160"/>
              <w:bottom w:type="dxa" w:w="80"/>
              <w:right w:type="dxa" w:w="160"/>
            </w:tcMar>
          </w:tcPr>
          <w:p>
            <w:pPr>
              <w:spacing w:after="0" w:before="0"/>
              <w:jc w:val="left"/>
            </w:pPr>
            <w:r>
              <w:rPr>
                <w:rFonts w:ascii="Arial" w:cs="Arial" w:eastAsia="Arial" w:hAnsi="Arial"/>
                <w:b/>
                <w:bCs/>
                <w:color w:val="FFFFFF"/>
                <w:sz w:val="20"/>
                <w:szCs w:val="20"/>
              </w:rPr>
              <w:t xml:space="preserve">Room / Unit Type</w:t>
            </w:r>
          </w:p>
        </w:tc>
        <w:tc>
          <w:tcPr>
            <w:tcW w:type="dxa" w:w="1173"/>
            <w:tcBorders>
              <w:top w:val="single" w:color="DDDDDD" w:sz="1"/>
              <w:left w:val="single" w:color="DDDDDD" w:sz="1"/>
              <w:bottom w:val="single" w:color="DDDDDD" w:sz="1"/>
              <w:right w:val="single" w:color="DDDDDD" w:sz="1"/>
            </w:tcBorders>
            <w:shd w:fill="1A1A2E" w:val="clear"/>
            <w:tcMar>
              <w:top w:type="dxa" w:w="80"/>
              <w:left w:type="dxa" w:w="160"/>
              <w:bottom w:type="dxa" w:w="80"/>
              <w:right w:type="dxa" w:w="160"/>
            </w:tcMar>
          </w:tcPr>
          <w:p>
            <w:pPr>
              <w:spacing w:after="0" w:before="0"/>
              <w:jc w:val="right"/>
            </w:pPr>
            <w:r>
              <w:rPr>
                <w:rFonts w:ascii="Arial" w:cs="Arial" w:eastAsia="Arial" w:hAnsi="Arial"/>
                <w:b/>
                <w:bCs/>
                <w:color w:val="FFFFFF"/>
                <w:sz w:val="20"/>
                <w:szCs w:val="20"/>
              </w:rPr>
              <w:t xml:space="preserve">Count</w:t>
            </w:r>
          </w:p>
        </w:tc>
        <w:tc>
          <w:tcPr>
            <w:tcW w:type="dxa" w:w="1444"/>
            <w:tcBorders>
              <w:top w:val="single" w:color="DDDDDD" w:sz="1"/>
              <w:left w:val="single" w:color="DDDDDD" w:sz="1"/>
              <w:bottom w:val="single" w:color="DDDDDD" w:sz="1"/>
              <w:right w:val="single" w:color="DDDDDD" w:sz="1"/>
            </w:tcBorders>
            <w:shd w:fill="1A1A2E" w:val="clear"/>
            <w:tcMar>
              <w:top w:type="dxa" w:w="80"/>
              <w:left w:type="dxa" w:w="160"/>
              <w:bottom w:type="dxa" w:w="80"/>
              <w:right w:type="dxa" w:w="160"/>
            </w:tcMar>
          </w:tcPr>
          <w:p>
            <w:pPr>
              <w:spacing w:after="0" w:before="0"/>
              <w:jc w:val="right"/>
            </w:pPr>
            <w:r>
              <w:rPr>
                <w:rFonts w:ascii="Arial" w:cs="Arial" w:eastAsia="Arial" w:hAnsi="Arial"/>
                <w:b/>
                <w:bCs/>
                <w:color w:val="FFFFFF"/>
                <w:sz w:val="20"/>
                <w:szCs w:val="20"/>
              </w:rPr>
              <w:t xml:space="preserve">Unit Rate</w:t>
            </w:r>
          </w:p>
        </w:tc>
        <w:tc>
          <w:tcPr>
            <w:tcW w:type="dxa" w:w="1624"/>
            <w:tcBorders>
              <w:top w:val="single" w:color="DDDDDD" w:sz="1"/>
              <w:left w:val="single" w:color="DDDDDD" w:sz="1"/>
              <w:bottom w:val="single" w:color="DDDDDD" w:sz="1"/>
              <w:right w:val="single" w:color="DDDDDD" w:sz="1"/>
            </w:tcBorders>
            <w:shd w:fill="1A1A2E" w:val="clear"/>
            <w:tcMar>
              <w:top w:type="dxa" w:w="80"/>
              <w:left w:type="dxa" w:w="160"/>
              <w:bottom w:type="dxa" w:w="80"/>
              <w:right w:type="dxa" w:w="160"/>
            </w:tcMar>
          </w:tcPr>
          <w:p>
            <w:pPr>
              <w:spacing w:after="0" w:before="0"/>
              <w:jc w:val="right"/>
            </w:pPr>
            <w:r>
              <w:rPr>
                <w:rFonts w:ascii="Arial" w:cs="Arial" w:eastAsia="Arial" w:hAnsi="Arial"/>
                <w:b/>
                <w:bCs/>
                <w:color w:val="FFFFFF"/>
                <w:sz w:val="20"/>
                <w:szCs w:val="20"/>
              </w:rPr>
              <w:t xml:space="preserve">Sub-total</w:t>
            </w:r>
          </w:p>
        </w:tc>
        <w:tc>
          <w:tcPr>
            <w:tcW w:type="dxa" w:w="1356"/>
            <w:tcBorders>
              <w:top w:val="single" w:color="DDDDDD" w:sz="1"/>
              <w:left w:val="single" w:color="DDDDDD" w:sz="1"/>
              <w:bottom w:val="single" w:color="DDDDDD" w:sz="1"/>
              <w:right w:val="single" w:color="DDDDDD" w:sz="1"/>
            </w:tcBorders>
            <w:shd w:fill="1A1A2E" w:val="clear"/>
            <w:tcMar>
              <w:top w:type="dxa" w:w="80"/>
              <w:left w:type="dxa" w:w="160"/>
              <w:bottom w:type="dxa" w:w="80"/>
              <w:right w:type="dxa" w:w="160"/>
            </w:tcMar>
          </w:tcPr>
          <w:p>
            <w:pPr>
              <w:spacing w:after="0" w:before="0"/>
              <w:jc w:val="left"/>
            </w:pPr>
            <w:r>
              <w:rPr>
                <w:rFonts w:ascii="Arial" w:cs="Arial" w:eastAsia="Arial" w:hAnsi="Arial"/>
                <w:b/>
                <w:bCs/>
                <w:color w:val="FFFFFF"/>
                <w:sz w:val="20"/>
                <w:szCs w:val="20"/>
              </w:rPr>
              <w:t xml:space="preserve"/>
            </w:r>
          </w:p>
        </w:tc>
      </w:tr>
      <w:tr>
        <w:tc>
          <w:tcPr>
            <w:tcW w:type="dxa" w:w="3429"/>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spacing w:after="0" w:before="0"/>
              <w:jc w:val="left"/>
            </w:pPr>
            <w:r>
              <w:rPr>
                <w:rFonts w:ascii="Arial" w:cs="Arial" w:eastAsia="Arial" w:hAnsi="Arial"/>
                <w:b w:val="false"/>
                <w:bCs w:val="false"/>
                <w:color w:val="333333"/>
                <w:sz w:val="20"/>
                <w:szCs w:val="20"/>
              </w:rPr>
              <w:t xml:space="preserve">Cluster bedrooms</w:t>
            </w:r>
          </w:p>
        </w:tc>
        <w:tc>
          <w:tcPr>
            <w:tcW w:type="dxa" w:w="1173"/>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spacing w:after="0" w:before="0"/>
              <w:jc w:val="right"/>
            </w:pPr>
            <w:r>
              <w:rPr>
                <w:rFonts w:ascii="Arial" w:cs="Arial" w:eastAsia="Arial" w:hAnsi="Arial"/>
                <w:b w:val="false"/>
                <w:bCs w:val="false"/>
                <w:color w:val="333333"/>
                <w:sz w:val="20"/>
                <w:szCs w:val="20"/>
              </w:rPr>
              <w:t xml:space="preserve">748</w:t>
            </w:r>
          </w:p>
        </w:tc>
        <w:tc>
          <w:tcPr>
            <w:tcW w:type="dxa" w:w="1444"/>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spacing w:after="0" w:before="0"/>
              <w:jc w:val="right"/>
            </w:pPr>
            <w:r>
              <w:rPr>
                <w:rFonts w:ascii="Arial" w:cs="Arial" w:eastAsia="Arial" w:hAnsi="Arial"/>
                <w:b w:val="false"/>
                <w:bCs w:val="false"/>
                <w:color w:val="333333"/>
                <w:sz w:val="20"/>
                <w:szCs w:val="20"/>
              </w:rPr>
              <w:t xml:space="preserve">£1,274.90</w:t>
            </w:r>
          </w:p>
        </w:tc>
        <w:tc>
          <w:tcPr>
            <w:tcW w:type="dxa" w:w="1624"/>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spacing w:after="0" w:before="0"/>
              <w:jc w:val="right"/>
            </w:pPr>
            <w:r>
              <w:rPr>
                <w:rFonts w:ascii="Arial" w:cs="Arial" w:eastAsia="Arial" w:hAnsi="Arial"/>
                <w:b w:val="false"/>
                <w:bCs w:val="false"/>
                <w:color w:val="333333"/>
                <w:sz w:val="20"/>
                <w:szCs w:val="20"/>
              </w:rPr>
              <w:t xml:space="preserve">£953,625.20</w:t>
            </w:r>
          </w:p>
        </w:tc>
        <w:tc>
          <w:tcPr>
            <w:tcW w:type="dxa" w:w="1356"/>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spacing w:after="0" w:before="0"/>
              <w:jc w:val="left"/>
            </w:pPr>
            <w:r>
              <w:rPr>
                <w:rFonts w:ascii="Arial" w:cs="Arial" w:eastAsia="Arial" w:hAnsi="Arial"/>
                <w:b w:val="false"/>
                <w:bCs w:val="false"/>
                <w:color w:val="333333"/>
                <w:sz w:val="20"/>
                <w:szCs w:val="20"/>
              </w:rPr>
              <w:t xml:space="preserve"/>
            </w:r>
          </w:p>
        </w:tc>
      </w:tr>
      <w:tr>
        <w:tc>
          <w:tcPr>
            <w:tcW w:type="dxa" w:w="3429"/>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spacing w:after="0" w:before="0"/>
              <w:jc w:val="left"/>
            </w:pPr>
            <w:r>
              <w:rPr>
                <w:rFonts w:ascii="Arial" w:cs="Arial" w:eastAsia="Arial" w:hAnsi="Arial"/>
                <w:b w:val="false"/>
                <w:bCs w:val="false"/>
                <w:color w:val="333333"/>
                <w:sz w:val="20"/>
                <w:szCs w:val="20"/>
              </w:rPr>
              <w:t xml:space="preserve">Standard Studios</w:t>
            </w:r>
          </w:p>
        </w:tc>
        <w:tc>
          <w:tcPr>
            <w:tcW w:type="dxa" w:w="1173"/>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spacing w:after="0" w:before="0"/>
              <w:jc w:val="right"/>
            </w:pPr>
            <w:r>
              <w:rPr>
                <w:rFonts w:ascii="Arial" w:cs="Arial" w:eastAsia="Arial" w:hAnsi="Arial"/>
                <w:b w:val="false"/>
                <w:bCs w:val="false"/>
                <w:color w:val="333333"/>
                <w:sz w:val="20"/>
                <w:szCs w:val="20"/>
              </w:rPr>
              <w:t xml:space="preserve">144</w:t>
            </w:r>
          </w:p>
        </w:tc>
        <w:tc>
          <w:tcPr>
            <w:tcW w:type="dxa" w:w="1444"/>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spacing w:after="0" w:before="0"/>
              <w:jc w:val="right"/>
            </w:pPr>
            <w:r>
              <w:rPr>
                <w:rFonts w:ascii="Arial" w:cs="Arial" w:eastAsia="Arial" w:hAnsi="Arial"/>
                <w:b w:val="false"/>
                <w:bCs w:val="false"/>
                <w:color w:val="333333"/>
                <w:sz w:val="20"/>
                <w:szCs w:val="20"/>
              </w:rPr>
              <w:t xml:space="preserve">£4,290.50</w:t>
            </w:r>
          </w:p>
        </w:tc>
        <w:tc>
          <w:tcPr>
            <w:tcW w:type="dxa" w:w="1624"/>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spacing w:after="0" w:before="0"/>
              <w:jc w:val="right"/>
            </w:pPr>
            <w:r>
              <w:rPr>
                <w:rFonts w:ascii="Arial" w:cs="Arial" w:eastAsia="Arial" w:hAnsi="Arial"/>
                <w:b w:val="false"/>
                <w:bCs w:val="false"/>
                <w:color w:val="333333"/>
                <w:sz w:val="20"/>
                <w:szCs w:val="20"/>
              </w:rPr>
              <w:t xml:space="preserve">£617,832.00</w:t>
            </w:r>
          </w:p>
        </w:tc>
        <w:tc>
          <w:tcPr>
            <w:tcW w:type="dxa" w:w="1356"/>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spacing w:after="0" w:before="0"/>
              <w:jc w:val="left"/>
            </w:pPr>
            <w:r>
              <w:rPr>
                <w:rFonts w:ascii="Arial" w:cs="Arial" w:eastAsia="Arial" w:hAnsi="Arial"/>
                <w:b w:val="false"/>
                <w:bCs w:val="false"/>
                <w:color w:val="333333"/>
                <w:sz w:val="20"/>
                <w:szCs w:val="20"/>
              </w:rPr>
              <w:t xml:space="preserve"/>
            </w:r>
          </w:p>
        </w:tc>
      </w:tr>
      <w:tr>
        <w:tc>
          <w:tcPr>
            <w:tcW w:type="dxa" w:w="3429"/>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spacing w:after="0" w:before="0"/>
              <w:jc w:val="left"/>
            </w:pPr>
            <w:r>
              <w:rPr>
                <w:rFonts w:ascii="Arial" w:cs="Arial" w:eastAsia="Arial" w:hAnsi="Arial"/>
                <w:b w:val="false"/>
                <w:bCs w:val="false"/>
                <w:color w:val="333333"/>
                <w:sz w:val="20"/>
                <w:szCs w:val="20"/>
              </w:rPr>
              <w:t xml:space="preserve">Accessible (DDA) Studios</w:t>
            </w:r>
          </w:p>
        </w:tc>
        <w:tc>
          <w:tcPr>
            <w:tcW w:type="dxa" w:w="1173"/>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spacing w:after="0" w:before="0"/>
              <w:jc w:val="right"/>
            </w:pPr>
            <w:r>
              <w:rPr>
                <w:rFonts w:ascii="Arial" w:cs="Arial" w:eastAsia="Arial" w:hAnsi="Arial"/>
                <w:b w:val="false"/>
                <w:bCs w:val="false"/>
                <w:color w:val="333333"/>
                <w:sz w:val="20"/>
                <w:szCs w:val="20"/>
              </w:rPr>
              <w:t xml:space="preserve">34</w:t>
            </w:r>
          </w:p>
        </w:tc>
        <w:tc>
          <w:tcPr>
            <w:tcW w:type="dxa" w:w="1444"/>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spacing w:after="0" w:before="0"/>
              <w:jc w:val="right"/>
            </w:pPr>
            <w:r>
              <w:rPr>
                <w:rFonts w:ascii="Arial" w:cs="Arial" w:eastAsia="Arial" w:hAnsi="Arial"/>
                <w:b w:val="false"/>
                <w:bCs w:val="false"/>
                <w:color w:val="333333"/>
                <w:sz w:val="20"/>
                <w:szCs w:val="20"/>
              </w:rPr>
              <w:t xml:space="preserve">£5,248.89</w:t>
            </w:r>
          </w:p>
        </w:tc>
        <w:tc>
          <w:tcPr>
            <w:tcW w:type="dxa" w:w="1624"/>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spacing w:after="0" w:before="0"/>
              <w:jc w:val="right"/>
            </w:pPr>
            <w:r>
              <w:rPr>
                <w:rFonts w:ascii="Arial" w:cs="Arial" w:eastAsia="Arial" w:hAnsi="Arial"/>
                <w:b w:val="false"/>
                <w:bCs w:val="false"/>
                <w:color w:val="333333"/>
                <w:sz w:val="20"/>
                <w:szCs w:val="20"/>
              </w:rPr>
              <w:t xml:space="preserve">£178,462.26</w:t>
            </w:r>
          </w:p>
        </w:tc>
        <w:tc>
          <w:tcPr>
            <w:tcW w:type="dxa" w:w="1356"/>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spacing w:after="0" w:before="0"/>
              <w:jc w:val="left"/>
            </w:pPr>
            <w:r>
              <w:rPr>
                <w:rFonts w:ascii="Arial" w:cs="Arial" w:eastAsia="Arial" w:hAnsi="Arial"/>
                <w:b w:val="false"/>
                <w:bCs w:val="false"/>
                <w:color w:val="333333"/>
                <w:sz w:val="20"/>
                <w:szCs w:val="20"/>
              </w:rPr>
              <w:t xml:space="preserve"/>
            </w:r>
          </w:p>
        </w:tc>
      </w:tr>
      <w:tr>
        <w:tc>
          <w:tcPr>
            <w:tcW w:type="dxa" w:w="3429"/>
            <w:tcBorders>
              <w:top w:val="single" w:color="DDDDDD" w:sz="1"/>
              <w:left w:val="single" w:color="DDDDDD" w:sz="1"/>
              <w:bottom w:val="single" w:color="DDDDDD" w:sz="1"/>
              <w:right w:val="single" w:color="DDDDDD" w:sz="1"/>
            </w:tcBorders>
            <w:shd w:fill="FFF9E0" w:val="clear"/>
            <w:tcMar>
              <w:top w:type="dxa" w:w="80"/>
              <w:left w:type="dxa" w:w="160"/>
              <w:bottom w:type="dxa" w:w="80"/>
              <w:right w:type="dxa" w:w="160"/>
            </w:tcMar>
          </w:tcPr>
          <w:p>
            <w:pPr>
              <w:spacing w:after="0" w:before="0"/>
              <w:jc w:val="left"/>
            </w:pPr>
            <w:r>
              <w:rPr>
                <w:rFonts w:ascii="Arial" w:cs="Arial" w:eastAsia="Arial" w:hAnsi="Arial"/>
                <w:b w:val="false"/>
                <w:bCs w:val="false"/>
                <w:color w:val="333333"/>
                <w:sz w:val="20"/>
                <w:szCs w:val="20"/>
              </w:rPr>
              <w:t xml:space="preserve">Bedrooms &amp; Studios sub-total</w:t>
            </w:r>
          </w:p>
        </w:tc>
        <w:tc>
          <w:tcPr>
            <w:tcW w:type="dxa" w:w="1173"/>
            <w:tcBorders>
              <w:top w:val="single" w:color="DDDDDD" w:sz="1"/>
              <w:left w:val="single" w:color="DDDDDD" w:sz="1"/>
              <w:bottom w:val="single" w:color="DDDDDD" w:sz="1"/>
              <w:right w:val="single" w:color="DDDDDD" w:sz="1"/>
            </w:tcBorders>
            <w:shd w:fill="FFF9E0" w:val="clear"/>
            <w:tcMar>
              <w:top w:type="dxa" w:w="80"/>
              <w:left w:type="dxa" w:w="160"/>
              <w:bottom w:type="dxa" w:w="80"/>
              <w:right w:type="dxa" w:w="160"/>
            </w:tcMar>
          </w:tcPr>
          <w:p>
            <w:pPr>
              <w:spacing w:after="0" w:before="0"/>
              <w:jc w:val="right"/>
            </w:pPr>
            <w:r>
              <w:rPr>
                <w:rFonts w:ascii="Arial" w:cs="Arial" w:eastAsia="Arial" w:hAnsi="Arial"/>
                <w:b w:val="false"/>
                <w:bCs w:val="false"/>
                <w:color w:val="333333"/>
                <w:sz w:val="20"/>
                <w:szCs w:val="20"/>
              </w:rPr>
              <w:t xml:space="preserve"/>
            </w:r>
          </w:p>
        </w:tc>
        <w:tc>
          <w:tcPr>
            <w:tcW w:type="dxa" w:w="1444"/>
            <w:tcBorders>
              <w:top w:val="single" w:color="DDDDDD" w:sz="1"/>
              <w:left w:val="single" w:color="DDDDDD" w:sz="1"/>
              <w:bottom w:val="single" w:color="DDDDDD" w:sz="1"/>
              <w:right w:val="single" w:color="DDDDDD" w:sz="1"/>
            </w:tcBorders>
            <w:shd w:fill="FFF9E0" w:val="clear"/>
            <w:tcMar>
              <w:top w:type="dxa" w:w="80"/>
              <w:left w:type="dxa" w:w="160"/>
              <w:bottom w:type="dxa" w:w="80"/>
              <w:right w:type="dxa" w:w="160"/>
            </w:tcMar>
          </w:tcPr>
          <w:p>
            <w:pPr>
              <w:spacing w:after="0" w:before="0"/>
              <w:jc w:val="right"/>
            </w:pPr>
            <w:r>
              <w:rPr>
                <w:rFonts w:ascii="Arial" w:cs="Arial" w:eastAsia="Arial" w:hAnsi="Arial"/>
                <w:b w:val="false"/>
                <w:bCs w:val="false"/>
                <w:color w:val="333333"/>
                <w:sz w:val="20"/>
                <w:szCs w:val="20"/>
              </w:rPr>
              <w:t xml:space="preserve"/>
            </w:r>
          </w:p>
        </w:tc>
        <w:tc>
          <w:tcPr>
            <w:tcW w:type="dxa" w:w="1624"/>
            <w:tcBorders>
              <w:top w:val="single" w:color="DDDDDD" w:sz="1"/>
              <w:left w:val="single" w:color="DDDDDD" w:sz="1"/>
              <w:bottom w:val="single" w:color="DDDDDD" w:sz="1"/>
              <w:right w:val="single" w:color="DDDDDD" w:sz="1"/>
            </w:tcBorders>
            <w:shd w:fill="FFF9E0" w:val="clear"/>
            <w:tcMar>
              <w:top w:type="dxa" w:w="80"/>
              <w:left w:type="dxa" w:w="160"/>
              <w:bottom w:type="dxa" w:w="80"/>
              <w:right w:type="dxa" w:w="160"/>
            </w:tcMar>
          </w:tcPr>
          <w:p>
            <w:pPr>
              <w:spacing w:after="0" w:before="0"/>
              <w:jc w:val="right"/>
            </w:pPr>
            <w:r>
              <w:rPr>
                <w:rFonts w:ascii="Arial" w:cs="Arial" w:eastAsia="Arial" w:hAnsi="Arial"/>
                <w:b w:val="false"/>
                <w:bCs w:val="false"/>
                <w:color w:val="333333"/>
                <w:sz w:val="20"/>
                <w:szCs w:val="20"/>
              </w:rPr>
              <w:t xml:space="preserve">£1,749,919.46</w:t>
            </w:r>
          </w:p>
        </w:tc>
        <w:tc>
          <w:tcPr>
            <w:tcW w:type="dxa" w:w="1356"/>
            <w:tcBorders>
              <w:top w:val="single" w:color="DDDDDD" w:sz="1"/>
              <w:left w:val="single" w:color="DDDDDD" w:sz="1"/>
              <w:bottom w:val="single" w:color="DDDDDD" w:sz="1"/>
              <w:right w:val="single" w:color="DDDDDD" w:sz="1"/>
            </w:tcBorders>
            <w:shd w:fill="FFF9E0" w:val="clear"/>
            <w:tcMar>
              <w:top w:type="dxa" w:w="80"/>
              <w:left w:type="dxa" w:w="160"/>
              <w:bottom w:type="dxa" w:w="80"/>
              <w:right w:type="dxa" w:w="160"/>
            </w:tcMar>
          </w:tcPr>
          <w:p>
            <w:pPr>
              <w:spacing w:after="0" w:before="0"/>
              <w:jc w:val="left"/>
            </w:pPr>
            <w:r>
              <w:rPr>
                <w:rFonts w:ascii="Arial" w:cs="Arial" w:eastAsia="Arial" w:hAnsi="Arial"/>
                <w:b w:val="false"/>
                <w:bCs w:val="false"/>
                <w:color w:val="333333"/>
                <w:sz w:val="20"/>
                <w:szCs w:val="20"/>
              </w:rPr>
              <w:t xml:space="preserve"/>
            </w:r>
          </w:p>
        </w:tc>
      </w:tr>
      <w:tr>
        <w:tc>
          <w:tcPr>
            <w:tcW w:type="dxa" w:w="3429"/>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spacing w:after="0" w:before="0"/>
              <w:jc w:val="left"/>
            </w:pPr>
            <w:r>
              <w:rPr>
                <w:rFonts w:ascii="Arial" w:cs="Arial" w:eastAsia="Arial" w:hAnsi="Arial"/>
                <w:b w:val="false"/>
                <w:bCs w:val="false"/>
                <w:color w:val="333333"/>
                <w:sz w:val="20"/>
                <w:szCs w:val="20"/>
              </w:rPr>
              <w:t xml:space="preserve">KLD - 5 person</w:t>
            </w:r>
          </w:p>
        </w:tc>
        <w:tc>
          <w:tcPr>
            <w:tcW w:type="dxa" w:w="1173"/>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spacing w:after="0" w:before="0"/>
              <w:jc w:val="right"/>
            </w:pPr>
            <w:r>
              <w:rPr>
                <w:rFonts w:ascii="Arial" w:cs="Arial" w:eastAsia="Arial" w:hAnsi="Arial"/>
                <w:b w:val="false"/>
                <w:bCs w:val="false"/>
                <w:color w:val="333333"/>
                <w:sz w:val="20"/>
                <w:szCs w:val="20"/>
              </w:rPr>
              <w:t xml:space="preserve">20</w:t>
            </w:r>
          </w:p>
        </w:tc>
        <w:tc>
          <w:tcPr>
            <w:tcW w:type="dxa" w:w="1444"/>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spacing w:after="0" w:before="0"/>
              <w:jc w:val="right"/>
            </w:pPr>
            <w:r>
              <w:rPr>
                <w:rFonts w:ascii="Arial" w:cs="Arial" w:eastAsia="Arial" w:hAnsi="Arial"/>
                <w:b w:val="false"/>
                <w:bCs w:val="false"/>
                <w:color w:val="333333"/>
                <w:sz w:val="20"/>
                <w:szCs w:val="20"/>
              </w:rPr>
              <w:t xml:space="preserve">£6,392.33</w:t>
            </w:r>
          </w:p>
        </w:tc>
        <w:tc>
          <w:tcPr>
            <w:tcW w:type="dxa" w:w="1624"/>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spacing w:after="0" w:before="0"/>
              <w:jc w:val="right"/>
            </w:pPr>
            <w:r>
              <w:rPr>
                <w:rFonts w:ascii="Arial" w:cs="Arial" w:eastAsia="Arial" w:hAnsi="Arial"/>
                <w:b w:val="false"/>
                <w:bCs w:val="false"/>
                <w:color w:val="333333"/>
                <w:sz w:val="20"/>
                <w:szCs w:val="20"/>
              </w:rPr>
              <w:t xml:space="preserve">£127,846.60</w:t>
            </w:r>
          </w:p>
        </w:tc>
        <w:tc>
          <w:tcPr>
            <w:tcW w:type="dxa" w:w="1356"/>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spacing w:after="0" w:before="0"/>
              <w:jc w:val="left"/>
            </w:pPr>
            <w:r>
              <w:rPr>
                <w:rFonts w:ascii="Arial" w:cs="Arial" w:eastAsia="Arial" w:hAnsi="Arial"/>
                <w:b w:val="false"/>
                <w:bCs w:val="false"/>
                <w:color w:val="333333"/>
                <w:sz w:val="20"/>
                <w:szCs w:val="20"/>
              </w:rPr>
              <w:t xml:space="preserve"/>
            </w:r>
          </w:p>
        </w:tc>
      </w:tr>
      <w:tr>
        <w:tc>
          <w:tcPr>
            <w:tcW w:type="dxa" w:w="3429"/>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spacing w:after="0" w:before="0"/>
              <w:jc w:val="left"/>
            </w:pPr>
            <w:r>
              <w:rPr>
                <w:rFonts w:ascii="Arial" w:cs="Arial" w:eastAsia="Arial" w:hAnsi="Arial"/>
                <w:b w:val="false"/>
                <w:bCs w:val="false"/>
                <w:color w:val="333333"/>
                <w:sz w:val="20"/>
                <w:szCs w:val="20"/>
              </w:rPr>
              <w:t xml:space="preserve">KLD - 6 person</w:t>
            </w:r>
          </w:p>
        </w:tc>
        <w:tc>
          <w:tcPr>
            <w:tcW w:type="dxa" w:w="1173"/>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spacing w:after="0" w:before="0"/>
              <w:jc w:val="right"/>
            </w:pPr>
            <w:r>
              <w:rPr>
                <w:rFonts w:ascii="Arial" w:cs="Arial" w:eastAsia="Arial" w:hAnsi="Arial"/>
                <w:b w:val="false"/>
                <w:bCs w:val="false"/>
                <w:color w:val="333333"/>
                <w:sz w:val="20"/>
                <w:szCs w:val="20"/>
              </w:rPr>
              <w:t xml:space="preserve">60</w:t>
            </w:r>
          </w:p>
        </w:tc>
        <w:tc>
          <w:tcPr>
            <w:tcW w:type="dxa" w:w="1444"/>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spacing w:after="0" w:before="0"/>
              <w:jc w:val="right"/>
            </w:pPr>
            <w:r>
              <w:rPr>
                <w:rFonts w:ascii="Arial" w:cs="Arial" w:eastAsia="Arial" w:hAnsi="Arial"/>
                <w:b w:val="false"/>
                <w:bCs w:val="false"/>
                <w:color w:val="333333"/>
                <w:sz w:val="20"/>
                <w:szCs w:val="20"/>
              </w:rPr>
              <w:t xml:space="preserve">£8,744.18</w:t>
            </w:r>
          </w:p>
        </w:tc>
        <w:tc>
          <w:tcPr>
            <w:tcW w:type="dxa" w:w="1624"/>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spacing w:after="0" w:before="0"/>
              <w:jc w:val="right"/>
            </w:pPr>
            <w:r>
              <w:rPr>
                <w:rFonts w:ascii="Arial" w:cs="Arial" w:eastAsia="Arial" w:hAnsi="Arial"/>
                <w:b w:val="false"/>
                <w:bCs w:val="false"/>
                <w:color w:val="333333"/>
                <w:sz w:val="20"/>
                <w:szCs w:val="20"/>
              </w:rPr>
              <w:t xml:space="preserve">£524,650.80</w:t>
            </w:r>
          </w:p>
        </w:tc>
        <w:tc>
          <w:tcPr>
            <w:tcW w:type="dxa" w:w="1356"/>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spacing w:after="0" w:before="0"/>
              <w:jc w:val="left"/>
            </w:pPr>
            <w:r>
              <w:rPr>
                <w:rFonts w:ascii="Arial" w:cs="Arial" w:eastAsia="Arial" w:hAnsi="Arial"/>
                <w:b w:val="false"/>
                <w:bCs w:val="false"/>
                <w:color w:val="333333"/>
                <w:sz w:val="20"/>
                <w:szCs w:val="20"/>
              </w:rPr>
              <w:t xml:space="preserve"/>
            </w:r>
          </w:p>
        </w:tc>
      </w:tr>
      <w:tr>
        <w:tc>
          <w:tcPr>
            <w:tcW w:type="dxa" w:w="3429"/>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spacing w:after="0" w:before="0"/>
              <w:jc w:val="left"/>
            </w:pPr>
            <w:r>
              <w:rPr>
                <w:rFonts w:ascii="Arial" w:cs="Arial" w:eastAsia="Arial" w:hAnsi="Arial"/>
                <w:b w:val="false"/>
                <w:bCs w:val="false"/>
                <w:color w:val="333333"/>
                <w:sz w:val="20"/>
                <w:szCs w:val="20"/>
              </w:rPr>
              <w:t xml:space="preserve">KLD - 7 person</w:t>
            </w:r>
          </w:p>
        </w:tc>
        <w:tc>
          <w:tcPr>
            <w:tcW w:type="dxa" w:w="1173"/>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spacing w:after="0" w:before="0"/>
              <w:jc w:val="right"/>
            </w:pPr>
            <w:r>
              <w:rPr>
                <w:rFonts w:ascii="Arial" w:cs="Arial" w:eastAsia="Arial" w:hAnsi="Arial"/>
                <w:b w:val="false"/>
                <w:bCs w:val="false"/>
                <w:color w:val="333333"/>
                <w:sz w:val="20"/>
                <w:szCs w:val="20"/>
              </w:rPr>
              <w:t xml:space="preserve">30</w:t>
            </w:r>
          </w:p>
        </w:tc>
        <w:tc>
          <w:tcPr>
            <w:tcW w:type="dxa" w:w="1444"/>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spacing w:after="0" w:before="0"/>
              <w:jc w:val="right"/>
            </w:pPr>
            <w:r>
              <w:rPr>
                <w:rFonts w:ascii="Arial" w:cs="Arial" w:eastAsia="Arial" w:hAnsi="Arial"/>
                <w:b w:val="false"/>
                <w:bCs w:val="false"/>
                <w:color w:val="333333"/>
                <w:sz w:val="20"/>
                <w:szCs w:val="20"/>
              </w:rPr>
              <w:t xml:space="preserve">£9,116.01</w:t>
            </w:r>
          </w:p>
        </w:tc>
        <w:tc>
          <w:tcPr>
            <w:tcW w:type="dxa" w:w="1624"/>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spacing w:after="0" w:before="0"/>
              <w:jc w:val="right"/>
            </w:pPr>
            <w:r>
              <w:rPr>
                <w:rFonts w:ascii="Arial" w:cs="Arial" w:eastAsia="Arial" w:hAnsi="Arial"/>
                <w:b w:val="false"/>
                <w:bCs w:val="false"/>
                <w:color w:val="333333"/>
                <w:sz w:val="20"/>
                <w:szCs w:val="20"/>
              </w:rPr>
              <w:t xml:space="preserve">£273,480.30</w:t>
            </w:r>
          </w:p>
        </w:tc>
        <w:tc>
          <w:tcPr>
            <w:tcW w:type="dxa" w:w="1356"/>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spacing w:after="0" w:before="0"/>
              <w:jc w:val="left"/>
            </w:pPr>
            <w:r>
              <w:rPr>
                <w:rFonts w:ascii="Arial" w:cs="Arial" w:eastAsia="Arial" w:hAnsi="Arial"/>
                <w:b w:val="false"/>
                <w:bCs w:val="false"/>
                <w:color w:val="333333"/>
                <w:sz w:val="20"/>
                <w:szCs w:val="20"/>
              </w:rPr>
              <w:t xml:space="preserve"/>
            </w:r>
          </w:p>
        </w:tc>
      </w:tr>
      <w:tr>
        <w:tc>
          <w:tcPr>
            <w:tcW w:type="dxa" w:w="3429"/>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spacing w:after="0" w:before="0"/>
              <w:jc w:val="left"/>
            </w:pPr>
            <w:r>
              <w:rPr>
                <w:rFonts w:ascii="Arial" w:cs="Arial" w:eastAsia="Arial" w:hAnsi="Arial"/>
                <w:b w:val="false"/>
                <w:bCs w:val="false"/>
                <w:color w:val="333333"/>
                <w:sz w:val="20"/>
                <w:szCs w:val="20"/>
              </w:rPr>
              <w:t xml:space="preserve">KLD - 8 person</w:t>
            </w:r>
          </w:p>
        </w:tc>
        <w:tc>
          <w:tcPr>
            <w:tcW w:type="dxa" w:w="1173"/>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spacing w:after="0" w:before="0"/>
              <w:jc w:val="right"/>
            </w:pPr>
            <w:r>
              <w:rPr>
                <w:rFonts w:ascii="Arial" w:cs="Arial" w:eastAsia="Arial" w:hAnsi="Arial"/>
                <w:b w:val="false"/>
                <w:bCs w:val="false"/>
                <w:color w:val="333333"/>
                <w:sz w:val="20"/>
                <w:szCs w:val="20"/>
              </w:rPr>
              <w:t xml:space="preserve">16</w:t>
            </w:r>
          </w:p>
        </w:tc>
        <w:tc>
          <w:tcPr>
            <w:tcW w:type="dxa" w:w="1444"/>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spacing w:after="0" w:before="0"/>
              <w:jc w:val="right"/>
            </w:pPr>
            <w:r>
              <w:rPr>
                <w:rFonts w:ascii="Arial" w:cs="Arial" w:eastAsia="Arial" w:hAnsi="Arial"/>
                <w:b w:val="false"/>
                <w:bCs w:val="false"/>
                <w:color w:val="333333"/>
                <w:sz w:val="20"/>
                <w:szCs w:val="20"/>
              </w:rPr>
              <w:t xml:space="preserve">£9,521.50</w:t>
            </w:r>
          </w:p>
        </w:tc>
        <w:tc>
          <w:tcPr>
            <w:tcW w:type="dxa" w:w="1624"/>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spacing w:after="0" w:before="0"/>
              <w:jc w:val="right"/>
            </w:pPr>
            <w:r>
              <w:rPr>
                <w:rFonts w:ascii="Arial" w:cs="Arial" w:eastAsia="Arial" w:hAnsi="Arial"/>
                <w:b w:val="false"/>
                <w:bCs w:val="false"/>
                <w:color w:val="333333"/>
                <w:sz w:val="20"/>
                <w:szCs w:val="20"/>
              </w:rPr>
              <w:t xml:space="preserve">£152,344.00</w:t>
            </w:r>
          </w:p>
        </w:tc>
        <w:tc>
          <w:tcPr>
            <w:tcW w:type="dxa" w:w="1356"/>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spacing w:after="0" w:before="0"/>
              <w:jc w:val="left"/>
            </w:pPr>
            <w:r>
              <w:rPr>
                <w:rFonts w:ascii="Arial" w:cs="Arial" w:eastAsia="Arial" w:hAnsi="Arial"/>
                <w:b w:val="false"/>
                <w:bCs w:val="false"/>
                <w:color w:val="333333"/>
                <w:sz w:val="20"/>
                <w:szCs w:val="20"/>
              </w:rPr>
              <w:t xml:space="preserve"/>
            </w:r>
          </w:p>
        </w:tc>
      </w:tr>
      <w:tr>
        <w:tc>
          <w:tcPr>
            <w:tcW w:type="dxa" w:w="3429"/>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spacing w:after="0" w:before="0"/>
              <w:jc w:val="left"/>
            </w:pPr>
            <w:r>
              <w:rPr>
                <w:rFonts w:ascii="Arial" w:cs="Arial" w:eastAsia="Arial" w:hAnsi="Arial"/>
                <w:b w:val="false"/>
                <w:bCs w:val="false"/>
                <w:color w:val="333333"/>
                <w:sz w:val="20"/>
                <w:szCs w:val="20"/>
              </w:rPr>
              <w:t xml:space="preserve">KLD - 9 person</w:t>
            </w:r>
          </w:p>
        </w:tc>
        <w:tc>
          <w:tcPr>
            <w:tcW w:type="dxa" w:w="1173"/>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spacing w:after="0" w:before="0"/>
              <w:jc w:val="right"/>
            </w:pPr>
            <w:r>
              <w:rPr>
                <w:rFonts w:ascii="Arial" w:cs="Arial" w:eastAsia="Arial" w:hAnsi="Arial"/>
                <w:b w:val="false"/>
                <w:bCs w:val="false"/>
                <w:color w:val="333333"/>
                <w:sz w:val="20"/>
                <w:szCs w:val="20"/>
              </w:rPr>
              <w:t xml:space="preserve">4</w:t>
            </w:r>
          </w:p>
        </w:tc>
        <w:tc>
          <w:tcPr>
            <w:tcW w:type="dxa" w:w="1444"/>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spacing w:after="0" w:before="0"/>
              <w:jc w:val="right"/>
            </w:pPr>
            <w:r>
              <w:rPr>
                <w:rFonts w:ascii="Arial" w:cs="Arial" w:eastAsia="Arial" w:hAnsi="Arial"/>
                <w:b w:val="false"/>
                <w:bCs w:val="false"/>
                <w:color w:val="333333"/>
                <w:sz w:val="20"/>
                <w:szCs w:val="20"/>
              </w:rPr>
              <w:t xml:space="preserve">£9,949.10</w:t>
            </w:r>
          </w:p>
        </w:tc>
        <w:tc>
          <w:tcPr>
            <w:tcW w:type="dxa" w:w="1624"/>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spacing w:after="0" w:before="0"/>
              <w:jc w:val="right"/>
            </w:pPr>
            <w:r>
              <w:rPr>
                <w:rFonts w:ascii="Arial" w:cs="Arial" w:eastAsia="Arial" w:hAnsi="Arial"/>
                <w:b w:val="false"/>
                <w:bCs w:val="false"/>
                <w:color w:val="333333"/>
                <w:sz w:val="20"/>
                <w:szCs w:val="20"/>
              </w:rPr>
              <w:t xml:space="preserve">£39,796.40</w:t>
            </w:r>
          </w:p>
        </w:tc>
        <w:tc>
          <w:tcPr>
            <w:tcW w:type="dxa" w:w="1356"/>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spacing w:after="0" w:before="0"/>
              <w:jc w:val="left"/>
            </w:pPr>
            <w:r>
              <w:rPr>
                <w:rFonts w:ascii="Arial" w:cs="Arial" w:eastAsia="Arial" w:hAnsi="Arial"/>
                <w:b w:val="false"/>
                <w:bCs w:val="false"/>
                <w:color w:val="333333"/>
                <w:sz w:val="20"/>
                <w:szCs w:val="20"/>
              </w:rPr>
              <w:t xml:space="preserve"/>
            </w:r>
          </w:p>
        </w:tc>
      </w:tr>
      <w:tr>
        <w:tc>
          <w:tcPr>
            <w:tcW w:type="dxa" w:w="3429"/>
            <w:tcBorders>
              <w:top w:val="single" w:color="DDDDDD" w:sz="1"/>
              <w:left w:val="single" w:color="DDDDDD" w:sz="1"/>
              <w:bottom w:val="single" w:color="DDDDDD" w:sz="1"/>
              <w:right w:val="single" w:color="DDDDDD" w:sz="1"/>
            </w:tcBorders>
            <w:shd w:fill="FFF9E0" w:val="clear"/>
            <w:tcMar>
              <w:top w:type="dxa" w:w="80"/>
              <w:left w:type="dxa" w:w="160"/>
              <w:bottom w:type="dxa" w:w="80"/>
              <w:right w:type="dxa" w:w="160"/>
            </w:tcMar>
          </w:tcPr>
          <w:p>
            <w:pPr>
              <w:spacing w:after="0" w:before="0"/>
              <w:jc w:val="left"/>
            </w:pPr>
            <w:r>
              <w:rPr>
                <w:rFonts w:ascii="Arial" w:cs="Arial" w:eastAsia="Arial" w:hAnsi="Arial"/>
                <w:b w:val="false"/>
                <w:bCs w:val="false"/>
                <w:color w:val="333333"/>
                <w:sz w:val="20"/>
                <w:szCs w:val="20"/>
              </w:rPr>
              <w:t xml:space="preserve">KLDs sub-total</w:t>
            </w:r>
          </w:p>
        </w:tc>
        <w:tc>
          <w:tcPr>
            <w:tcW w:type="dxa" w:w="1173"/>
            <w:tcBorders>
              <w:top w:val="single" w:color="DDDDDD" w:sz="1"/>
              <w:left w:val="single" w:color="DDDDDD" w:sz="1"/>
              <w:bottom w:val="single" w:color="DDDDDD" w:sz="1"/>
              <w:right w:val="single" w:color="DDDDDD" w:sz="1"/>
            </w:tcBorders>
            <w:shd w:fill="FFF9E0" w:val="clear"/>
            <w:tcMar>
              <w:top w:type="dxa" w:w="80"/>
              <w:left w:type="dxa" w:w="160"/>
              <w:bottom w:type="dxa" w:w="80"/>
              <w:right w:type="dxa" w:w="160"/>
            </w:tcMar>
          </w:tcPr>
          <w:p>
            <w:pPr>
              <w:spacing w:after="0" w:before="0"/>
              <w:jc w:val="right"/>
            </w:pPr>
            <w:r>
              <w:rPr>
                <w:rFonts w:ascii="Arial" w:cs="Arial" w:eastAsia="Arial" w:hAnsi="Arial"/>
                <w:b w:val="false"/>
                <w:bCs w:val="false"/>
                <w:color w:val="333333"/>
                <w:sz w:val="20"/>
                <w:szCs w:val="20"/>
              </w:rPr>
              <w:t xml:space="preserve"/>
            </w:r>
          </w:p>
        </w:tc>
        <w:tc>
          <w:tcPr>
            <w:tcW w:type="dxa" w:w="1444"/>
            <w:tcBorders>
              <w:top w:val="single" w:color="DDDDDD" w:sz="1"/>
              <w:left w:val="single" w:color="DDDDDD" w:sz="1"/>
              <w:bottom w:val="single" w:color="DDDDDD" w:sz="1"/>
              <w:right w:val="single" w:color="DDDDDD" w:sz="1"/>
            </w:tcBorders>
            <w:shd w:fill="FFF9E0" w:val="clear"/>
            <w:tcMar>
              <w:top w:type="dxa" w:w="80"/>
              <w:left w:type="dxa" w:w="160"/>
              <w:bottom w:type="dxa" w:w="80"/>
              <w:right w:type="dxa" w:w="160"/>
            </w:tcMar>
          </w:tcPr>
          <w:p>
            <w:pPr>
              <w:spacing w:after="0" w:before="0"/>
              <w:jc w:val="right"/>
            </w:pPr>
            <w:r>
              <w:rPr>
                <w:rFonts w:ascii="Arial" w:cs="Arial" w:eastAsia="Arial" w:hAnsi="Arial"/>
                <w:b w:val="false"/>
                <w:bCs w:val="false"/>
                <w:color w:val="333333"/>
                <w:sz w:val="20"/>
                <w:szCs w:val="20"/>
              </w:rPr>
              <w:t xml:space="preserve"/>
            </w:r>
          </w:p>
        </w:tc>
        <w:tc>
          <w:tcPr>
            <w:tcW w:type="dxa" w:w="1624"/>
            <w:tcBorders>
              <w:top w:val="single" w:color="DDDDDD" w:sz="1"/>
              <w:left w:val="single" w:color="DDDDDD" w:sz="1"/>
              <w:bottom w:val="single" w:color="DDDDDD" w:sz="1"/>
              <w:right w:val="single" w:color="DDDDDD" w:sz="1"/>
            </w:tcBorders>
            <w:shd w:fill="FFF9E0" w:val="clear"/>
            <w:tcMar>
              <w:top w:type="dxa" w:w="80"/>
              <w:left w:type="dxa" w:w="160"/>
              <w:bottom w:type="dxa" w:w="80"/>
              <w:right w:type="dxa" w:w="160"/>
            </w:tcMar>
          </w:tcPr>
          <w:p>
            <w:pPr>
              <w:spacing w:after="0" w:before="0"/>
              <w:jc w:val="right"/>
            </w:pPr>
            <w:r>
              <w:rPr>
                <w:rFonts w:ascii="Arial" w:cs="Arial" w:eastAsia="Arial" w:hAnsi="Arial"/>
                <w:b w:val="false"/>
                <w:bCs w:val="false"/>
                <w:color w:val="333333"/>
                <w:sz w:val="20"/>
                <w:szCs w:val="20"/>
              </w:rPr>
              <w:t xml:space="preserve">£1,118,118.10</w:t>
            </w:r>
          </w:p>
        </w:tc>
        <w:tc>
          <w:tcPr>
            <w:tcW w:type="dxa" w:w="1356"/>
            <w:tcBorders>
              <w:top w:val="single" w:color="DDDDDD" w:sz="1"/>
              <w:left w:val="single" w:color="DDDDDD" w:sz="1"/>
              <w:bottom w:val="single" w:color="DDDDDD" w:sz="1"/>
              <w:right w:val="single" w:color="DDDDDD" w:sz="1"/>
            </w:tcBorders>
            <w:shd w:fill="FFF9E0" w:val="clear"/>
            <w:tcMar>
              <w:top w:type="dxa" w:w="80"/>
              <w:left w:type="dxa" w:w="160"/>
              <w:bottom w:type="dxa" w:w="80"/>
              <w:right w:type="dxa" w:w="160"/>
            </w:tcMar>
          </w:tcPr>
          <w:p>
            <w:pPr>
              <w:spacing w:after="0" w:before="0"/>
              <w:jc w:val="left"/>
            </w:pPr>
            <w:r>
              <w:rPr>
                <w:rFonts w:ascii="Arial" w:cs="Arial" w:eastAsia="Arial" w:hAnsi="Arial"/>
                <w:b w:val="false"/>
                <w:bCs w:val="false"/>
                <w:color w:val="333333"/>
                <w:sz w:val="20"/>
                <w:szCs w:val="20"/>
              </w:rPr>
              <w:t xml:space="preserve"/>
            </w:r>
          </w:p>
        </w:tc>
      </w:tr>
      <w:tr>
        <w:tc>
          <w:tcPr>
            <w:tcW w:type="dxa" w:w="3429"/>
            <w:tcBorders>
              <w:top w:val="single" w:color="DDDDDD" w:sz="1"/>
              <w:left w:val="single" w:color="DDDDDD" w:sz="1"/>
              <w:bottom w:val="single" w:color="DDDDDD" w:sz="1"/>
              <w:right w:val="single" w:color="DDDDDD" w:sz="1"/>
            </w:tcBorders>
            <w:shd w:fill="FFF9E0" w:val="clear"/>
            <w:tcMar>
              <w:top w:type="dxa" w:w="80"/>
              <w:left w:type="dxa" w:w="160"/>
              <w:bottom w:type="dxa" w:w="80"/>
              <w:right w:type="dxa" w:w="160"/>
            </w:tcMar>
          </w:tcPr>
          <w:p>
            <w:pPr>
              <w:spacing w:after="0" w:before="0"/>
              <w:jc w:val="left"/>
            </w:pPr>
            <w:r>
              <w:rPr>
                <w:rFonts w:ascii="Arial" w:cs="Arial" w:eastAsia="Arial" w:hAnsi="Arial"/>
                <w:b w:val="false"/>
                <w:bCs w:val="false"/>
                <w:color w:val="333333"/>
                <w:sz w:val="20"/>
                <w:szCs w:val="20"/>
              </w:rPr>
              <w:t xml:space="preserve">Project Management / Prelims fee</w:t>
            </w:r>
          </w:p>
        </w:tc>
        <w:tc>
          <w:tcPr>
            <w:tcW w:type="dxa" w:w="1173"/>
            <w:tcBorders>
              <w:top w:val="single" w:color="DDDDDD" w:sz="1"/>
              <w:left w:val="single" w:color="DDDDDD" w:sz="1"/>
              <w:bottom w:val="single" w:color="DDDDDD" w:sz="1"/>
              <w:right w:val="single" w:color="DDDDDD" w:sz="1"/>
            </w:tcBorders>
            <w:shd w:fill="FFF9E0" w:val="clear"/>
            <w:tcMar>
              <w:top w:type="dxa" w:w="80"/>
              <w:left w:type="dxa" w:w="160"/>
              <w:bottom w:type="dxa" w:w="80"/>
              <w:right w:type="dxa" w:w="160"/>
            </w:tcMar>
          </w:tcPr>
          <w:p>
            <w:pPr>
              <w:spacing w:after="0" w:before="0"/>
              <w:jc w:val="right"/>
            </w:pPr>
            <w:r>
              <w:rPr>
                <w:rFonts w:ascii="Arial" w:cs="Arial" w:eastAsia="Arial" w:hAnsi="Arial"/>
                <w:b w:val="false"/>
                <w:bCs w:val="false"/>
                <w:color w:val="333333"/>
                <w:sz w:val="20"/>
                <w:szCs w:val="20"/>
              </w:rPr>
              <w:t xml:space="preserve">1,056 units</w:t>
            </w:r>
          </w:p>
        </w:tc>
        <w:tc>
          <w:tcPr>
            <w:tcW w:type="dxa" w:w="1444"/>
            <w:tcBorders>
              <w:top w:val="single" w:color="DDDDDD" w:sz="1"/>
              <w:left w:val="single" w:color="DDDDDD" w:sz="1"/>
              <w:bottom w:val="single" w:color="DDDDDD" w:sz="1"/>
              <w:right w:val="single" w:color="DDDDDD" w:sz="1"/>
            </w:tcBorders>
            <w:shd w:fill="FFF9E0" w:val="clear"/>
            <w:tcMar>
              <w:top w:type="dxa" w:w="80"/>
              <w:left w:type="dxa" w:w="160"/>
              <w:bottom w:type="dxa" w:w="80"/>
              <w:right w:type="dxa" w:w="160"/>
            </w:tcMar>
          </w:tcPr>
          <w:p>
            <w:pPr>
              <w:spacing w:after="0" w:before="0"/>
              <w:jc w:val="right"/>
            </w:pPr>
            <w:r>
              <w:rPr>
                <w:rFonts w:ascii="Arial" w:cs="Arial" w:eastAsia="Arial" w:hAnsi="Arial"/>
                <w:b w:val="false"/>
                <w:bCs w:val="false"/>
                <w:color w:val="333333"/>
                <w:sz w:val="20"/>
                <w:szCs w:val="20"/>
              </w:rPr>
              <w:t xml:space="preserve">£68.43</w:t>
            </w:r>
          </w:p>
        </w:tc>
        <w:tc>
          <w:tcPr>
            <w:tcW w:type="dxa" w:w="1624"/>
            <w:tcBorders>
              <w:top w:val="single" w:color="DDDDDD" w:sz="1"/>
              <w:left w:val="single" w:color="DDDDDD" w:sz="1"/>
              <w:bottom w:val="single" w:color="DDDDDD" w:sz="1"/>
              <w:right w:val="single" w:color="DDDDDD" w:sz="1"/>
            </w:tcBorders>
            <w:shd w:fill="FFF9E0" w:val="clear"/>
            <w:tcMar>
              <w:top w:type="dxa" w:w="80"/>
              <w:left w:type="dxa" w:w="160"/>
              <w:bottom w:type="dxa" w:w="80"/>
              <w:right w:type="dxa" w:w="160"/>
            </w:tcMar>
          </w:tcPr>
          <w:p>
            <w:pPr>
              <w:spacing w:after="0" w:before="0"/>
              <w:jc w:val="right"/>
            </w:pPr>
            <w:r>
              <w:rPr>
                <w:rFonts w:ascii="Arial" w:cs="Arial" w:eastAsia="Arial" w:hAnsi="Arial"/>
                <w:b w:val="false"/>
                <w:bCs w:val="false"/>
                <w:color w:val="333333"/>
                <w:sz w:val="20"/>
                <w:szCs w:val="20"/>
              </w:rPr>
              <w:t xml:space="preserve">£72,262.08</w:t>
            </w:r>
          </w:p>
        </w:tc>
        <w:tc>
          <w:tcPr>
            <w:tcW w:type="dxa" w:w="1356"/>
            <w:tcBorders>
              <w:top w:val="single" w:color="DDDDDD" w:sz="1"/>
              <w:left w:val="single" w:color="DDDDDD" w:sz="1"/>
              <w:bottom w:val="single" w:color="DDDDDD" w:sz="1"/>
              <w:right w:val="single" w:color="DDDDDD" w:sz="1"/>
            </w:tcBorders>
            <w:shd w:fill="FFF9E0" w:val="clear"/>
            <w:tcMar>
              <w:top w:type="dxa" w:w="80"/>
              <w:left w:type="dxa" w:w="160"/>
              <w:bottom w:type="dxa" w:w="80"/>
              <w:right w:type="dxa" w:w="160"/>
            </w:tcMar>
          </w:tcPr>
          <w:p>
            <w:pPr>
              <w:spacing w:after="0" w:before="0"/>
              <w:jc w:val="left"/>
            </w:pPr>
            <w:r>
              <w:rPr>
                <w:rFonts w:ascii="Arial" w:cs="Arial" w:eastAsia="Arial" w:hAnsi="Arial"/>
                <w:b w:val="false"/>
                <w:bCs w:val="false"/>
                <w:color w:val="333333"/>
                <w:sz w:val="20"/>
                <w:szCs w:val="20"/>
              </w:rPr>
              <w:t xml:space="preserve"/>
            </w:r>
          </w:p>
        </w:tc>
      </w:tr>
      <w:tr>
        <w:tc>
          <w:tcPr>
            <w:tcW w:type="dxa" w:w="3429"/>
            <w:tcBorders>
              <w:top w:val="single" w:color="DDDDDD" w:sz="1"/>
              <w:left w:val="single" w:color="DDDDDD" w:sz="1"/>
              <w:bottom w:val="single" w:color="DDDDDD" w:sz="1"/>
              <w:right w:val="single" w:color="DDDDDD" w:sz="1"/>
            </w:tcBorders>
            <w:shd w:fill="FFF9E0" w:val="clear"/>
            <w:tcMar>
              <w:top w:type="dxa" w:w="80"/>
              <w:left w:type="dxa" w:w="160"/>
              <w:bottom w:type="dxa" w:w="80"/>
              <w:right w:type="dxa" w:w="160"/>
            </w:tcMar>
          </w:tcPr>
          <w:p>
            <w:pPr>
              <w:spacing w:after="0" w:before="0"/>
              <w:jc w:val="left"/>
            </w:pPr>
            <w:r>
              <w:rPr>
                <w:rFonts w:ascii="Arial" w:cs="Arial" w:eastAsia="Arial" w:hAnsi="Arial"/>
                <w:b w:val="false"/>
                <w:bCs w:val="false"/>
                <w:color w:val="333333"/>
                <w:sz w:val="20"/>
                <w:szCs w:val="20"/>
              </w:rPr>
              <w:t xml:space="preserve">SUB-TOTAL</w:t>
            </w:r>
          </w:p>
        </w:tc>
        <w:tc>
          <w:tcPr>
            <w:tcW w:type="dxa" w:w="1173"/>
            <w:tcBorders>
              <w:top w:val="single" w:color="DDDDDD" w:sz="1"/>
              <w:left w:val="single" w:color="DDDDDD" w:sz="1"/>
              <w:bottom w:val="single" w:color="DDDDDD" w:sz="1"/>
              <w:right w:val="single" w:color="DDDDDD" w:sz="1"/>
            </w:tcBorders>
            <w:shd w:fill="FFF9E0" w:val="clear"/>
            <w:tcMar>
              <w:top w:type="dxa" w:w="80"/>
              <w:left w:type="dxa" w:w="160"/>
              <w:bottom w:type="dxa" w:w="80"/>
              <w:right w:type="dxa" w:w="160"/>
            </w:tcMar>
          </w:tcPr>
          <w:p>
            <w:pPr>
              <w:spacing w:after="0" w:before="0"/>
              <w:jc w:val="right"/>
            </w:pPr>
            <w:r>
              <w:rPr>
                <w:rFonts w:ascii="Arial" w:cs="Arial" w:eastAsia="Arial" w:hAnsi="Arial"/>
                <w:b w:val="false"/>
                <w:bCs w:val="false"/>
                <w:color w:val="333333"/>
                <w:sz w:val="20"/>
                <w:szCs w:val="20"/>
              </w:rPr>
              <w:t xml:space="preserve"/>
            </w:r>
          </w:p>
        </w:tc>
        <w:tc>
          <w:tcPr>
            <w:tcW w:type="dxa" w:w="1444"/>
            <w:tcBorders>
              <w:top w:val="single" w:color="DDDDDD" w:sz="1"/>
              <w:left w:val="single" w:color="DDDDDD" w:sz="1"/>
              <w:bottom w:val="single" w:color="DDDDDD" w:sz="1"/>
              <w:right w:val="single" w:color="DDDDDD" w:sz="1"/>
            </w:tcBorders>
            <w:shd w:fill="FFF9E0" w:val="clear"/>
            <w:tcMar>
              <w:top w:type="dxa" w:w="80"/>
              <w:left w:type="dxa" w:w="160"/>
              <w:bottom w:type="dxa" w:w="80"/>
              <w:right w:type="dxa" w:w="160"/>
            </w:tcMar>
          </w:tcPr>
          <w:p>
            <w:pPr>
              <w:spacing w:after="0" w:before="0"/>
              <w:jc w:val="right"/>
            </w:pPr>
            <w:r>
              <w:rPr>
                <w:rFonts w:ascii="Arial" w:cs="Arial" w:eastAsia="Arial" w:hAnsi="Arial"/>
                <w:b w:val="false"/>
                <w:bCs w:val="false"/>
                <w:color w:val="333333"/>
                <w:sz w:val="20"/>
                <w:szCs w:val="20"/>
              </w:rPr>
              <w:t xml:space="preserve"/>
            </w:r>
          </w:p>
        </w:tc>
        <w:tc>
          <w:tcPr>
            <w:tcW w:type="dxa" w:w="1624"/>
            <w:tcBorders>
              <w:top w:val="single" w:color="DDDDDD" w:sz="1"/>
              <w:left w:val="single" w:color="DDDDDD" w:sz="1"/>
              <w:bottom w:val="single" w:color="DDDDDD" w:sz="1"/>
              <w:right w:val="single" w:color="DDDDDD" w:sz="1"/>
            </w:tcBorders>
            <w:shd w:fill="FFF9E0" w:val="clear"/>
            <w:tcMar>
              <w:top w:type="dxa" w:w="80"/>
              <w:left w:type="dxa" w:w="160"/>
              <w:bottom w:type="dxa" w:w="80"/>
              <w:right w:type="dxa" w:w="160"/>
            </w:tcMar>
          </w:tcPr>
          <w:p>
            <w:pPr>
              <w:spacing w:after="0" w:before="0"/>
              <w:jc w:val="right"/>
            </w:pPr>
            <w:r>
              <w:rPr>
                <w:rFonts w:ascii="Arial" w:cs="Arial" w:eastAsia="Arial" w:hAnsi="Arial"/>
                <w:b w:val="false"/>
                <w:bCs w:val="false"/>
                <w:color w:val="333333"/>
                <w:sz w:val="20"/>
                <w:szCs w:val="20"/>
              </w:rPr>
              <w:t xml:space="preserve">£2,940,299.64</w:t>
            </w:r>
          </w:p>
        </w:tc>
        <w:tc>
          <w:tcPr>
            <w:tcW w:type="dxa" w:w="1356"/>
            <w:tcBorders>
              <w:top w:val="single" w:color="DDDDDD" w:sz="1"/>
              <w:left w:val="single" w:color="DDDDDD" w:sz="1"/>
              <w:bottom w:val="single" w:color="DDDDDD" w:sz="1"/>
              <w:right w:val="single" w:color="DDDDDD" w:sz="1"/>
            </w:tcBorders>
            <w:shd w:fill="FFF9E0" w:val="clear"/>
            <w:tcMar>
              <w:top w:type="dxa" w:w="80"/>
              <w:left w:type="dxa" w:w="160"/>
              <w:bottom w:type="dxa" w:w="80"/>
              <w:right w:type="dxa" w:w="160"/>
            </w:tcMar>
          </w:tcPr>
          <w:p>
            <w:pPr>
              <w:spacing w:after="0" w:before="0"/>
              <w:jc w:val="left"/>
            </w:pPr>
            <w:r>
              <w:rPr>
                <w:rFonts w:ascii="Arial" w:cs="Arial" w:eastAsia="Arial" w:hAnsi="Arial"/>
                <w:b w:val="false"/>
                <w:bCs w:val="false"/>
                <w:color w:val="333333"/>
                <w:sz w:val="20"/>
                <w:szCs w:val="20"/>
              </w:rPr>
              <w:t xml:space="preserve"/>
            </w:r>
          </w:p>
        </w:tc>
      </w:tr>
      <w:tr>
        <w:tc>
          <w:tcPr>
            <w:tcW w:type="dxa" w:w="3429"/>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spacing w:after="0" w:before="0"/>
              <w:jc w:val="left"/>
            </w:pPr>
            <w:r>
              <w:rPr>
                <w:rFonts w:ascii="Arial" w:cs="Arial" w:eastAsia="Arial" w:hAnsi="Arial"/>
                <w:b w:val="false"/>
                <w:bCs w:val="false"/>
                <w:color w:val="333333"/>
                <w:sz w:val="20"/>
                <w:szCs w:val="20"/>
              </w:rPr>
              <w:t xml:space="preserve">2.5% MCD Discount</w:t>
            </w:r>
          </w:p>
        </w:tc>
        <w:tc>
          <w:tcPr>
            <w:tcW w:type="dxa" w:w="1173"/>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spacing w:after="0" w:before="0"/>
              <w:jc w:val="right"/>
            </w:pPr>
            <w:r>
              <w:rPr>
                <w:rFonts w:ascii="Arial" w:cs="Arial" w:eastAsia="Arial" w:hAnsi="Arial"/>
                <w:b w:val="false"/>
                <w:bCs w:val="false"/>
                <w:color w:val="333333"/>
                <w:sz w:val="20"/>
                <w:szCs w:val="20"/>
              </w:rPr>
              <w:t xml:space="preserve"/>
            </w:r>
          </w:p>
        </w:tc>
        <w:tc>
          <w:tcPr>
            <w:tcW w:type="dxa" w:w="1444"/>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spacing w:after="0" w:before="0"/>
              <w:jc w:val="right"/>
            </w:pPr>
            <w:r>
              <w:rPr>
                <w:rFonts w:ascii="Arial" w:cs="Arial" w:eastAsia="Arial" w:hAnsi="Arial"/>
                <w:b w:val="false"/>
                <w:bCs w:val="false"/>
                <w:color w:val="333333"/>
                <w:sz w:val="20"/>
                <w:szCs w:val="20"/>
              </w:rPr>
              <w:t xml:space="preserve"/>
            </w:r>
          </w:p>
        </w:tc>
        <w:tc>
          <w:tcPr>
            <w:tcW w:type="dxa" w:w="1624"/>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spacing w:after="0" w:before="0"/>
              <w:jc w:val="right"/>
            </w:pPr>
            <w:r>
              <w:rPr>
                <w:rFonts w:ascii="Arial" w:cs="Arial" w:eastAsia="Arial" w:hAnsi="Arial"/>
                <w:b w:val="false"/>
                <w:bCs w:val="false"/>
                <w:color w:val="333333"/>
                <w:sz w:val="20"/>
                <w:szCs w:val="20"/>
              </w:rPr>
              <w:t xml:space="preserve">-£73,507.49</w:t>
            </w:r>
          </w:p>
        </w:tc>
        <w:tc>
          <w:tcPr>
            <w:tcW w:type="dxa" w:w="1356"/>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spacing w:after="0" w:before="0"/>
              <w:jc w:val="left"/>
            </w:pPr>
            <w:r>
              <w:rPr>
                <w:rFonts w:ascii="Arial" w:cs="Arial" w:eastAsia="Arial" w:hAnsi="Arial"/>
                <w:b w:val="false"/>
                <w:bCs w:val="false"/>
                <w:color w:val="333333"/>
                <w:sz w:val="20"/>
                <w:szCs w:val="20"/>
              </w:rPr>
              <w:t xml:space="preserve"/>
            </w:r>
          </w:p>
        </w:tc>
      </w:tr>
      <w:tr>
        <w:tc>
          <w:tcPr>
            <w:tcW w:type="dxa" w:w="6046"/>
            <w:gridSpan w:val="3"/>
            <w:tcBorders>
              <w:top w:val="single" w:color="1A1A2E" w:sz="1"/>
              <w:left w:val="single" w:color="1A1A2E" w:sz="1"/>
              <w:bottom w:val="single" w:color="1A1A2E" w:sz="1"/>
              <w:right w:val="single" w:color="1A1A2E" w:sz="1"/>
            </w:tcBorders>
            <w:shd w:fill="1A1A2E" w:val="clear"/>
            <w:tcMar>
              <w:top w:type="dxa" w:w="100"/>
              <w:left w:type="dxa" w:w="160"/>
              <w:bottom w:type="dxa" w:w="100"/>
              <w:right w:type="dxa" w:w="160"/>
            </w:tcMar>
          </w:tcPr>
          <w:p>
            <w:pPr>
              <w:spacing w:after="0" w:before="0"/>
            </w:pPr>
            <w:r>
              <w:rPr>
                <w:rFonts w:ascii="Arial" w:cs="Arial" w:eastAsia="Arial" w:hAnsi="Arial"/>
                <w:b/>
                <w:bCs/>
                <w:color w:val="FFFFFF"/>
                <w:sz w:val="22"/>
                <w:szCs w:val="22"/>
              </w:rPr>
              <w:t xml:space="preserve">INDICATIVE TOTAL (excl. VAT)</w:t>
            </w:r>
          </w:p>
        </w:tc>
        <w:tc>
          <w:tcPr>
            <w:tcW w:type="dxa" w:w="2980"/>
            <w:gridSpan w:val="2"/>
            <w:tcBorders>
              <w:top w:val="single" w:color="1A1A2E" w:sz="1"/>
              <w:left w:val="single" w:color="1A1A2E" w:sz="1"/>
              <w:bottom w:val="single" w:color="1A1A2E" w:sz="1"/>
              <w:right w:val="single" w:color="1A1A2E" w:sz="1"/>
            </w:tcBorders>
            <w:shd w:fill="E8C547" w:val="clear"/>
            <w:tcMar>
              <w:top w:type="dxa" w:w="100"/>
              <w:left w:type="dxa" w:w="160"/>
              <w:bottom w:type="dxa" w:w="100"/>
              <w:right w:type="dxa" w:w="160"/>
            </w:tcMar>
          </w:tcPr>
          <w:p>
            <w:pPr>
              <w:spacing w:after="0" w:before="0"/>
              <w:jc w:val="right"/>
            </w:pPr>
            <w:r>
              <w:rPr>
                <w:rFonts w:ascii="Arial" w:cs="Arial" w:eastAsia="Arial" w:hAnsi="Arial"/>
                <w:b/>
                <w:bCs/>
                <w:color w:val="1A1A2E"/>
                <w:sz w:val="22"/>
                <w:szCs w:val="22"/>
              </w:rPr>
              <w:t xml:space="preserve">£2,866,792.15</w:t>
            </w:r>
          </w:p>
        </w:tc>
      </w:tr>
      <w:tr>
        <w:tc>
          <w:tcPr>
            <w:tcW w:type="dxa" w:w="3429"/>
            <w:tcBorders>
              <w:top w:val="single" w:color="DDDDDD" w:sz="1"/>
              <w:left w:val="single" w:color="DDDDDD" w:sz="1"/>
              <w:bottom w:val="single" w:color="DDDDDD" w:sz="1"/>
              <w:right w:val="single" w:color="DDDDDD" w:sz="1"/>
            </w:tcBorders>
            <w:shd w:fill="F7F5F0" w:val="clear"/>
            <w:tcMar>
              <w:top w:type="dxa" w:w="80"/>
              <w:left w:type="dxa" w:w="160"/>
              <w:bottom w:type="dxa" w:w="80"/>
              <w:right w:type="dxa" w:w="160"/>
            </w:tcMar>
          </w:tcPr>
          <w:p>
            <w:pPr>
              <w:spacing w:after="0" w:before="0"/>
              <w:jc w:val="left"/>
            </w:pPr>
            <w:r>
              <w:rPr>
                <w:rFonts w:ascii="Arial" w:cs="Arial" w:eastAsia="Arial" w:hAnsi="Arial"/>
                <w:b w:val="false"/>
                <w:bCs w:val="false"/>
                <w:color w:val="333333"/>
                <w:sz w:val="20"/>
                <w:szCs w:val="20"/>
              </w:rPr>
              <w:t xml:space="preserve">Indicative cost per bedroom</w:t>
            </w:r>
          </w:p>
        </w:tc>
        <w:tc>
          <w:tcPr>
            <w:tcW w:type="dxa" w:w="1173"/>
            <w:tcBorders>
              <w:top w:val="single" w:color="DDDDDD" w:sz="1"/>
              <w:left w:val="single" w:color="DDDDDD" w:sz="1"/>
              <w:bottom w:val="single" w:color="DDDDDD" w:sz="1"/>
              <w:right w:val="single" w:color="DDDDDD" w:sz="1"/>
            </w:tcBorders>
            <w:shd w:fill="F7F5F0" w:val="clear"/>
            <w:tcMar>
              <w:top w:type="dxa" w:w="80"/>
              <w:left w:type="dxa" w:w="160"/>
              <w:bottom w:type="dxa" w:w="80"/>
              <w:right w:type="dxa" w:w="160"/>
            </w:tcMar>
          </w:tcPr>
          <w:p>
            <w:pPr>
              <w:spacing w:after="0" w:before="0"/>
              <w:jc w:val="right"/>
            </w:pPr>
            <w:r>
              <w:rPr>
                <w:rFonts w:ascii="Arial" w:cs="Arial" w:eastAsia="Arial" w:hAnsi="Arial"/>
                <w:b w:val="false"/>
                <w:bCs w:val="false"/>
                <w:color w:val="333333"/>
                <w:sz w:val="20"/>
                <w:szCs w:val="20"/>
              </w:rPr>
              <w:t xml:space="preserve"/>
            </w:r>
          </w:p>
        </w:tc>
        <w:tc>
          <w:tcPr>
            <w:tcW w:type="dxa" w:w="1444"/>
            <w:tcBorders>
              <w:top w:val="single" w:color="DDDDDD" w:sz="1"/>
              <w:left w:val="single" w:color="DDDDDD" w:sz="1"/>
              <w:bottom w:val="single" w:color="DDDDDD" w:sz="1"/>
              <w:right w:val="single" w:color="DDDDDD" w:sz="1"/>
            </w:tcBorders>
            <w:shd w:fill="F7F5F0" w:val="clear"/>
            <w:tcMar>
              <w:top w:type="dxa" w:w="80"/>
              <w:left w:type="dxa" w:w="160"/>
              <w:bottom w:type="dxa" w:w="80"/>
              <w:right w:type="dxa" w:w="160"/>
            </w:tcMar>
          </w:tcPr>
          <w:p>
            <w:pPr>
              <w:spacing w:after="0" w:before="0"/>
              <w:jc w:val="right"/>
            </w:pPr>
            <w:r>
              <w:rPr>
                <w:rFonts w:ascii="Arial" w:cs="Arial" w:eastAsia="Arial" w:hAnsi="Arial"/>
                <w:b w:val="false"/>
                <w:bCs w:val="false"/>
                <w:color w:val="333333"/>
                <w:sz w:val="20"/>
                <w:szCs w:val="20"/>
              </w:rPr>
              <w:t xml:space="preserve"/>
            </w:r>
          </w:p>
        </w:tc>
        <w:tc>
          <w:tcPr>
            <w:tcW w:type="dxa" w:w="1624"/>
            <w:tcBorders>
              <w:top w:val="single" w:color="DDDDDD" w:sz="1"/>
              <w:left w:val="single" w:color="DDDDDD" w:sz="1"/>
              <w:bottom w:val="single" w:color="DDDDDD" w:sz="1"/>
              <w:right w:val="single" w:color="DDDDDD" w:sz="1"/>
            </w:tcBorders>
            <w:shd w:fill="F7F5F0" w:val="clear"/>
            <w:tcMar>
              <w:top w:type="dxa" w:w="80"/>
              <w:left w:type="dxa" w:w="160"/>
              <w:bottom w:type="dxa" w:w="80"/>
              <w:right w:type="dxa" w:w="160"/>
            </w:tcMar>
          </w:tcPr>
          <w:p>
            <w:pPr>
              <w:spacing w:after="0" w:before="0"/>
              <w:jc w:val="right"/>
            </w:pPr>
            <w:r>
              <w:rPr>
                <w:rFonts w:ascii="Arial" w:cs="Arial" w:eastAsia="Arial" w:hAnsi="Arial"/>
                <w:b w:val="false"/>
                <w:bCs w:val="false"/>
                <w:color w:val="333333"/>
                <w:sz w:val="20"/>
                <w:szCs w:val="20"/>
              </w:rPr>
              <w:t xml:space="preserve">£1,889.76</w:t>
            </w:r>
          </w:p>
        </w:tc>
        <w:tc>
          <w:tcPr>
            <w:tcW w:type="dxa" w:w="1356"/>
            <w:tcBorders>
              <w:top w:val="single" w:color="DDDDDD" w:sz="1"/>
              <w:left w:val="single" w:color="DDDDDD" w:sz="1"/>
              <w:bottom w:val="single" w:color="DDDDDD" w:sz="1"/>
              <w:right w:val="single" w:color="DDDDDD" w:sz="1"/>
            </w:tcBorders>
            <w:shd w:fill="F7F5F0" w:val="clear"/>
            <w:tcMar>
              <w:top w:type="dxa" w:w="80"/>
              <w:left w:type="dxa" w:w="160"/>
              <w:bottom w:type="dxa" w:w="80"/>
              <w:right w:type="dxa" w:w="160"/>
            </w:tcMar>
          </w:tcPr>
          <w:p>
            <w:pPr>
              <w:spacing w:after="0" w:before="0"/>
              <w:jc w:val="left"/>
            </w:pPr>
            <w:r>
              <w:rPr>
                <w:rFonts w:ascii="Arial" w:cs="Arial" w:eastAsia="Arial" w:hAnsi="Arial"/>
                <w:b w:val="false"/>
                <w:bCs w:val="false"/>
                <w:color w:val="333333"/>
                <w:sz w:val="20"/>
                <w:szCs w:val="20"/>
              </w:rPr>
              <w:t xml:space="preserve"/>
            </w:r>
          </w:p>
        </w:tc>
      </w:tr>
    </w:tbl>
    <w:p>
      <w:pPr>
        <w:spacing w:after="80" w:before="0"/>
      </w:pPr>
      <w:r>
        <w:rPr>
          <w:rFonts w:ascii="Arial" w:cs="Arial" w:eastAsia="Arial" w:hAnsi="Arial"/>
          <w:color w:val="333333"/>
          <w:sz w:val="22"/>
          <w:szCs w:val="22"/>
        </w:rPr>
        <w:t xml:space="preserve"/>
      </w:r>
    </w:p>
    <w:p>
      <w:pPr>
        <w:pStyle w:val="Heading2"/>
        <w:spacing w:after="80" w:before="280"/>
      </w:pPr>
      <w:r>
        <w:rPr>
          <w:rFonts w:ascii="Arial" w:cs="Arial" w:eastAsia="Arial" w:hAnsi="Arial"/>
          <w:b/>
          <w:bCs/>
          <w:color w:val="1A1A2E"/>
          <w:sz w:val="24"/>
          <w:szCs w:val="24"/>
        </w:rPr>
        <w:t xml:space="preserve">Assumed room split (basis of estimate)</w:t>
      </w:r>
    </w:p>
    <w:p>
      <w:pPr>
        <w:tabs>
          <w:tab w:val="left" w:pos="2800"/>
        </w:tabs>
        <w:spacing w:after="80" w:before="0"/>
      </w:pPr>
      <w:r>
        <w:rPr>
          <w:rFonts w:ascii="Arial" w:cs="Arial" w:eastAsia="Arial" w:hAnsi="Arial"/>
          <w:b/>
          <w:bCs/>
          <w:color w:val="1A1A2E"/>
          <w:sz w:val="22"/>
          <w:szCs w:val="22"/>
        </w:rPr>
        <w:t xml:space="preserve">Cluster bedrooms (assumed)</w:t>
      </w:r>
      <w:r>
        <w:rPr>
          <w:rFonts w:ascii="Arial" w:cs="Arial" w:eastAsia="Arial" w:hAnsi="Arial"/>
        </w:rPr>
        <w:t xml:space="preserve">	</w:t>
      </w:r>
      <w:r>
        <w:rPr>
          <w:rFonts w:ascii="Arial" w:cs="Arial" w:eastAsia="Arial" w:hAnsi="Arial"/>
          <w:b w:val="false"/>
          <w:bCs w:val="false"/>
          <w:color w:val="333333"/>
          <w:sz w:val="22"/>
          <w:szCs w:val="22"/>
        </w:rPr>
        <w:t xml:space="preserve">748 beds</w:t>
      </w:r>
    </w:p>
    <w:p>
      <w:pPr>
        <w:tabs>
          <w:tab w:val="left" w:pos="2800"/>
        </w:tabs>
        <w:spacing w:after="80" w:before="0"/>
      </w:pPr>
      <w:r>
        <w:rPr>
          <w:rFonts w:ascii="Arial" w:cs="Arial" w:eastAsia="Arial" w:hAnsi="Arial"/>
          <w:b/>
          <w:bCs/>
          <w:color w:val="1A1A2E"/>
          <w:sz w:val="22"/>
          <w:szCs w:val="22"/>
        </w:rPr>
        <w:t xml:space="preserve">Standard Studios (assumed)</w:t>
      </w:r>
      <w:r>
        <w:rPr>
          <w:rFonts w:ascii="Arial" w:cs="Arial" w:eastAsia="Arial" w:hAnsi="Arial"/>
        </w:rPr>
        <w:t xml:space="preserve">	</w:t>
      </w:r>
      <w:r>
        <w:rPr>
          <w:rFonts w:ascii="Arial" w:cs="Arial" w:eastAsia="Arial" w:hAnsi="Arial"/>
          <w:b w:val="false"/>
          <w:bCs w:val="false"/>
          <w:color w:val="333333"/>
          <w:sz w:val="22"/>
          <w:szCs w:val="22"/>
        </w:rPr>
        <w:t xml:space="preserve">144</w:t>
      </w:r>
    </w:p>
    <w:p>
      <w:pPr>
        <w:tabs>
          <w:tab w:val="left" w:pos="2800"/>
        </w:tabs>
        <w:spacing w:after="80" w:before="0"/>
      </w:pPr>
      <w:r>
        <w:rPr>
          <w:rFonts w:ascii="Arial" w:cs="Arial" w:eastAsia="Arial" w:hAnsi="Arial"/>
          <w:b/>
          <w:bCs/>
          <w:color w:val="1A1A2E"/>
          <w:sz w:val="22"/>
          <w:szCs w:val="22"/>
        </w:rPr>
        <w:t xml:space="preserve">Accessible (DDA) Studios (assumed)</w:t>
      </w:r>
      <w:r>
        <w:rPr>
          <w:rFonts w:ascii="Arial" w:cs="Arial" w:eastAsia="Arial" w:hAnsi="Arial"/>
        </w:rPr>
        <w:t xml:space="preserve">	</w:t>
      </w:r>
      <w:r>
        <w:rPr>
          <w:rFonts w:ascii="Arial" w:cs="Arial" w:eastAsia="Arial" w:hAnsi="Arial"/>
          <w:b w:val="false"/>
          <w:bCs w:val="false"/>
          <w:color w:val="333333"/>
          <w:sz w:val="22"/>
          <w:szCs w:val="22"/>
        </w:rPr>
        <w:t xml:space="preserve">34</w:t>
      </w:r>
    </w:p>
    <w:p>
      <w:pPr>
        <w:tabs>
          <w:tab w:val="left" w:pos="2800"/>
        </w:tabs>
        <w:spacing w:after="80" w:before="0"/>
      </w:pPr>
      <w:r>
        <w:rPr>
          <w:rFonts w:ascii="Arial" w:cs="Arial" w:eastAsia="Arial" w:hAnsi="Arial"/>
          <w:b/>
          <w:bCs/>
          <w:color w:val="1A1A2E"/>
          <w:sz w:val="22"/>
          <w:szCs w:val="22"/>
        </w:rPr>
        <w:t xml:space="preserve">KLD 5-person (assumed)</w:t>
      </w:r>
      <w:r>
        <w:rPr>
          <w:rFonts w:ascii="Arial" w:cs="Arial" w:eastAsia="Arial" w:hAnsi="Arial"/>
        </w:rPr>
        <w:t xml:space="preserve">	</w:t>
      </w:r>
      <w:r>
        <w:rPr>
          <w:rFonts w:ascii="Arial" w:cs="Arial" w:eastAsia="Arial" w:hAnsi="Arial"/>
          <w:b w:val="false"/>
          <w:bCs w:val="false"/>
          <w:color w:val="333333"/>
          <w:sz w:val="22"/>
          <w:szCs w:val="22"/>
        </w:rPr>
        <w:t xml:space="preserve">20 KLDs</w:t>
      </w:r>
    </w:p>
    <w:p>
      <w:pPr>
        <w:tabs>
          <w:tab w:val="left" w:pos="2800"/>
        </w:tabs>
        <w:spacing w:after="80" w:before="0"/>
      </w:pPr>
      <w:r>
        <w:rPr>
          <w:rFonts w:ascii="Arial" w:cs="Arial" w:eastAsia="Arial" w:hAnsi="Arial"/>
          <w:b/>
          <w:bCs/>
          <w:color w:val="1A1A2E"/>
          <w:sz w:val="22"/>
          <w:szCs w:val="22"/>
        </w:rPr>
        <w:t xml:space="preserve">KLD 6-person (assumed)</w:t>
      </w:r>
      <w:r>
        <w:rPr>
          <w:rFonts w:ascii="Arial" w:cs="Arial" w:eastAsia="Arial" w:hAnsi="Arial"/>
        </w:rPr>
        <w:t xml:space="preserve">	</w:t>
      </w:r>
      <w:r>
        <w:rPr>
          <w:rFonts w:ascii="Arial" w:cs="Arial" w:eastAsia="Arial" w:hAnsi="Arial"/>
          <w:b w:val="false"/>
          <w:bCs w:val="false"/>
          <w:color w:val="333333"/>
          <w:sz w:val="22"/>
          <w:szCs w:val="22"/>
        </w:rPr>
        <w:t xml:space="preserve">60 KLDs</w:t>
      </w:r>
    </w:p>
    <w:p>
      <w:pPr>
        <w:tabs>
          <w:tab w:val="left" w:pos="2800"/>
        </w:tabs>
        <w:spacing w:after="80" w:before="0"/>
      </w:pPr>
      <w:r>
        <w:rPr>
          <w:rFonts w:ascii="Arial" w:cs="Arial" w:eastAsia="Arial" w:hAnsi="Arial"/>
          <w:b/>
          <w:bCs/>
          <w:color w:val="1A1A2E"/>
          <w:sz w:val="22"/>
          <w:szCs w:val="22"/>
        </w:rPr>
        <w:t xml:space="preserve">KLD 7-person (assumed)</w:t>
      </w:r>
      <w:r>
        <w:rPr>
          <w:rFonts w:ascii="Arial" w:cs="Arial" w:eastAsia="Arial" w:hAnsi="Arial"/>
        </w:rPr>
        <w:t xml:space="preserve">	</w:t>
      </w:r>
      <w:r>
        <w:rPr>
          <w:rFonts w:ascii="Arial" w:cs="Arial" w:eastAsia="Arial" w:hAnsi="Arial"/>
          <w:b w:val="false"/>
          <w:bCs w:val="false"/>
          <w:color w:val="333333"/>
          <w:sz w:val="22"/>
          <w:szCs w:val="22"/>
        </w:rPr>
        <w:t xml:space="preserve">30 KLDs</w:t>
      </w:r>
    </w:p>
    <w:p>
      <w:pPr>
        <w:tabs>
          <w:tab w:val="left" w:pos="2800"/>
        </w:tabs>
        <w:spacing w:after="80" w:before="0"/>
      </w:pPr>
      <w:r>
        <w:rPr>
          <w:rFonts w:ascii="Arial" w:cs="Arial" w:eastAsia="Arial" w:hAnsi="Arial"/>
          <w:b/>
          <w:bCs/>
          <w:color w:val="1A1A2E"/>
          <w:sz w:val="22"/>
          <w:szCs w:val="22"/>
        </w:rPr>
        <w:t xml:space="preserve">KLD 8-person (assumed)</w:t>
      </w:r>
      <w:r>
        <w:rPr>
          <w:rFonts w:ascii="Arial" w:cs="Arial" w:eastAsia="Arial" w:hAnsi="Arial"/>
        </w:rPr>
        <w:t xml:space="preserve">	</w:t>
      </w:r>
      <w:r>
        <w:rPr>
          <w:rFonts w:ascii="Arial" w:cs="Arial" w:eastAsia="Arial" w:hAnsi="Arial"/>
          <w:b w:val="false"/>
          <w:bCs w:val="false"/>
          <w:color w:val="333333"/>
          <w:sz w:val="22"/>
          <w:szCs w:val="22"/>
        </w:rPr>
        <w:t xml:space="preserve">16 KLDs</w:t>
      </w:r>
    </w:p>
    <w:p>
      <w:pPr>
        <w:spacing w:after="80" w:before="0"/>
      </w:pPr>
      <w:r>
        <w:rPr>
          <w:rFonts w:ascii="Arial" w:cs="Arial" w:eastAsia="Arial" w:hAnsi="Arial"/>
          <w:color w:val="333333"/>
          <w:sz w:val="22"/>
          <w:szCs w:val="22"/>
        </w:rPr>
        <w:t xml:space="preserve"/>
      </w:r>
    </w:p>
    <w:p>
      <w:pPr>
        <w:spacing w:after="150" w:before="0"/>
      </w:pPr>
      <w:r>
        <w:rPr>
          <w:rFonts w:ascii="Arial" w:cs="Arial" w:eastAsia="Arial" w:hAnsi="Arial"/>
          <w:color w:val="333333"/>
          <w:sz w:val="22"/>
          <w:szCs w:val="22"/>
        </w:rPr>
        <w:t xml:space="preserve">Room mix assumed based on typical university campus halls: 748 cluster beds (8 blocks, mix of 5-8 person clusters) + 144 standard studios + 34 DDA rooms. Cluster KLDs assumed 130 total. Confirm with University tender documentation.</w:t>
      </w:r>
    </w:p>
    <w:p>
      <w:pPr>
        <w:spacing w:after="120" w:before="0"/>
      </w:pPr>
      <w:r>
        <w:rPr>
          <w:rFonts w:ascii="Arial" w:cs="Arial" w:eastAsia="Arial" w:hAnsi="Arial"/>
          <w:color w:val="333333"/>
          <w:sz w:val="22"/>
          <w:szCs w:val="22"/>
        </w:rPr>
        <w:t xml:space="preserve"/>
      </w:r>
    </w:p>
    <w:p>
      <w:pPr>
        <w:pBdr>
          <w:bottom w:val="single" w:color="E8C547" w:sz="4"/>
        </w:pBdr>
        <w:spacing w:after="80" w:before="80"/>
      </w:pPr>
      <w:r>
        <w:rPr>
          <w:rFonts w:ascii="Arial" w:cs="Arial" w:eastAsia="Arial" w:hAnsi="Arial"/>
          <w:color w:val="333333"/>
          <w:sz w:val="22"/>
          <w:szCs w:val="22"/>
        </w:rPr>
        <w:t xml:space="preserve"/>
      </w:r>
    </w:p>
    <w:p>
      <w:r>
        <w:br w:type="page"/>
      </w:r>
    </w:p>
    <w:p>
      <w:pPr>
        <w:spacing w:after="60" w:before="0"/>
      </w:pPr>
      <w:r>
        <w:rPr>
          <w:rFonts w:ascii="Arial" w:cs="Arial" w:eastAsia="Arial" w:hAnsi="Arial"/>
          <w:b/>
          <w:bCs/>
          <w:color w:val="7F8C8D"/>
          <w:sz w:val="18"/>
          <w:szCs w:val="18"/>
        </w:rPr>
        <w:t xml:space="preserve">Scheme Priority 3</w:t>
      </w:r>
    </w:p>
    <w:p>
      <w:pPr>
        <w:spacing w:after="60" w:before="0"/>
      </w:pPr>
      <w:r>
        <w:rPr>
          <w:rFonts w:ascii="Arial" w:cs="Arial" w:eastAsia="Arial" w:hAnsi="Arial"/>
          <w:b/>
          <w:bCs/>
          <w:color w:val="1A1A2E"/>
          <w:sz w:val="22"/>
          <w:szCs w:val="22"/>
        </w:rPr>
        <w:t xml:space="preserve">PBSA </w:t>
      </w:r>
      <w:r>
        <w:rPr>
          <w:rFonts w:ascii="Arial" w:cs="Arial" w:eastAsia="Arial" w:hAnsi="Arial"/>
          <w:color w:val="7F8C8D"/>
          <w:sz w:val="19"/>
          <w:szCs w:val="19"/>
        </w:rPr>
        <w:t xml:space="preserve">High — long post-consent gap, procurement window still open</w:t>
      </w:r>
    </w:p>
    <w:p>
      <w:pPr>
        <w:spacing w:after="80" w:before="0"/>
      </w:pPr>
      <w:r>
        <w:rPr>
          <w:rFonts w:ascii="Arial" w:cs="Arial" w:eastAsia="Arial" w:hAnsi="Arial"/>
          <w:b/>
          <w:bCs/>
          <w:color w:val="1A1A2E"/>
          <w:sz w:val="36"/>
          <w:szCs w:val="36"/>
        </w:rPr>
        <w:t xml:space="preserve">38 Albert Road, Bristol (Temple Quarter)</w:t>
      </w:r>
    </w:p>
    <w:p>
      <w:pPr>
        <w:pBdr>
          <w:bottom w:val="single" w:color="E8C547" w:sz="6"/>
        </w:pBdr>
        <w:spacing w:after="120" w:before="0"/>
      </w:pPr>
      <w:r>
        <w:rPr>
          <w:rFonts w:ascii="Arial" w:cs="Arial" w:eastAsia="Arial" w:hAnsi="Arial"/>
          <w:color w:val="333333"/>
          <w:sz w:val="22"/>
          <w:szCs w:val="22"/>
        </w:rPr>
        <w:t xml:space="preserve"/>
      </w:r>
    </w:p>
    <w:p>
      <w:pPr>
        <w:spacing w:after="80" w:before="0"/>
      </w:pPr>
      <w:r>
        <w:rPr>
          <w:rFonts w:ascii="Arial" w:cs="Arial" w:eastAsia="Arial" w:hAnsi="Arial"/>
          <w:color w:val="333333"/>
          <w:sz w:val="22"/>
          <w:szCs w:val="22"/>
        </w:rPr>
        <w:t xml:space="preserve"/>
      </w:r>
    </w:p>
    <w:p>
      <w:pPr>
        <w:pStyle w:val="Heading2"/>
        <w:spacing w:after="80" w:before="280"/>
      </w:pPr>
      <w:r>
        <w:rPr>
          <w:rFonts w:ascii="Arial" w:cs="Arial" w:eastAsia="Arial" w:hAnsi="Arial"/>
          <w:b/>
          <w:bCs/>
          <w:color w:val="1A1A2E"/>
          <w:sz w:val="24"/>
          <w:szCs w:val="24"/>
        </w:rPr>
        <w:t xml:space="preserve">Planning application</w:t>
      </w:r>
    </w:p>
    <w:p>
      <w:pPr>
        <w:tabs>
          <w:tab w:val="left" w:pos="2800"/>
        </w:tabs>
        <w:spacing w:after="80" w:before="0"/>
      </w:pPr>
      <w:r>
        <w:rPr>
          <w:rFonts w:ascii="Arial" w:cs="Arial" w:eastAsia="Arial" w:hAnsi="Arial"/>
          <w:b/>
          <w:bCs/>
          <w:color w:val="1A1A2E"/>
          <w:sz w:val="22"/>
          <w:szCs w:val="22"/>
        </w:rPr>
        <w:t xml:space="preserve">Planning reference</w:t>
      </w:r>
      <w:r>
        <w:rPr>
          <w:rFonts w:ascii="Arial" w:cs="Arial" w:eastAsia="Arial" w:hAnsi="Arial"/>
        </w:rPr>
        <w:t xml:space="preserve">	</w:t>
      </w:r>
      <w:r>
        <w:rPr>
          <w:rFonts w:ascii="Arial" w:cs="Arial" w:eastAsia="Arial" w:hAnsi="Arial"/>
          <w:b/>
          <w:bCs/>
          <w:color w:val="333333"/>
          <w:sz w:val="22"/>
          <w:szCs w:val="22"/>
        </w:rPr>
        <w:t xml:space="preserve">24/02498/F</w:t>
      </w:r>
    </w:p>
    <w:p>
      <w:pPr>
        <w:tabs>
          <w:tab w:val="left" w:pos="2800"/>
        </w:tabs>
        <w:spacing w:after="80" w:before="0"/>
      </w:pPr>
      <w:r>
        <w:rPr>
          <w:rFonts w:ascii="Arial" w:cs="Arial" w:eastAsia="Arial" w:hAnsi="Arial"/>
          <w:b/>
          <w:bCs/>
          <w:color w:val="1A1A2E"/>
          <w:sz w:val="22"/>
          <w:szCs w:val="22"/>
        </w:rPr>
        <w:t xml:space="preserve">Address</w:t>
      </w:r>
      <w:r>
        <w:rPr>
          <w:rFonts w:ascii="Arial" w:cs="Arial" w:eastAsia="Arial" w:hAnsi="Arial"/>
        </w:rPr>
        <w:t xml:space="preserve">	</w:t>
      </w:r>
      <w:r>
        <w:rPr>
          <w:rFonts w:ascii="Arial" w:cs="Arial" w:eastAsia="Arial" w:hAnsi="Arial"/>
          <w:b w:val="false"/>
          <w:bCs w:val="false"/>
          <w:color w:val="333333"/>
          <w:sz w:val="22"/>
          <w:szCs w:val="22"/>
        </w:rPr>
        <w:t xml:space="preserve">38 Albert Road, St Philip's Marsh, Bristol BS2 0YU</w:t>
      </w:r>
    </w:p>
    <w:p>
      <w:pPr>
        <w:tabs>
          <w:tab w:val="left" w:pos="2800"/>
        </w:tabs>
        <w:spacing w:after="80" w:before="0"/>
      </w:pPr>
      <w:r>
        <w:rPr>
          <w:rFonts w:ascii="Arial" w:cs="Arial" w:eastAsia="Arial" w:hAnsi="Arial"/>
          <w:b/>
          <w:bCs/>
          <w:color w:val="1A1A2E"/>
          <w:sz w:val="22"/>
          <w:szCs w:val="22"/>
        </w:rPr>
        <w:t xml:space="preserve">Developer</w:t>
      </w:r>
      <w:r>
        <w:rPr>
          <w:rFonts w:ascii="Arial" w:cs="Arial" w:eastAsia="Arial" w:hAnsi="Arial"/>
        </w:rPr>
        <w:t xml:space="preserve">	</w:t>
      </w:r>
      <w:r>
        <w:rPr>
          <w:rFonts w:ascii="Arial" w:cs="Arial" w:eastAsia="Arial" w:hAnsi="Arial"/>
          <w:b w:val="false"/>
          <w:bCs w:val="false"/>
          <w:color w:val="333333"/>
          <w:sz w:val="22"/>
          <w:szCs w:val="22"/>
        </w:rPr>
        <w:t xml:space="preserve">Cubex / Alara Investments JV</w:t>
      </w:r>
    </w:p>
    <w:p>
      <w:pPr>
        <w:tabs>
          <w:tab w:val="left" w:pos="2800"/>
        </w:tabs>
        <w:spacing w:after="80" w:before="0"/>
      </w:pPr>
      <w:r>
        <w:rPr>
          <w:rFonts w:ascii="Arial" w:cs="Arial" w:eastAsia="Arial" w:hAnsi="Arial"/>
          <w:b/>
          <w:bCs/>
          <w:color w:val="1A1A2E"/>
          <w:sz w:val="22"/>
          <w:szCs w:val="22"/>
        </w:rPr>
        <w:t xml:space="preserve">Architect</w:t>
      </w:r>
      <w:r>
        <w:rPr>
          <w:rFonts w:ascii="Arial" w:cs="Arial" w:eastAsia="Arial" w:hAnsi="Arial"/>
        </w:rPr>
        <w:t xml:space="preserve">	</w:t>
      </w:r>
      <w:r>
        <w:rPr>
          <w:rFonts w:ascii="Arial" w:cs="Arial" w:eastAsia="Arial" w:hAnsi="Arial"/>
          <w:b w:val="false"/>
          <w:bCs w:val="false"/>
          <w:color w:val="333333"/>
          <w:sz w:val="22"/>
          <w:szCs w:val="22"/>
        </w:rPr>
        <w:t xml:space="preserve">Corstorphine &amp; Wright</w:t>
      </w:r>
    </w:p>
    <w:p>
      <w:pPr>
        <w:tabs>
          <w:tab w:val="left" w:pos="2800"/>
        </w:tabs>
        <w:spacing w:after="80" w:before="0"/>
      </w:pPr>
      <w:r>
        <w:rPr>
          <w:rFonts w:ascii="Arial" w:cs="Arial" w:eastAsia="Arial" w:hAnsi="Arial"/>
          <w:b/>
          <w:bCs/>
          <w:color w:val="1A1A2E"/>
          <w:sz w:val="22"/>
          <w:szCs w:val="22"/>
        </w:rPr>
        <w:t xml:space="preserve">LPA</w:t>
      </w:r>
      <w:r>
        <w:rPr>
          <w:rFonts w:ascii="Arial" w:cs="Arial" w:eastAsia="Arial" w:hAnsi="Arial"/>
        </w:rPr>
        <w:t xml:space="preserve">	</w:t>
      </w:r>
      <w:r>
        <w:rPr>
          <w:rFonts w:ascii="Arial" w:cs="Arial" w:eastAsia="Arial" w:hAnsi="Arial"/>
          <w:b w:val="false"/>
          <w:bCs w:val="false"/>
          <w:color w:val="333333"/>
          <w:sz w:val="22"/>
          <w:szCs w:val="22"/>
        </w:rPr>
        <w:t xml:space="preserve">Bristol City Council</w:t>
      </w:r>
    </w:p>
    <w:p>
      <w:pPr>
        <w:tabs>
          <w:tab w:val="left" w:pos="2800"/>
        </w:tabs>
        <w:spacing w:after="80" w:before="0"/>
      </w:pPr>
      <w:r>
        <w:rPr>
          <w:rFonts w:ascii="Arial" w:cs="Arial" w:eastAsia="Arial" w:hAnsi="Arial"/>
          <w:b/>
          <w:bCs/>
          <w:color w:val="1A1A2E"/>
          <w:sz w:val="22"/>
          <w:szCs w:val="22"/>
        </w:rPr>
        <w:t xml:space="preserve">Status</w:t>
      </w:r>
      <w:r>
        <w:rPr>
          <w:rFonts w:ascii="Arial" w:cs="Arial" w:eastAsia="Arial" w:hAnsi="Arial"/>
        </w:rPr>
        <w:t xml:space="preserve">	</w:t>
      </w:r>
      <w:r>
        <w:rPr>
          <w:rFonts w:ascii="Arial" w:cs="Arial" w:eastAsia="Arial" w:hAnsi="Arial"/>
          <w:b w:val="false"/>
          <w:bCs w:val="false"/>
          <w:color w:val="333333"/>
          <w:sz w:val="22"/>
          <w:szCs w:val="22"/>
        </w:rPr>
        <w:t xml:space="preserve">Approved 22 January 2025 — 17+ months post-consent</w:t>
      </w:r>
    </w:p>
    <w:p>
      <w:pPr>
        <w:tabs>
          <w:tab w:val="left" w:pos="2800"/>
        </w:tabs>
        <w:spacing w:after="80" w:before="0"/>
      </w:pPr>
      <w:r>
        <w:rPr>
          <w:rFonts w:ascii="Arial" w:cs="Arial" w:eastAsia="Arial" w:hAnsi="Arial"/>
          <w:b/>
          <w:bCs/>
          <w:color w:val="1A1A2E"/>
          <w:sz w:val="22"/>
          <w:szCs w:val="22"/>
        </w:rPr>
        <w:t xml:space="preserve">Portal</w:t>
      </w:r>
      <w:r>
        <w:rPr>
          <w:rFonts w:ascii="Arial" w:cs="Arial" w:eastAsia="Arial" w:hAnsi="Arial"/>
        </w:rPr>
        <w:t xml:space="preserve">	</w:t>
      </w:r>
      <w:r>
        <w:rPr>
          <w:rFonts w:ascii="Arial" w:cs="Arial" w:eastAsia="Arial" w:hAnsi="Arial"/>
          <w:b w:val="false"/>
          <w:bCs w:val="false"/>
          <w:color w:val="333333"/>
          <w:sz w:val="22"/>
          <w:szCs w:val="22"/>
        </w:rPr>
        <w:t xml:space="preserve">24/02498/F — Bristol City Council planning portal: pa.bristol.gov.uk</w:t>
      </w:r>
    </w:p>
    <w:p>
      <w:pPr>
        <w:spacing w:after="100" w:before="0"/>
      </w:pPr>
      <w:r>
        <w:rPr>
          <w:rFonts w:ascii="Arial" w:cs="Arial" w:eastAsia="Arial" w:hAnsi="Arial"/>
          <w:color w:val="333333"/>
          <w:sz w:val="22"/>
          <w:szCs w:val="22"/>
        </w:rPr>
        <w:t xml:space="preserve"/>
      </w:r>
    </w:p>
    <w:p>
      <w:pPr>
        <w:pStyle w:val="Heading2"/>
        <w:spacing w:after="80" w:before="280"/>
      </w:pPr>
      <w:r>
        <w:rPr>
          <w:rFonts w:ascii="Arial" w:cs="Arial" w:eastAsia="Arial" w:hAnsi="Arial"/>
          <w:b/>
          <w:bCs/>
          <w:color w:val="1A1A2E"/>
          <w:sz w:val="24"/>
          <w:szCs w:val="24"/>
        </w:rPr>
        <w:t xml:space="preserve">Classification</w:t>
      </w:r>
    </w:p>
    <w:p>
      <w:pPr>
        <w:spacing w:after="150" w:before="0"/>
      </w:pPr>
      <w:r>
        <w:rPr>
          <w:rFonts w:ascii="Arial" w:cs="Arial" w:eastAsia="Arial" w:hAnsi="Arial"/>
          <w:color w:val="333333"/>
          <w:sz w:val="22"/>
          <w:szCs w:val="22"/>
        </w:rPr>
        <w:t xml:space="preserve">Cubex and Alara Investments received unanimous planning approval in January 2025 for a 531-bed PBSA scheme at 38 Albert Road, Bristol — a 22-storey tower on a brownfield waterside site in the Temple Quarter regeneration area. The scheme is a mix of studios and cluster apartments, with commercial space on the ground and first floors. After 17+ months post-consent with no contractor announcement, this is the ideal window for Flagstaffe to engage at developer level.</w:t>
      </w:r>
    </w:p>
    <w:p>
      <w:pPr>
        <w:spacing w:after="100" w:before="0"/>
      </w:pPr>
      <w:r>
        <w:rPr>
          <w:rFonts w:ascii="Arial" w:cs="Arial" w:eastAsia="Arial" w:hAnsi="Arial"/>
          <w:color w:val="333333"/>
          <w:sz w:val="22"/>
          <w:szCs w:val="22"/>
        </w:rPr>
        <w:t xml:space="preserve"/>
      </w:r>
    </w:p>
    <w:p>
      <w:pPr>
        <w:pStyle w:val="Heading2"/>
        <w:spacing w:after="80" w:before="280"/>
      </w:pPr>
      <w:r>
        <w:rPr>
          <w:rFonts w:ascii="Arial" w:cs="Arial" w:eastAsia="Arial" w:hAnsi="Arial"/>
          <w:b/>
          <w:bCs/>
          <w:color w:val="1A1A2E"/>
          <w:sz w:val="24"/>
          <w:szCs w:val="24"/>
        </w:rPr>
        <w:t xml:space="preserve">Stage assessment</w:t>
      </w:r>
    </w:p>
    <w:p>
      <w:pPr>
        <w:tabs>
          <w:tab w:val="left" w:pos="2800"/>
        </w:tabs>
        <w:spacing w:after="80" w:before="0"/>
      </w:pPr>
      <w:r>
        <w:rPr>
          <w:rFonts w:ascii="Arial" w:cs="Arial" w:eastAsia="Arial" w:hAnsi="Arial"/>
          <w:b/>
          <w:bCs/>
          <w:color w:val="1A1A2E"/>
          <w:sz w:val="22"/>
          <w:szCs w:val="22"/>
        </w:rPr>
        <w:t xml:space="preserve">Assumed start</w:t>
      </w:r>
      <w:r>
        <w:rPr>
          <w:rFonts w:ascii="Arial" w:cs="Arial" w:eastAsia="Arial" w:hAnsi="Arial"/>
        </w:rPr>
        <w:t xml:space="preserve">	</w:t>
      </w:r>
      <w:r>
        <w:rPr>
          <w:rFonts w:ascii="Arial" w:cs="Arial" w:eastAsia="Arial" w:hAnsi="Arial"/>
          <w:b w:val="false"/>
          <w:bCs w:val="false"/>
          <w:color w:val="333333"/>
          <w:sz w:val="22"/>
          <w:szCs w:val="22"/>
        </w:rPr>
        <w:t xml:space="preserve">2027 (assumed — no contractor announced)</w:t>
      </w:r>
    </w:p>
    <w:p>
      <w:pPr>
        <w:tabs>
          <w:tab w:val="left" w:pos="2800"/>
        </w:tabs>
        <w:spacing w:after="80" w:before="0"/>
      </w:pPr>
      <w:r>
        <w:rPr>
          <w:rFonts w:ascii="Arial" w:cs="Arial" w:eastAsia="Arial" w:hAnsi="Arial"/>
          <w:b/>
          <w:bCs/>
          <w:color w:val="1A1A2E"/>
          <w:sz w:val="22"/>
          <w:szCs w:val="22"/>
        </w:rPr>
        <w:t xml:space="preserve">Programme</w:t>
      </w:r>
      <w:r>
        <w:rPr>
          <w:rFonts w:ascii="Arial" w:cs="Arial" w:eastAsia="Arial" w:hAnsi="Arial"/>
        </w:rPr>
        <w:t xml:space="preserve">	</w:t>
      </w:r>
      <w:r>
        <w:rPr>
          <w:rFonts w:ascii="Arial" w:cs="Arial" w:eastAsia="Arial" w:hAnsi="Arial"/>
          <w:b w:val="false"/>
          <w:bCs w:val="false"/>
          <w:color w:val="333333"/>
          <w:sz w:val="22"/>
          <w:szCs w:val="22"/>
        </w:rPr>
        <w:t xml:space="preserve">10 months assumed</w:t>
      </w:r>
    </w:p>
    <w:p>
      <w:pPr>
        <w:tabs>
          <w:tab w:val="left" w:pos="2800"/>
        </w:tabs>
        <w:spacing w:after="80" w:before="0"/>
      </w:pPr>
      <w:r>
        <w:rPr>
          <w:rFonts w:ascii="Arial" w:cs="Arial" w:eastAsia="Arial" w:hAnsi="Arial"/>
          <w:b/>
          <w:bCs/>
          <w:color w:val="1A1A2E"/>
          <w:sz w:val="22"/>
          <w:szCs w:val="22"/>
        </w:rPr>
        <w:t xml:space="preserve">Beds</w:t>
      </w:r>
      <w:r>
        <w:rPr>
          <w:rFonts w:ascii="Arial" w:cs="Arial" w:eastAsia="Arial" w:hAnsi="Arial"/>
        </w:rPr>
        <w:t xml:space="preserve">	</w:t>
      </w:r>
      <w:r>
        <w:rPr>
          <w:rFonts w:ascii="Arial" w:cs="Arial" w:eastAsia="Arial" w:hAnsi="Arial"/>
          <w:b w:val="false"/>
          <w:bCs w:val="false"/>
          <w:color w:val="333333"/>
          <w:sz w:val="22"/>
          <w:szCs w:val="22"/>
        </w:rPr>
        <w:t xml:space="preserve">531</w:t>
      </w:r>
    </w:p>
    <w:p>
      <w:pPr>
        <w:tabs>
          <w:tab w:val="left" w:pos="2800"/>
        </w:tabs>
        <w:spacing w:after="80" w:before="0"/>
      </w:pPr>
      <w:r>
        <w:rPr>
          <w:rFonts w:ascii="Arial" w:cs="Arial" w:eastAsia="Arial" w:hAnsi="Arial"/>
          <w:b/>
          <w:bCs/>
          <w:color w:val="1A1A2E"/>
          <w:sz w:val="22"/>
          <w:szCs w:val="22"/>
        </w:rPr>
        <w:t xml:space="preserve">KLDs (cluster kitchens)</w:t>
      </w:r>
      <w:r>
        <w:rPr>
          <w:rFonts w:ascii="Arial" w:cs="Arial" w:eastAsia="Arial" w:hAnsi="Arial"/>
        </w:rPr>
        <w:t xml:space="preserve">	</w:t>
      </w:r>
      <w:r>
        <w:rPr>
          <w:rFonts w:ascii="Arial" w:cs="Arial" w:eastAsia="Arial" w:hAnsi="Arial"/>
          <w:b w:val="false"/>
          <w:bCs w:val="false"/>
          <w:color w:val="333333"/>
          <w:sz w:val="22"/>
          <w:szCs w:val="22"/>
        </w:rPr>
        <w:t xml:space="preserve">44</w:t>
      </w:r>
    </w:p>
    <w:p>
      <w:pPr>
        <w:spacing w:after="100" w:before="0"/>
      </w:pPr>
      <w:r>
        <w:rPr>
          <w:rFonts w:ascii="Arial" w:cs="Arial" w:eastAsia="Arial" w:hAnsi="Arial"/>
          <w:color w:val="333333"/>
          <w:sz w:val="22"/>
          <w:szCs w:val="22"/>
        </w:rPr>
        <w:t xml:space="preserve"/>
      </w:r>
    </w:p>
    <w:p>
      <w:pPr>
        <w:pStyle w:val="Heading2"/>
        <w:spacing w:after="80" w:before="280"/>
      </w:pPr>
      <w:r>
        <w:rPr>
          <w:rFonts w:ascii="Arial" w:cs="Arial" w:eastAsia="Arial" w:hAnsi="Arial"/>
          <w:b/>
          <w:bCs/>
          <w:color w:val="1A1A2E"/>
          <w:sz w:val="24"/>
          <w:szCs w:val="24"/>
        </w:rPr>
        <w:t xml:space="preserve">Opportunities for Flagstaffe</w:t>
      </w:r>
    </w:p>
    <w:p>
      <w:pPr>
        <w:pStyle w:val="ListParagraph"/>
        <w:numPr>
          <w:ilvl w:val="0"/>
          <w:numId w:val="2"/>
        </w:numPr>
        <w:spacing w:after="90" w:before="0"/>
      </w:pPr>
      <w:r>
        <w:rPr>
          <w:rFonts w:ascii="Arial" w:cs="Arial" w:eastAsia="Arial" w:hAnsi="Arial"/>
          <w:color w:val="333333"/>
          <w:sz w:val="22"/>
          <w:szCs w:val="22"/>
        </w:rPr>
        <w:t xml:space="preserve">No main contractor has been publicly announced — Flagstaffe can engage Cubex/Alara directly before the supply chain is assembled.</w:t>
      </w:r>
    </w:p>
    <w:p>
      <w:pPr>
        <w:pStyle w:val="ListParagraph"/>
        <w:numPr>
          <w:ilvl w:val="0"/>
          <w:numId w:val="2"/>
        </w:numPr>
        <w:spacing w:after="90" w:before="0"/>
      </w:pPr>
      <w:r>
        <w:rPr>
          <w:rFonts w:ascii="Arial" w:cs="Arial" w:eastAsia="Arial" w:hAnsi="Arial"/>
          <w:color w:val="333333"/>
          <w:sz w:val="22"/>
          <w:szCs w:val="22"/>
        </w:rPr>
        <w:t xml:space="preserve">17 months post-consent is a long gap for a scheme of this scale and profile. The development programme for Plot 9b at First Street (Vita) may have been waiting for the adjacent House of Social to complete, which is expected to hand over in 2026 — meaning Albert Road procurement could accelerate imminently.</w:t>
      </w:r>
    </w:p>
    <w:p>
      <w:pPr>
        <w:pStyle w:val="ListParagraph"/>
        <w:numPr>
          <w:ilvl w:val="0"/>
          <w:numId w:val="2"/>
        </w:numPr>
        <w:spacing w:after="90" w:before="0"/>
      </w:pPr>
      <w:r>
        <w:rPr>
          <w:rFonts w:ascii="Arial" w:cs="Arial" w:eastAsia="Arial" w:hAnsi="Arial"/>
          <w:color w:val="333333"/>
          <w:sz w:val="22"/>
          <w:szCs w:val="22"/>
        </w:rPr>
        <w:t xml:space="preserve">Temple Quarter is one of the UK's largest regeneration projects. Being embedded in this ecosystem early means ongoing pipeline as more schemes gain consent.</w:t>
      </w:r>
    </w:p>
    <w:p>
      <w:pPr>
        <w:pStyle w:val="ListParagraph"/>
        <w:numPr>
          <w:ilvl w:val="0"/>
          <w:numId w:val="2"/>
        </w:numPr>
        <w:spacing w:after="90" w:before="0"/>
      </w:pPr>
      <w:r>
        <w:rPr>
          <w:rFonts w:ascii="Arial" w:cs="Arial" w:eastAsia="Arial" w:hAnsi="Arial"/>
          <w:color w:val="333333"/>
          <w:sz w:val="22"/>
          <w:szCs w:val="22"/>
        </w:rPr>
        <w:t xml:space="preserve">Corstorphine &amp; Wright's involvement in multiple Bristol PBSA schemes means a relationship with their team has compounding value.</w:t>
      </w:r>
    </w:p>
    <w:p>
      <w:pPr>
        <w:pStyle w:val="ListParagraph"/>
        <w:numPr>
          <w:ilvl w:val="0"/>
          <w:numId w:val="2"/>
        </w:numPr>
        <w:spacing w:after="90" w:before="0"/>
      </w:pPr>
      <w:r>
        <w:rPr>
          <w:rFonts w:ascii="Arial" w:cs="Arial" w:eastAsia="Arial" w:hAnsi="Arial"/>
          <w:color w:val="333333"/>
          <w:sz w:val="22"/>
          <w:szCs w:val="22"/>
        </w:rPr>
        <w:t xml:space="preserve">£150m GDV signals premium specification intent. The studios aimed at University of Bristol postgraduates command a quality expectation consistent with Flagstaffe's offering.</w:t>
      </w:r>
    </w:p>
    <w:p>
      <w:pPr>
        <w:spacing w:after="100" w:before="0"/>
      </w:pPr>
      <w:r>
        <w:rPr>
          <w:rFonts w:ascii="Arial" w:cs="Arial" w:eastAsia="Arial" w:hAnsi="Arial"/>
          <w:color w:val="333333"/>
          <w:sz w:val="22"/>
          <w:szCs w:val="22"/>
        </w:rPr>
        <w:t xml:space="preserve"/>
      </w:r>
    </w:p>
    <w:p>
      <w:pPr>
        <w:pStyle w:val="Heading2"/>
        <w:spacing w:after="80" w:before="280"/>
      </w:pPr>
      <w:r>
        <w:rPr>
          <w:rFonts w:ascii="Arial" w:cs="Arial" w:eastAsia="Arial" w:hAnsi="Arial"/>
          <w:b/>
          <w:bCs/>
          <w:color w:val="1A1A2E"/>
          <w:sz w:val="24"/>
          <w:szCs w:val="24"/>
        </w:rPr>
        <w:t xml:space="preserve">Red flags</w:t>
      </w:r>
    </w:p>
    <w:p>
      <w:pPr>
        <w:pStyle w:val="ListParagraph"/>
        <w:numPr>
          <w:ilvl w:val="0"/>
          <w:numId w:val="2"/>
        </w:numPr>
        <w:spacing w:after="90" w:before="0"/>
      </w:pPr>
      <w:r>
        <w:rPr>
          <w:rFonts w:ascii="Arial" w:cs="Arial" w:eastAsia="Arial" w:hAnsi="Arial"/>
          <w:color w:val="C62828"/>
          <w:sz w:val="22"/>
          <w:szCs w:val="22"/>
        </w:rPr>
        <w:t xml:space="preserve">A second Albert Road scheme (40-46, Avon Capital Estates, 454 beds) is already under construction with Bowmer &amp; Kirkland — this neighbouring scheme may create site access competition.</w:t>
      </w:r>
    </w:p>
    <w:p>
      <w:pPr>
        <w:pStyle w:val="ListParagraph"/>
        <w:numPr>
          <w:ilvl w:val="0"/>
          <w:numId w:val="2"/>
        </w:numPr>
        <w:spacing w:after="90" w:before="0"/>
      </w:pPr>
      <w:r>
        <w:rPr>
          <w:rFonts w:ascii="Arial" w:cs="Arial" w:eastAsia="Arial" w:hAnsi="Arial"/>
          <w:color w:val="C62828"/>
          <w:sz w:val="22"/>
          <w:szCs w:val="22"/>
        </w:rPr>
        <w:t xml:space="preserve">The 17-month delay may indicate financing or programme challenges. Confirm development finance status before investing significant relationship time.</w:t>
      </w:r>
    </w:p>
    <w:p>
      <w:pPr>
        <w:pStyle w:val="ListParagraph"/>
        <w:numPr>
          <w:ilvl w:val="0"/>
          <w:numId w:val="2"/>
        </w:numPr>
        <w:spacing w:after="90" w:before="0"/>
      </w:pPr>
      <w:r>
        <w:rPr>
          <w:rFonts w:ascii="Arial" w:cs="Arial" w:eastAsia="Arial" w:hAnsi="Arial"/>
          <w:color w:val="C62828"/>
          <w:sz w:val="22"/>
          <w:szCs w:val="22"/>
        </w:rPr>
        <w:t xml:space="preserve">Bristol City Council designated for Section 62A (non-major applications go to Planning Inspectorate) — this may signal a more complex planning environment for future reserved matters.</w:t>
      </w:r>
    </w:p>
    <w:p>
      <w:pPr>
        <w:spacing w:after="100" w:before="0"/>
      </w:pPr>
      <w:r>
        <w:rPr>
          <w:rFonts w:ascii="Arial" w:cs="Arial" w:eastAsia="Arial" w:hAnsi="Arial"/>
          <w:color w:val="333333"/>
          <w:sz w:val="22"/>
          <w:szCs w:val="22"/>
        </w:rPr>
        <w:t xml:space="preserve"/>
      </w:r>
    </w:p>
    <w:p>
      <w:pPr>
        <w:pStyle w:val="Heading2"/>
        <w:spacing w:after="80" w:before="280"/>
      </w:pPr>
      <w:r>
        <w:rPr>
          <w:rFonts w:ascii="Arial" w:cs="Arial" w:eastAsia="Arial" w:hAnsi="Arial"/>
          <w:b/>
          <w:bCs/>
          <w:color w:val="1A1A2E"/>
          <w:sz w:val="24"/>
          <w:szCs w:val="24"/>
        </w:rPr>
        <w:t xml:space="preserve">Recommended action</w:t>
      </w:r>
    </w:p>
    <w:p>
      <w:pPr>
        <w:pBdr>
          <w:top w:val="single" w:color="E65100" w:sz="2"/>
          <w:left w:val="single" w:color="E65100" w:sz="16"/>
          <w:bottom w:val="single" w:color="E65100" w:sz="2"/>
          <w:right w:val="none" w:color="FFFFFF" w:sz="0"/>
        </w:pBdr>
        <w:shd w:fill="FFF9C4" w:val="clear"/>
        <w:spacing w:after="160" w:before="160"/>
        <w:ind w:left="360"/>
      </w:pPr>
      <w:r>
        <w:rPr>
          <w:rFonts w:ascii="Arial" w:cs="Arial" w:eastAsia="Arial" w:hAnsi="Arial"/>
          <w:b/>
          <w:bCs/>
          <w:color w:val="E65100"/>
          <w:sz w:val="22"/>
          <w:szCs w:val="22"/>
        </w:rPr>
        <w:t xml:space="preserve">Contact Cubex (William Tomlinson, Development Director) and Alara Investments (Andrew McLaren) directly. Lead with Flagstaffe's Temple Quarter context knowledge, the 531-bed scale, and readiness to mobilise at short notice. The long post-consent gap and imminent programme acceleration make this the highest-priority Bristol relationship to build right now.</w:t>
      </w:r>
    </w:p>
    <w:p>
      <w:pPr>
        <w:spacing w:after="120" w:before="0"/>
      </w:pPr>
      <w:r>
        <w:rPr>
          <w:rFonts w:ascii="Arial" w:cs="Arial" w:eastAsia="Arial" w:hAnsi="Arial"/>
          <w:color w:val="333333"/>
          <w:sz w:val="22"/>
          <w:szCs w:val="22"/>
        </w:rPr>
        <w:t xml:space="preserve"/>
      </w:r>
    </w:p>
    <w:p>
      <w:pPr>
        <w:pStyle w:val="Heading2"/>
        <w:spacing w:after="80" w:before="280"/>
      </w:pPr>
      <w:r>
        <w:rPr>
          <w:rFonts w:ascii="Arial" w:cs="Arial" w:eastAsia="Arial" w:hAnsi="Arial"/>
          <w:b/>
          <w:bCs/>
          <w:color w:val="1A1A2E"/>
          <w:sz w:val="24"/>
          <w:szCs w:val="24"/>
        </w:rPr>
        <w:t xml:space="preserve">Indicative FF&amp;E budget</w:t>
      </w:r>
    </w:p>
    <w:p>
      <w:pPr>
        <w:pBdr>
          <w:top w:val="single" w:color="E65100" w:sz="2"/>
          <w:left w:val="single" w:color="E65100" w:sz="16"/>
          <w:bottom w:val="single" w:color="E65100" w:sz="2"/>
          <w:right w:val="none" w:color="FFFFFF" w:sz="0"/>
        </w:pBdr>
        <w:shd w:fill="FFF9C4" w:val="clear"/>
        <w:spacing w:after="160" w:before="160"/>
        <w:ind w:left="360"/>
      </w:pPr>
      <w:r>
        <w:rPr>
          <w:rFonts w:ascii="Arial" w:cs="Arial" w:eastAsia="Arial" w:hAnsi="Arial"/>
          <w:b/>
          <w:bCs/>
          <w:color w:val="E65100"/>
          <w:sz w:val="22"/>
          <w:szCs w:val="22"/>
        </w:rPr>
        <w:t xml:space="preserve">Room counts are ASSUMED from planning documents. Update the Excel pricing tool (Flagstaffe_Manchester_Pricing_Tool.xlsx) with confirmed room counts when drawings are available.</w:t>
      </w:r>
    </w:p>
    <w:p>
      <w:pPr>
        <w:spacing w:after="80" w:before="0"/>
      </w:pPr>
      <w:r>
        <w:rPr>
          <w:rFonts w:ascii="Arial" w:cs="Arial" w:eastAsia="Arial" w:hAnsi="Arial"/>
          <w:color w:val="333333"/>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29"/>
        <w:gridCol w:w="1173"/>
        <w:gridCol w:w="1444"/>
        <w:gridCol w:w="1624"/>
        <w:gridCol w:w="1356"/>
      </w:tblGrid>
      <w:tr>
        <w:tc>
          <w:tcPr>
            <w:tcW w:type="dxa" w:w="3429"/>
            <w:tcBorders>
              <w:top w:val="single" w:color="DDDDDD" w:sz="1"/>
              <w:left w:val="single" w:color="DDDDDD" w:sz="1"/>
              <w:bottom w:val="single" w:color="DDDDDD" w:sz="1"/>
              <w:right w:val="single" w:color="DDDDDD" w:sz="1"/>
            </w:tcBorders>
            <w:shd w:fill="1A1A2E" w:val="clear"/>
            <w:tcMar>
              <w:top w:type="dxa" w:w="80"/>
              <w:left w:type="dxa" w:w="160"/>
              <w:bottom w:type="dxa" w:w="80"/>
              <w:right w:type="dxa" w:w="160"/>
            </w:tcMar>
          </w:tcPr>
          <w:p>
            <w:pPr>
              <w:spacing w:after="0" w:before="0"/>
              <w:jc w:val="left"/>
            </w:pPr>
            <w:r>
              <w:rPr>
                <w:rFonts w:ascii="Arial" w:cs="Arial" w:eastAsia="Arial" w:hAnsi="Arial"/>
                <w:b/>
                <w:bCs/>
                <w:color w:val="FFFFFF"/>
                <w:sz w:val="20"/>
                <w:szCs w:val="20"/>
              </w:rPr>
              <w:t xml:space="preserve">Room / Unit Type</w:t>
            </w:r>
          </w:p>
        </w:tc>
        <w:tc>
          <w:tcPr>
            <w:tcW w:type="dxa" w:w="1173"/>
            <w:tcBorders>
              <w:top w:val="single" w:color="DDDDDD" w:sz="1"/>
              <w:left w:val="single" w:color="DDDDDD" w:sz="1"/>
              <w:bottom w:val="single" w:color="DDDDDD" w:sz="1"/>
              <w:right w:val="single" w:color="DDDDDD" w:sz="1"/>
            </w:tcBorders>
            <w:shd w:fill="1A1A2E" w:val="clear"/>
            <w:tcMar>
              <w:top w:type="dxa" w:w="80"/>
              <w:left w:type="dxa" w:w="160"/>
              <w:bottom w:type="dxa" w:w="80"/>
              <w:right w:type="dxa" w:w="160"/>
            </w:tcMar>
          </w:tcPr>
          <w:p>
            <w:pPr>
              <w:spacing w:after="0" w:before="0"/>
              <w:jc w:val="right"/>
            </w:pPr>
            <w:r>
              <w:rPr>
                <w:rFonts w:ascii="Arial" w:cs="Arial" w:eastAsia="Arial" w:hAnsi="Arial"/>
                <w:b/>
                <w:bCs/>
                <w:color w:val="FFFFFF"/>
                <w:sz w:val="20"/>
                <w:szCs w:val="20"/>
              </w:rPr>
              <w:t xml:space="preserve">Count</w:t>
            </w:r>
          </w:p>
        </w:tc>
        <w:tc>
          <w:tcPr>
            <w:tcW w:type="dxa" w:w="1444"/>
            <w:tcBorders>
              <w:top w:val="single" w:color="DDDDDD" w:sz="1"/>
              <w:left w:val="single" w:color="DDDDDD" w:sz="1"/>
              <w:bottom w:val="single" w:color="DDDDDD" w:sz="1"/>
              <w:right w:val="single" w:color="DDDDDD" w:sz="1"/>
            </w:tcBorders>
            <w:shd w:fill="1A1A2E" w:val="clear"/>
            <w:tcMar>
              <w:top w:type="dxa" w:w="80"/>
              <w:left w:type="dxa" w:w="160"/>
              <w:bottom w:type="dxa" w:w="80"/>
              <w:right w:type="dxa" w:w="160"/>
            </w:tcMar>
          </w:tcPr>
          <w:p>
            <w:pPr>
              <w:spacing w:after="0" w:before="0"/>
              <w:jc w:val="right"/>
            </w:pPr>
            <w:r>
              <w:rPr>
                <w:rFonts w:ascii="Arial" w:cs="Arial" w:eastAsia="Arial" w:hAnsi="Arial"/>
                <w:b/>
                <w:bCs/>
                <w:color w:val="FFFFFF"/>
                <w:sz w:val="20"/>
                <w:szCs w:val="20"/>
              </w:rPr>
              <w:t xml:space="preserve">Unit Rate</w:t>
            </w:r>
          </w:p>
        </w:tc>
        <w:tc>
          <w:tcPr>
            <w:tcW w:type="dxa" w:w="1624"/>
            <w:tcBorders>
              <w:top w:val="single" w:color="DDDDDD" w:sz="1"/>
              <w:left w:val="single" w:color="DDDDDD" w:sz="1"/>
              <w:bottom w:val="single" w:color="DDDDDD" w:sz="1"/>
              <w:right w:val="single" w:color="DDDDDD" w:sz="1"/>
            </w:tcBorders>
            <w:shd w:fill="1A1A2E" w:val="clear"/>
            <w:tcMar>
              <w:top w:type="dxa" w:w="80"/>
              <w:left w:type="dxa" w:w="160"/>
              <w:bottom w:type="dxa" w:w="80"/>
              <w:right w:type="dxa" w:w="160"/>
            </w:tcMar>
          </w:tcPr>
          <w:p>
            <w:pPr>
              <w:spacing w:after="0" w:before="0"/>
              <w:jc w:val="right"/>
            </w:pPr>
            <w:r>
              <w:rPr>
                <w:rFonts w:ascii="Arial" w:cs="Arial" w:eastAsia="Arial" w:hAnsi="Arial"/>
                <w:b/>
                <w:bCs/>
                <w:color w:val="FFFFFF"/>
                <w:sz w:val="20"/>
                <w:szCs w:val="20"/>
              </w:rPr>
              <w:t xml:space="preserve">Sub-total</w:t>
            </w:r>
          </w:p>
        </w:tc>
        <w:tc>
          <w:tcPr>
            <w:tcW w:type="dxa" w:w="1356"/>
            <w:tcBorders>
              <w:top w:val="single" w:color="DDDDDD" w:sz="1"/>
              <w:left w:val="single" w:color="DDDDDD" w:sz="1"/>
              <w:bottom w:val="single" w:color="DDDDDD" w:sz="1"/>
              <w:right w:val="single" w:color="DDDDDD" w:sz="1"/>
            </w:tcBorders>
            <w:shd w:fill="1A1A2E" w:val="clear"/>
            <w:tcMar>
              <w:top w:type="dxa" w:w="80"/>
              <w:left w:type="dxa" w:w="160"/>
              <w:bottom w:type="dxa" w:w="80"/>
              <w:right w:type="dxa" w:w="160"/>
            </w:tcMar>
          </w:tcPr>
          <w:p>
            <w:pPr>
              <w:spacing w:after="0" w:before="0"/>
              <w:jc w:val="left"/>
            </w:pPr>
            <w:r>
              <w:rPr>
                <w:rFonts w:ascii="Arial" w:cs="Arial" w:eastAsia="Arial" w:hAnsi="Arial"/>
                <w:b/>
                <w:bCs/>
                <w:color w:val="FFFFFF"/>
                <w:sz w:val="20"/>
                <w:szCs w:val="20"/>
              </w:rPr>
              <w:t xml:space="preserve"/>
            </w:r>
          </w:p>
        </w:tc>
      </w:tr>
      <w:tr>
        <w:tc>
          <w:tcPr>
            <w:tcW w:type="dxa" w:w="3429"/>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spacing w:after="0" w:before="0"/>
              <w:jc w:val="left"/>
            </w:pPr>
            <w:r>
              <w:rPr>
                <w:rFonts w:ascii="Arial" w:cs="Arial" w:eastAsia="Arial" w:hAnsi="Arial"/>
                <w:b w:val="false"/>
                <w:bCs w:val="false"/>
                <w:color w:val="333333"/>
                <w:sz w:val="20"/>
                <w:szCs w:val="20"/>
              </w:rPr>
              <w:t xml:space="preserve">Cluster bedrooms</w:t>
            </w:r>
          </w:p>
        </w:tc>
        <w:tc>
          <w:tcPr>
            <w:tcW w:type="dxa" w:w="1173"/>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spacing w:after="0" w:before="0"/>
              <w:jc w:val="right"/>
            </w:pPr>
            <w:r>
              <w:rPr>
                <w:rFonts w:ascii="Arial" w:cs="Arial" w:eastAsia="Arial" w:hAnsi="Arial"/>
                <w:b w:val="false"/>
                <w:bCs w:val="false"/>
                <w:color w:val="333333"/>
                <w:sz w:val="20"/>
                <w:szCs w:val="20"/>
              </w:rPr>
              <w:t xml:space="preserve">265</w:t>
            </w:r>
          </w:p>
        </w:tc>
        <w:tc>
          <w:tcPr>
            <w:tcW w:type="dxa" w:w="1444"/>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spacing w:after="0" w:before="0"/>
              <w:jc w:val="right"/>
            </w:pPr>
            <w:r>
              <w:rPr>
                <w:rFonts w:ascii="Arial" w:cs="Arial" w:eastAsia="Arial" w:hAnsi="Arial"/>
                <w:b w:val="false"/>
                <w:bCs w:val="false"/>
                <w:color w:val="333333"/>
                <w:sz w:val="20"/>
                <w:szCs w:val="20"/>
              </w:rPr>
              <w:t xml:space="preserve">£1,274.90</w:t>
            </w:r>
          </w:p>
        </w:tc>
        <w:tc>
          <w:tcPr>
            <w:tcW w:type="dxa" w:w="1624"/>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spacing w:after="0" w:before="0"/>
              <w:jc w:val="right"/>
            </w:pPr>
            <w:r>
              <w:rPr>
                <w:rFonts w:ascii="Arial" w:cs="Arial" w:eastAsia="Arial" w:hAnsi="Arial"/>
                <w:b w:val="false"/>
                <w:bCs w:val="false"/>
                <w:color w:val="333333"/>
                <w:sz w:val="20"/>
                <w:szCs w:val="20"/>
              </w:rPr>
              <w:t xml:space="preserve">£337,848.50</w:t>
            </w:r>
          </w:p>
        </w:tc>
        <w:tc>
          <w:tcPr>
            <w:tcW w:type="dxa" w:w="1356"/>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spacing w:after="0" w:before="0"/>
              <w:jc w:val="left"/>
            </w:pPr>
            <w:r>
              <w:rPr>
                <w:rFonts w:ascii="Arial" w:cs="Arial" w:eastAsia="Arial" w:hAnsi="Arial"/>
                <w:b w:val="false"/>
                <w:bCs w:val="false"/>
                <w:color w:val="333333"/>
                <w:sz w:val="20"/>
                <w:szCs w:val="20"/>
              </w:rPr>
              <w:t xml:space="preserve"/>
            </w:r>
          </w:p>
        </w:tc>
      </w:tr>
      <w:tr>
        <w:tc>
          <w:tcPr>
            <w:tcW w:type="dxa" w:w="3429"/>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spacing w:after="0" w:before="0"/>
              <w:jc w:val="left"/>
            </w:pPr>
            <w:r>
              <w:rPr>
                <w:rFonts w:ascii="Arial" w:cs="Arial" w:eastAsia="Arial" w:hAnsi="Arial"/>
                <w:b w:val="false"/>
                <w:bCs w:val="false"/>
                <w:color w:val="333333"/>
                <w:sz w:val="20"/>
                <w:szCs w:val="20"/>
              </w:rPr>
              <w:t xml:space="preserve">Standard Studios</w:t>
            </w:r>
          </w:p>
        </w:tc>
        <w:tc>
          <w:tcPr>
            <w:tcW w:type="dxa" w:w="1173"/>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spacing w:after="0" w:before="0"/>
              <w:jc w:val="right"/>
            </w:pPr>
            <w:r>
              <w:rPr>
                <w:rFonts w:ascii="Arial" w:cs="Arial" w:eastAsia="Arial" w:hAnsi="Arial"/>
                <w:b w:val="false"/>
                <w:bCs w:val="false"/>
                <w:color w:val="333333"/>
                <w:sz w:val="20"/>
                <w:szCs w:val="20"/>
              </w:rPr>
              <w:t xml:space="preserve">240</w:t>
            </w:r>
          </w:p>
        </w:tc>
        <w:tc>
          <w:tcPr>
            <w:tcW w:type="dxa" w:w="1444"/>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spacing w:after="0" w:before="0"/>
              <w:jc w:val="right"/>
            </w:pPr>
            <w:r>
              <w:rPr>
                <w:rFonts w:ascii="Arial" w:cs="Arial" w:eastAsia="Arial" w:hAnsi="Arial"/>
                <w:b w:val="false"/>
                <w:bCs w:val="false"/>
                <w:color w:val="333333"/>
                <w:sz w:val="20"/>
                <w:szCs w:val="20"/>
              </w:rPr>
              <w:t xml:space="preserve">£4,290.50</w:t>
            </w:r>
          </w:p>
        </w:tc>
        <w:tc>
          <w:tcPr>
            <w:tcW w:type="dxa" w:w="1624"/>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spacing w:after="0" w:before="0"/>
              <w:jc w:val="right"/>
            </w:pPr>
            <w:r>
              <w:rPr>
                <w:rFonts w:ascii="Arial" w:cs="Arial" w:eastAsia="Arial" w:hAnsi="Arial"/>
                <w:b w:val="false"/>
                <w:bCs w:val="false"/>
                <w:color w:val="333333"/>
                <w:sz w:val="20"/>
                <w:szCs w:val="20"/>
              </w:rPr>
              <w:t xml:space="preserve">£1,029,720.00</w:t>
            </w:r>
          </w:p>
        </w:tc>
        <w:tc>
          <w:tcPr>
            <w:tcW w:type="dxa" w:w="1356"/>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spacing w:after="0" w:before="0"/>
              <w:jc w:val="left"/>
            </w:pPr>
            <w:r>
              <w:rPr>
                <w:rFonts w:ascii="Arial" w:cs="Arial" w:eastAsia="Arial" w:hAnsi="Arial"/>
                <w:b w:val="false"/>
                <w:bCs w:val="false"/>
                <w:color w:val="333333"/>
                <w:sz w:val="20"/>
                <w:szCs w:val="20"/>
              </w:rPr>
              <w:t xml:space="preserve"/>
            </w:r>
          </w:p>
        </w:tc>
      </w:tr>
      <w:tr>
        <w:tc>
          <w:tcPr>
            <w:tcW w:type="dxa" w:w="3429"/>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spacing w:after="0" w:before="0"/>
              <w:jc w:val="left"/>
            </w:pPr>
            <w:r>
              <w:rPr>
                <w:rFonts w:ascii="Arial" w:cs="Arial" w:eastAsia="Arial" w:hAnsi="Arial"/>
                <w:b w:val="false"/>
                <w:bCs w:val="false"/>
                <w:color w:val="333333"/>
                <w:sz w:val="20"/>
                <w:szCs w:val="20"/>
              </w:rPr>
              <w:t xml:space="preserve">Premier Studios</w:t>
            </w:r>
          </w:p>
        </w:tc>
        <w:tc>
          <w:tcPr>
            <w:tcW w:type="dxa" w:w="1173"/>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spacing w:after="0" w:before="0"/>
              <w:jc w:val="right"/>
            </w:pPr>
            <w:r>
              <w:rPr>
                <w:rFonts w:ascii="Arial" w:cs="Arial" w:eastAsia="Arial" w:hAnsi="Arial"/>
                <w:b w:val="false"/>
                <w:bCs w:val="false"/>
                <w:color w:val="333333"/>
                <w:sz w:val="20"/>
                <w:szCs w:val="20"/>
              </w:rPr>
              <w:t xml:space="preserve">26</w:t>
            </w:r>
          </w:p>
        </w:tc>
        <w:tc>
          <w:tcPr>
            <w:tcW w:type="dxa" w:w="1444"/>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spacing w:after="0" w:before="0"/>
              <w:jc w:val="right"/>
            </w:pPr>
            <w:r>
              <w:rPr>
                <w:rFonts w:ascii="Arial" w:cs="Arial" w:eastAsia="Arial" w:hAnsi="Arial"/>
                <w:b w:val="false"/>
                <w:bCs w:val="false"/>
                <w:color w:val="333333"/>
                <w:sz w:val="20"/>
                <w:szCs w:val="20"/>
              </w:rPr>
              <w:t xml:space="preserve">£5,230.30</w:t>
            </w:r>
          </w:p>
        </w:tc>
        <w:tc>
          <w:tcPr>
            <w:tcW w:type="dxa" w:w="1624"/>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spacing w:after="0" w:before="0"/>
              <w:jc w:val="right"/>
            </w:pPr>
            <w:r>
              <w:rPr>
                <w:rFonts w:ascii="Arial" w:cs="Arial" w:eastAsia="Arial" w:hAnsi="Arial"/>
                <w:b w:val="false"/>
                <w:bCs w:val="false"/>
                <w:color w:val="333333"/>
                <w:sz w:val="20"/>
                <w:szCs w:val="20"/>
              </w:rPr>
              <w:t xml:space="preserve">£135,987.80</w:t>
            </w:r>
          </w:p>
        </w:tc>
        <w:tc>
          <w:tcPr>
            <w:tcW w:type="dxa" w:w="1356"/>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spacing w:after="0" w:before="0"/>
              <w:jc w:val="left"/>
            </w:pPr>
            <w:r>
              <w:rPr>
                <w:rFonts w:ascii="Arial" w:cs="Arial" w:eastAsia="Arial" w:hAnsi="Arial"/>
                <w:b w:val="false"/>
                <w:bCs w:val="false"/>
                <w:color w:val="333333"/>
                <w:sz w:val="20"/>
                <w:szCs w:val="20"/>
              </w:rPr>
              <w:t xml:space="preserve"/>
            </w:r>
          </w:p>
        </w:tc>
      </w:tr>
      <w:tr>
        <w:tc>
          <w:tcPr>
            <w:tcW w:type="dxa" w:w="3429"/>
            <w:tcBorders>
              <w:top w:val="single" w:color="DDDDDD" w:sz="1"/>
              <w:left w:val="single" w:color="DDDDDD" w:sz="1"/>
              <w:bottom w:val="single" w:color="DDDDDD" w:sz="1"/>
              <w:right w:val="single" w:color="DDDDDD" w:sz="1"/>
            </w:tcBorders>
            <w:shd w:fill="FFF9E0" w:val="clear"/>
            <w:tcMar>
              <w:top w:type="dxa" w:w="80"/>
              <w:left w:type="dxa" w:w="160"/>
              <w:bottom w:type="dxa" w:w="80"/>
              <w:right w:type="dxa" w:w="160"/>
            </w:tcMar>
          </w:tcPr>
          <w:p>
            <w:pPr>
              <w:spacing w:after="0" w:before="0"/>
              <w:jc w:val="left"/>
            </w:pPr>
            <w:r>
              <w:rPr>
                <w:rFonts w:ascii="Arial" w:cs="Arial" w:eastAsia="Arial" w:hAnsi="Arial"/>
                <w:b w:val="false"/>
                <w:bCs w:val="false"/>
                <w:color w:val="333333"/>
                <w:sz w:val="20"/>
                <w:szCs w:val="20"/>
              </w:rPr>
              <w:t xml:space="preserve">Bedrooms &amp; Studios sub-total</w:t>
            </w:r>
          </w:p>
        </w:tc>
        <w:tc>
          <w:tcPr>
            <w:tcW w:type="dxa" w:w="1173"/>
            <w:tcBorders>
              <w:top w:val="single" w:color="DDDDDD" w:sz="1"/>
              <w:left w:val="single" w:color="DDDDDD" w:sz="1"/>
              <w:bottom w:val="single" w:color="DDDDDD" w:sz="1"/>
              <w:right w:val="single" w:color="DDDDDD" w:sz="1"/>
            </w:tcBorders>
            <w:shd w:fill="FFF9E0" w:val="clear"/>
            <w:tcMar>
              <w:top w:type="dxa" w:w="80"/>
              <w:left w:type="dxa" w:w="160"/>
              <w:bottom w:type="dxa" w:w="80"/>
              <w:right w:type="dxa" w:w="160"/>
            </w:tcMar>
          </w:tcPr>
          <w:p>
            <w:pPr>
              <w:spacing w:after="0" w:before="0"/>
              <w:jc w:val="right"/>
            </w:pPr>
            <w:r>
              <w:rPr>
                <w:rFonts w:ascii="Arial" w:cs="Arial" w:eastAsia="Arial" w:hAnsi="Arial"/>
                <w:b w:val="false"/>
                <w:bCs w:val="false"/>
                <w:color w:val="333333"/>
                <w:sz w:val="20"/>
                <w:szCs w:val="20"/>
              </w:rPr>
              <w:t xml:space="preserve"/>
            </w:r>
          </w:p>
        </w:tc>
        <w:tc>
          <w:tcPr>
            <w:tcW w:type="dxa" w:w="1444"/>
            <w:tcBorders>
              <w:top w:val="single" w:color="DDDDDD" w:sz="1"/>
              <w:left w:val="single" w:color="DDDDDD" w:sz="1"/>
              <w:bottom w:val="single" w:color="DDDDDD" w:sz="1"/>
              <w:right w:val="single" w:color="DDDDDD" w:sz="1"/>
            </w:tcBorders>
            <w:shd w:fill="FFF9E0" w:val="clear"/>
            <w:tcMar>
              <w:top w:type="dxa" w:w="80"/>
              <w:left w:type="dxa" w:w="160"/>
              <w:bottom w:type="dxa" w:w="80"/>
              <w:right w:type="dxa" w:w="160"/>
            </w:tcMar>
          </w:tcPr>
          <w:p>
            <w:pPr>
              <w:spacing w:after="0" w:before="0"/>
              <w:jc w:val="right"/>
            </w:pPr>
            <w:r>
              <w:rPr>
                <w:rFonts w:ascii="Arial" w:cs="Arial" w:eastAsia="Arial" w:hAnsi="Arial"/>
                <w:b w:val="false"/>
                <w:bCs w:val="false"/>
                <w:color w:val="333333"/>
                <w:sz w:val="20"/>
                <w:szCs w:val="20"/>
              </w:rPr>
              <w:t xml:space="preserve"/>
            </w:r>
          </w:p>
        </w:tc>
        <w:tc>
          <w:tcPr>
            <w:tcW w:type="dxa" w:w="1624"/>
            <w:tcBorders>
              <w:top w:val="single" w:color="DDDDDD" w:sz="1"/>
              <w:left w:val="single" w:color="DDDDDD" w:sz="1"/>
              <w:bottom w:val="single" w:color="DDDDDD" w:sz="1"/>
              <w:right w:val="single" w:color="DDDDDD" w:sz="1"/>
            </w:tcBorders>
            <w:shd w:fill="FFF9E0" w:val="clear"/>
            <w:tcMar>
              <w:top w:type="dxa" w:w="80"/>
              <w:left w:type="dxa" w:w="160"/>
              <w:bottom w:type="dxa" w:w="80"/>
              <w:right w:type="dxa" w:w="160"/>
            </w:tcMar>
          </w:tcPr>
          <w:p>
            <w:pPr>
              <w:spacing w:after="0" w:before="0"/>
              <w:jc w:val="right"/>
            </w:pPr>
            <w:r>
              <w:rPr>
                <w:rFonts w:ascii="Arial" w:cs="Arial" w:eastAsia="Arial" w:hAnsi="Arial"/>
                <w:b w:val="false"/>
                <w:bCs w:val="false"/>
                <w:color w:val="333333"/>
                <w:sz w:val="20"/>
                <w:szCs w:val="20"/>
              </w:rPr>
              <w:t xml:space="preserve">£1,503,556.30</w:t>
            </w:r>
          </w:p>
        </w:tc>
        <w:tc>
          <w:tcPr>
            <w:tcW w:type="dxa" w:w="1356"/>
            <w:tcBorders>
              <w:top w:val="single" w:color="DDDDDD" w:sz="1"/>
              <w:left w:val="single" w:color="DDDDDD" w:sz="1"/>
              <w:bottom w:val="single" w:color="DDDDDD" w:sz="1"/>
              <w:right w:val="single" w:color="DDDDDD" w:sz="1"/>
            </w:tcBorders>
            <w:shd w:fill="FFF9E0" w:val="clear"/>
            <w:tcMar>
              <w:top w:type="dxa" w:w="80"/>
              <w:left w:type="dxa" w:w="160"/>
              <w:bottom w:type="dxa" w:w="80"/>
              <w:right w:type="dxa" w:w="160"/>
            </w:tcMar>
          </w:tcPr>
          <w:p>
            <w:pPr>
              <w:spacing w:after="0" w:before="0"/>
              <w:jc w:val="left"/>
            </w:pPr>
            <w:r>
              <w:rPr>
                <w:rFonts w:ascii="Arial" w:cs="Arial" w:eastAsia="Arial" w:hAnsi="Arial"/>
                <w:b w:val="false"/>
                <w:bCs w:val="false"/>
                <w:color w:val="333333"/>
                <w:sz w:val="20"/>
                <w:szCs w:val="20"/>
              </w:rPr>
              <w:t xml:space="preserve"/>
            </w:r>
          </w:p>
        </w:tc>
      </w:tr>
      <w:tr>
        <w:tc>
          <w:tcPr>
            <w:tcW w:type="dxa" w:w="3429"/>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spacing w:after="0" w:before="0"/>
              <w:jc w:val="left"/>
            </w:pPr>
            <w:r>
              <w:rPr>
                <w:rFonts w:ascii="Arial" w:cs="Arial" w:eastAsia="Arial" w:hAnsi="Arial"/>
                <w:b w:val="false"/>
                <w:bCs w:val="false"/>
                <w:color w:val="333333"/>
                <w:sz w:val="20"/>
                <w:szCs w:val="20"/>
              </w:rPr>
              <w:t xml:space="preserve">KLD - 5 person</w:t>
            </w:r>
          </w:p>
        </w:tc>
        <w:tc>
          <w:tcPr>
            <w:tcW w:type="dxa" w:w="1173"/>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spacing w:after="0" w:before="0"/>
              <w:jc w:val="right"/>
            </w:pPr>
            <w:r>
              <w:rPr>
                <w:rFonts w:ascii="Arial" w:cs="Arial" w:eastAsia="Arial" w:hAnsi="Arial"/>
                <w:b w:val="false"/>
                <w:bCs w:val="false"/>
                <w:color w:val="333333"/>
                <w:sz w:val="20"/>
                <w:szCs w:val="20"/>
              </w:rPr>
              <w:t xml:space="preserve">10</w:t>
            </w:r>
          </w:p>
        </w:tc>
        <w:tc>
          <w:tcPr>
            <w:tcW w:type="dxa" w:w="1444"/>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spacing w:after="0" w:before="0"/>
              <w:jc w:val="right"/>
            </w:pPr>
            <w:r>
              <w:rPr>
                <w:rFonts w:ascii="Arial" w:cs="Arial" w:eastAsia="Arial" w:hAnsi="Arial"/>
                <w:b w:val="false"/>
                <w:bCs w:val="false"/>
                <w:color w:val="333333"/>
                <w:sz w:val="20"/>
                <w:szCs w:val="20"/>
              </w:rPr>
              <w:t xml:space="preserve">£6,392.33</w:t>
            </w:r>
          </w:p>
        </w:tc>
        <w:tc>
          <w:tcPr>
            <w:tcW w:type="dxa" w:w="1624"/>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spacing w:after="0" w:before="0"/>
              <w:jc w:val="right"/>
            </w:pPr>
            <w:r>
              <w:rPr>
                <w:rFonts w:ascii="Arial" w:cs="Arial" w:eastAsia="Arial" w:hAnsi="Arial"/>
                <w:b w:val="false"/>
                <w:bCs w:val="false"/>
                <w:color w:val="333333"/>
                <w:sz w:val="20"/>
                <w:szCs w:val="20"/>
              </w:rPr>
              <w:t xml:space="preserve">£63,923.30</w:t>
            </w:r>
          </w:p>
        </w:tc>
        <w:tc>
          <w:tcPr>
            <w:tcW w:type="dxa" w:w="1356"/>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spacing w:after="0" w:before="0"/>
              <w:jc w:val="left"/>
            </w:pPr>
            <w:r>
              <w:rPr>
                <w:rFonts w:ascii="Arial" w:cs="Arial" w:eastAsia="Arial" w:hAnsi="Arial"/>
                <w:b w:val="false"/>
                <w:bCs w:val="false"/>
                <w:color w:val="333333"/>
                <w:sz w:val="20"/>
                <w:szCs w:val="20"/>
              </w:rPr>
              <w:t xml:space="preserve"/>
            </w:r>
          </w:p>
        </w:tc>
      </w:tr>
      <w:tr>
        <w:tc>
          <w:tcPr>
            <w:tcW w:type="dxa" w:w="3429"/>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spacing w:after="0" w:before="0"/>
              <w:jc w:val="left"/>
            </w:pPr>
            <w:r>
              <w:rPr>
                <w:rFonts w:ascii="Arial" w:cs="Arial" w:eastAsia="Arial" w:hAnsi="Arial"/>
                <w:b w:val="false"/>
                <w:bCs w:val="false"/>
                <w:color w:val="333333"/>
                <w:sz w:val="20"/>
                <w:szCs w:val="20"/>
              </w:rPr>
              <w:t xml:space="preserve">KLD - 6 person</w:t>
            </w:r>
          </w:p>
        </w:tc>
        <w:tc>
          <w:tcPr>
            <w:tcW w:type="dxa" w:w="1173"/>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spacing w:after="0" w:before="0"/>
              <w:jc w:val="right"/>
            </w:pPr>
            <w:r>
              <w:rPr>
                <w:rFonts w:ascii="Arial" w:cs="Arial" w:eastAsia="Arial" w:hAnsi="Arial"/>
                <w:b w:val="false"/>
                <w:bCs w:val="false"/>
                <w:color w:val="333333"/>
                <w:sz w:val="20"/>
                <w:szCs w:val="20"/>
              </w:rPr>
              <w:t xml:space="preserve">25</w:t>
            </w:r>
          </w:p>
        </w:tc>
        <w:tc>
          <w:tcPr>
            <w:tcW w:type="dxa" w:w="1444"/>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spacing w:after="0" w:before="0"/>
              <w:jc w:val="right"/>
            </w:pPr>
            <w:r>
              <w:rPr>
                <w:rFonts w:ascii="Arial" w:cs="Arial" w:eastAsia="Arial" w:hAnsi="Arial"/>
                <w:b w:val="false"/>
                <w:bCs w:val="false"/>
                <w:color w:val="333333"/>
                <w:sz w:val="20"/>
                <w:szCs w:val="20"/>
              </w:rPr>
              <w:t xml:space="preserve">£8,744.18</w:t>
            </w:r>
          </w:p>
        </w:tc>
        <w:tc>
          <w:tcPr>
            <w:tcW w:type="dxa" w:w="1624"/>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spacing w:after="0" w:before="0"/>
              <w:jc w:val="right"/>
            </w:pPr>
            <w:r>
              <w:rPr>
                <w:rFonts w:ascii="Arial" w:cs="Arial" w:eastAsia="Arial" w:hAnsi="Arial"/>
                <w:b w:val="false"/>
                <w:bCs w:val="false"/>
                <w:color w:val="333333"/>
                <w:sz w:val="20"/>
                <w:szCs w:val="20"/>
              </w:rPr>
              <w:t xml:space="preserve">£218,604.50</w:t>
            </w:r>
          </w:p>
        </w:tc>
        <w:tc>
          <w:tcPr>
            <w:tcW w:type="dxa" w:w="1356"/>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spacing w:after="0" w:before="0"/>
              <w:jc w:val="left"/>
            </w:pPr>
            <w:r>
              <w:rPr>
                <w:rFonts w:ascii="Arial" w:cs="Arial" w:eastAsia="Arial" w:hAnsi="Arial"/>
                <w:b w:val="false"/>
                <w:bCs w:val="false"/>
                <w:color w:val="333333"/>
                <w:sz w:val="20"/>
                <w:szCs w:val="20"/>
              </w:rPr>
              <w:t xml:space="preserve"/>
            </w:r>
          </w:p>
        </w:tc>
      </w:tr>
      <w:tr>
        <w:tc>
          <w:tcPr>
            <w:tcW w:type="dxa" w:w="3429"/>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spacing w:after="0" w:before="0"/>
              <w:jc w:val="left"/>
            </w:pPr>
            <w:r>
              <w:rPr>
                <w:rFonts w:ascii="Arial" w:cs="Arial" w:eastAsia="Arial" w:hAnsi="Arial"/>
                <w:b w:val="false"/>
                <w:bCs w:val="false"/>
                <w:color w:val="333333"/>
                <w:sz w:val="20"/>
                <w:szCs w:val="20"/>
              </w:rPr>
              <w:t xml:space="preserve">KLD - 7 person</w:t>
            </w:r>
          </w:p>
        </w:tc>
        <w:tc>
          <w:tcPr>
            <w:tcW w:type="dxa" w:w="1173"/>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spacing w:after="0" w:before="0"/>
              <w:jc w:val="right"/>
            </w:pPr>
            <w:r>
              <w:rPr>
                <w:rFonts w:ascii="Arial" w:cs="Arial" w:eastAsia="Arial" w:hAnsi="Arial"/>
                <w:b w:val="false"/>
                <w:bCs w:val="false"/>
                <w:color w:val="333333"/>
                <w:sz w:val="20"/>
                <w:szCs w:val="20"/>
              </w:rPr>
              <w:t xml:space="preserve">9</w:t>
            </w:r>
          </w:p>
        </w:tc>
        <w:tc>
          <w:tcPr>
            <w:tcW w:type="dxa" w:w="1444"/>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spacing w:after="0" w:before="0"/>
              <w:jc w:val="right"/>
            </w:pPr>
            <w:r>
              <w:rPr>
                <w:rFonts w:ascii="Arial" w:cs="Arial" w:eastAsia="Arial" w:hAnsi="Arial"/>
                <w:b w:val="false"/>
                <w:bCs w:val="false"/>
                <w:color w:val="333333"/>
                <w:sz w:val="20"/>
                <w:szCs w:val="20"/>
              </w:rPr>
              <w:t xml:space="preserve">£9,116.01</w:t>
            </w:r>
          </w:p>
        </w:tc>
        <w:tc>
          <w:tcPr>
            <w:tcW w:type="dxa" w:w="1624"/>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spacing w:after="0" w:before="0"/>
              <w:jc w:val="right"/>
            </w:pPr>
            <w:r>
              <w:rPr>
                <w:rFonts w:ascii="Arial" w:cs="Arial" w:eastAsia="Arial" w:hAnsi="Arial"/>
                <w:b w:val="false"/>
                <w:bCs w:val="false"/>
                <w:color w:val="333333"/>
                <w:sz w:val="20"/>
                <w:szCs w:val="20"/>
              </w:rPr>
              <w:t xml:space="preserve">£82,044.09</w:t>
            </w:r>
          </w:p>
        </w:tc>
        <w:tc>
          <w:tcPr>
            <w:tcW w:type="dxa" w:w="1356"/>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spacing w:after="0" w:before="0"/>
              <w:jc w:val="left"/>
            </w:pPr>
            <w:r>
              <w:rPr>
                <w:rFonts w:ascii="Arial" w:cs="Arial" w:eastAsia="Arial" w:hAnsi="Arial"/>
                <w:b w:val="false"/>
                <w:bCs w:val="false"/>
                <w:color w:val="333333"/>
                <w:sz w:val="20"/>
                <w:szCs w:val="20"/>
              </w:rPr>
              <w:t xml:space="preserve"/>
            </w:r>
          </w:p>
        </w:tc>
      </w:tr>
      <w:tr>
        <w:tc>
          <w:tcPr>
            <w:tcW w:type="dxa" w:w="3429"/>
            <w:tcBorders>
              <w:top w:val="single" w:color="DDDDDD" w:sz="1"/>
              <w:left w:val="single" w:color="DDDDDD" w:sz="1"/>
              <w:bottom w:val="single" w:color="DDDDDD" w:sz="1"/>
              <w:right w:val="single" w:color="DDDDDD" w:sz="1"/>
            </w:tcBorders>
            <w:shd w:fill="FFF9E0" w:val="clear"/>
            <w:tcMar>
              <w:top w:type="dxa" w:w="80"/>
              <w:left w:type="dxa" w:w="160"/>
              <w:bottom w:type="dxa" w:w="80"/>
              <w:right w:type="dxa" w:w="160"/>
            </w:tcMar>
          </w:tcPr>
          <w:p>
            <w:pPr>
              <w:spacing w:after="0" w:before="0"/>
              <w:jc w:val="left"/>
            </w:pPr>
            <w:r>
              <w:rPr>
                <w:rFonts w:ascii="Arial" w:cs="Arial" w:eastAsia="Arial" w:hAnsi="Arial"/>
                <w:b w:val="false"/>
                <w:bCs w:val="false"/>
                <w:color w:val="333333"/>
                <w:sz w:val="20"/>
                <w:szCs w:val="20"/>
              </w:rPr>
              <w:t xml:space="preserve">KLDs sub-total</w:t>
            </w:r>
          </w:p>
        </w:tc>
        <w:tc>
          <w:tcPr>
            <w:tcW w:type="dxa" w:w="1173"/>
            <w:tcBorders>
              <w:top w:val="single" w:color="DDDDDD" w:sz="1"/>
              <w:left w:val="single" w:color="DDDDDD" w:sz="1"/>
              <w:bottom w:val="single" w:color="DDDDDD" w:sz="1"/>
              <w:right w:val="single" w:color="DDDDDD" w:sz="1"/>
            </w:tcBorders>
            <w:shd w:fill="FFF9E0" w:val="clear"/>
            <w:tcMar>
              <w:top w:type="dxa" w:w="80"/>
              <w:left w:type="dxa" w:w="160"/>
              <w:bottom w:type="dxa" w:w="80"/>
              <w:right w:type="dxa" w:w="160"/>
            </w:tcMar>
          </w:tcPr>
          <w:p>
            <w:pPr>
              <w:spacing w:after="0" w:before="0"/>
              <w:jc w:val="right"/>
            </w:pPr>
            <w:r>
              <w:rPr>
                <w:rFonts w:ascii="Arial" w:cs="Arial" w:eastAsia="Arial" w:hAnsi="Arial"/>
                <w:b w:val="false"/>
                <w:bCs w:val="false"/>
                <w:color w:val="333333"/>
                <w:sz w:val="20"/>
                <w:szCs w:val="20"/>
              </w:rPr>
              <w:t xml:space="preserve"/>
            </w:r>
          </w:p>
        </w:tc>
        <w:tc>
          <w:tcPr>
            <w:tcW w:type="dxa" w:w="1444"/>
            <w:tcBorders>
              <w:top w:val="single" w:color="DDDDDD" w:sz="1"/>
              <w:left w:val="single" w:color="DDDDDD" w:sz="1"/>
              <w:bottom w:val="single" w:color="DDDDDD" w:sz="1"/>
              <w:right w:val="single" w:color="DDDDDD" w:sz="1"/>
            </w:tcBorders>
            <w:shd w:fill="FFF9E0" w:val="clear"/>
            <w:tcMar>
              <w:top w:type="dxa" w:w="80"/>
              <w:left w:type="dxa" w:w="160"/>
              <w:bottom w:type="dxa" w:w="80"/>
              <w:right w:type="dxa" w:w="160"/>
            </w:tcMar>
          </w:tcPr>
          <w:p>
            <w:pPr>
              <w:spacing w:after="0" w:before="0"/>
              <w:jc w:val="right"/>
            </w:pPr>
            <w:r>
              <w:rPr>
                <w:rFonts w:ascii="Arial" w:cs="Arial" w:eastAsia="Arial" w:hAnsi="Arial"/>
                <w:b w:val="false"/>
                <w:bCs w:val="false"/>
                <w:color w:val="333333"/>
                <w:sz w:val="20"/>
                <w:szCs w:val="20"/>
              </w:rPr>
              <w:t xml:space="preserve"/>
            </w:r>
          </w:p>
        </w:tc>
        <w:tc>
          <w:tcPr>
            <w:tcW w:type="dxa" w:w="1624"/>
            <w:tcBorders>
              <w:top w:val="single" w:color="DDDDDD" w:sz="1"/>
              <w:left w:val="single" w:color="DDDDDD" w:sz="1"/>
              <w:bottom w:val="single" w:color="DDDDDD" w:sz="1"/>
              <w:right w:val="single" w:color="DDDDDD" w:sz="1"/>
            </w:tcBorders>
            <w:shd w:fill="FFF9E0" w:val="clear"/>
            <w:tcMar>
              <w:top w:type="dxa" w:w="80"/>
              <w:left w:type="dxa" w:w="160"/>
              <w:bottom w:type="dxa" w:w="80"/>
              <w:right w:type="dxa" w:w="160"/>
            </w:tcMar>
          </w:tcPr>
          <w:p>
            <w:pPr>
              <w:spacing w:after="0" w:before="0"/>
              <w:jc w:val="right"/>
            </w:pPr>
            <w:r>
              <w:rPr>
                <w:rFonts w:ascii="Arial" w:cs="Arial" w:eastAsia="Arial" w:hAnsi="Arial"/>
                <w:b w:val="false"/>
                <w:bCs w:val="false"/>
                <w:color w:val="333333"/>
                <w:sz w:val="20"/>
                <w:szCs w:val="20"/>
              </w:rPr>
              <w:t xml:space="preserve">£364,571.89</w:t>
            </w:r>
          </w:p>
        </w:tc>
        <w:tc>
          <w:tcPr>
            <w:tcW w:type="dxa" w:w="1356"/>
            <w:tcBorders>
              <w:top w:val="single" w:color="DDDDDD" w:sz="1"/>
              <w:left w:val="single" w:color="DDDDDD" w:sz="1"/>
              <w:bottom w:val="single" w:color="DDDDDD" w:sz="1"/>
              <w:right w:val="single" w:color="DDDDDD" w:sz="1"/>
            </w:tcBorders>
            <w:shd w:fill="FFF9E0" w:val="clear"/>
            <w:tcMar>
              <w:top w:type="dxa" w:w="80"/>
              <w:left w:type="dxa" w:w="160"/>
              <w:bottom w:type="dxa" w:w="80"/>
              <w:right w:type="dxa" w:w="160"/>
            </w:tcMar>
          </w:tcPr>
          <w:p>
            <w:pPr>
              <w:spacing w:after="0" w:before="0"/>
              <w:jc w:val="left"/>
            </w:pPr>
            <w:r>
              <w:rPr>
                <w:rFonts w:ascii="Arial" w:cs="Arial" w:eastAsia="Arial" w:hAnsi="Arial"/>
                <w:b w:val="false"/>
                <w:bCs w:val="false"/>
                <w:color w:val="333333"/>
                <w:sz w:val="20"/>
                <w:szCs w:val="20"/>
              </w:rPr>
              <w:t xml:space="preserve"/>
            </w:r>
          </w:p>
        </w:tc>
      </w:tr>
      <w:tr>
        <w:tc>
          <w:tcPr>
            <w:tcW w:type="dxa" w:w="3429"/>
            <w:tcBorders>
              <w:top w:val="single" w:color="DDDDDD" w:sz="1"/>
              <w:left w:val="single" w:color="DDDDDD" w:sz="1"/>
              <w:bottom w:val="single" w:color="DDDDDD" w:sz="1"/>
              <w:right w:val="single" w:color="DDDDDD" w:sz="1"/>
            </w:tcBorders>
            <w:shd w:fill="FFF9E0" w:val="clear"/>
            <w:tcMar>
              <w:top w:type="dxa" w:w="80"/>
              <w:left w:type="dxa" w:w="160"/>
              <w:bottom w:type="dxa" w:w="80"/>
              <w:right w:type="dxa" w:w="160"/>
            </w:tcMar>
          </w:tcPr>
          <w:p>
            <w:pPr>
              <w:spacing w:after="0" w:before="0"/>
              <w:jc w:val="left"/>
            </w:pPr>
            <w:r>
              <w:rPr>
                <w:rFonts w:ascii="Arial" w:cs="Arial" w:eastAsia="Arial" w:hAnsi="Arial"/>
                <w:b w:val="false"/>
                <w:bCs w:val="false"/>
                <w:color w:val="333333"/>
                <w:sz w:val="20"/>
                <w:szCs w:val="20"/>
              </w:rPr>
              <w:t xml:space="preserve">Project Management / Prelims fee</w:t>
            </w:r>
          </w:p>
        </w:tc>
        <w:tc>
          <w:tcPr>
            <w:tcW w:type="dxa" w:w="1173"/>
            <w:tcBorders>
              <w:top w:val="single" w:color="DDDDDD" w:sz="1"/>
              <w:left w:val="single" w:color="DDDDDD" w:sz="1"/>
              <w:bottom w:val="single" w:color="DDDDDD" w:sz="1"/>
              <w:right w:val="single" w:color="DDDDDD" w:sz="1"/>
            </w:tcBorders>
            <w:shd w:fill="FFF9E0" w:val="clear"/>
            <w:tcMar>
              <w:top w:type="dxa" w:w="80"/>
              <w:left w:type="dxa" w:w="160"/>
              <w:bottom w:type="dxa" w:w="80"/>
              <w:right w:type="dxa" w:w="160"/>
            </w:tcMar>
          </w:tcPr>
          <w:p>
            <w:pPr>
              <w:spacing w:after="0" w:before="0"/>
              <w:jc w:val="right"/>
            </w:pPr>
            <w:r>
              <w:rPr>
                <w:rFonts w:ascii="Arial" w:cs="Arial" w:eastAsia="Arial" w:hAnsi="Arial"/>
                <w:b w:val="false"/>
                <w:bCs w:val="false"/>
                <w:color w:val="333333"/>
                <w:sz w:val="20"/>
                <w:szCs w:val="20"/>
              </w:rPr>
              <w:t xml:space="preserve">575 units</w:t>
            </w:r>
          </w:p>
        </w:tc>
        <w:tc>
          <w:tcPr>
            <w:tcW w:type="dxa" w:w="1444"/>
            <w:tcBorders>
              <w:top w:val="single" w:color="DDDDDD" w:sz="1"/>
              <w:left w:val="single" w:color="DDDDDD" w:sz="1"/>
              <w:bottom w:val="single" w:color="DDDDDD" w:sz="1"/>
              <w:right w:val="single" w:color="DDDDDD" w:sz="1"/>
            </w:tcBorders>
            <w:shd w:fill="FFF9E0" w:val="clear"/>
            <w:tcMar>
              <w:top w:type="dxa" w:w="80"/>
              <w:left w:type="dxa" w:w="160"/>
              <w:bottom w:type="dxa" w:w="80"/>
              <w:right w:type="dxa" w:w="160"/>
            </w:tcMar>
          </w:tcPr>
          <w:p>
            <w:pPr>
              <w:spacing w:after="0" w:before="0"/>
              <w:jc w:val="right"/>
            </w:pPr>
            <w:r>
              <w:rPr>
                <w:rFonts w:ascii="Arial" w:cs="Arial" w:eastAsia="Arial" w:hAnsi="Arial"/>
                <w:b w:val="false"/>
                <w:bCs w:val="false"/>
                <w:color w:val="333333"/>
                <w:sz w:val="20"/>
                <w:szCs w:val="20"/>
              </w:rPr>
              <w:t xml:space="preserve">£68.43</w:t>
            </w:r>
          </w:p>
        </w:tc>
        <w:tc>
          <w:tcPr>
            <w:tcW w:type="dxa" w:w="1624"/>
            <w:tcBorders>
              <w:top w:val="single" w:color="DDDDDD" w:sz="1"/>
              <w:left w:val="single" w:color="DDDDDD" w:sz="1"/>
              <w:bottom w:val="single" w:color="DDDDDD" w:sz="1"/>
              <w:right w:val="single" w:color="DDDDDD" w:sz="1"/>
            </w:tcBorders>
            <w:shd w:fill="FFF9E0" w:val="clear"/>
            <w:tcMar>
              <w:top w:type="dxa" w:w="80"/>
              <w:left w:type="dxa" w:w="160"/>
              <w:bottom w:type="dxa" w:w="80"/>
              <w:right w:type="dxa" w:w="160"/>
            </w:tcMar>
          </w:tcPr>
          <w:p>
            <w:pPr>
              <w:spacing w:after="0" w:before="0"/>
              <w:jc w:val="right"/>
            </w:pPr>
            <w:r>
              <w:rPr>
                <w:rFonts w:ascii="Arial" w:cs="Arial" w:eastAsia="Arial" w:hAnsi="Arial"/>
                <w:b w:val="false"/>
                <w:bCs w:val="false"/>
                <w:color w:val="333333"/>
                <w:sz w:val="20"/>
                <w:szCs w:val="20"/>
              </w:rPr>
              <w:t xml:space="preserve">£39,347.25</w:t>
            </w:r>
          </w:p>
        </w:tc>
        <w:tc>
          <w:tcPr>
            <w:tcW w:type="dxa" w:w="1356"/>
            <w:tcBorders>
              <w:top w:val="single" w:color="DDDDDD" w:sz="1"/>
              <w:left w:val="single" w:color="DDDDDD" w:sz="1"/>
              <w:bottom w:val="single" w:color="DDDDDD" w:sz="1"/>
              <w:right w:val="single" w:color="DDDDDD" w:sz="1"/>
            </w:tcBorders>
            <w:shd w:fill="FFF9E0" w:val="clear"/>
            <w:tcMar>
              <w:top w:type="dxa" w:w="80"/>
              <w:left w:type="dxa" w:w="160"/>
              <w:bottom w:type="dxa" w:w="80"/>
              <w:right w:type="dxa" w:w="160"/>
            </w:tcMar>
          </w:tcPr>
          <w:p>
            <w:pPr>
              <w:spacing w:after="0" w:before="0"/>
              <w:jc w:val="left"/>
            </w:pPr>
            <w:r>
              <w:rPr>
                <w:rFonts w:ascii="Arial" w:cs="Arial" w:eastAsia="Arial" w:hAnsi="Arial"/>
                <w:b w:val="false"/>
                <w:bCs w:val="false"/>
                <w:color w:val="333333"/>
                <w:sz w:val="20"/>
                <w:szCs w:val="20"/>
              </w:rPr>
              <w:t xml:space="preserve"/>
            </w:r>
          </w:p>
        </w:tc>
      </w:tr>
      <w:tr>
        <w:tc>
          <w:tcPr>
            <w:tcW w:type="dxa" w:w="3429"/>
            <w:tcBorders>
              <w:top w:val="single" w:color="DDDDDD" w:sz="1"/>
              <w:left w:val="single" w:color="DDDDDD" w:sz="1"/>
              <w:bottom w:val="single" w:color="DDDDDD" w:sz="1"/>
              <w:right w:val="single" w:color="DDDDDD" w:sz="1"/>
            </w:tcBorders>
            <w:shd w:fill="FFF9E0" w:val="clear"/>
            <w:tcMar>
              <w:top w:type="dxa" w:w="80"/>
              <w:left w:type="dxa" w:w="160"/>
              <w:bottom w:type="dxa" w:w="80"/>
              <w:right w:type="dxa" w:w="160"/>
            </w:tcMar>
          </w:tcPr>
          <w:p>
            <w:pPr>
              <w:spacing w:after="0" w:before="0"/>
              <w:jc w:val="left"/>
            </w:pPr>
            <w:r>
              <w:rPr>
                <w:rFonts w:ascii="Arial" w:cs="Arial" w:eastAsia="Arial" w:hAnsi="Arial"/>
                <w:b w:val="false"/>
                <w:bCs w:val="false"/>
                <w:color w:val="333333"/>
                <w:sz w:val="20"/>
                <w:szCs w:val="20"/>
              </w:rPr>
              <w:t xml:space="preserve">SUB-TOTAL</w:t>
            </w:r>
          </w:p>
        </w:tc>
        <w:tc>
          <w:tcPr>
            <w:tcW w:type="dxa" w:w="1173"/>
            <w:tcBorders>
              <w:top w:val="single" w:color="DDDDDD" w:sz="1"/>
              <w:left w:val="single" w:color="DDDDDD" w:sz="1"/>
              <w:bottom w:val="single" w:color="DDDDDD" w:sz="1"/>
              <w:right w:val="single" w:color="DDDDDD" w:sz="1"/>
            </w:tcBorders>
            <w:shd w:fill="FFF9E0" w:val="clear"/>
            <w:tcMar>
              <w:top w:type="dxa" w:w="80"/>
              <w:left w:type="dxa" w:w="160"/>
              <w:bottom w:type="dxa" w:w="80"/>
              <w:right w:type="dxa" w:w="160"/>
            </w:tcMar>
          </w:tcPr>
          <w:p>
            <w:pPr>
              <w:spacing w:after="0" w:before="0"/>
              <w:jc w:val="right"/>
            </w:pPr>
            <w:r>
              <w:rPr>
                <w:rFonts w:ascii="Arial" w:cs="Arial" w:eastAsia="Arial" w:hAnsi="Arial"/>
                <w:b w:val="false"/>
                <w:bCs w:val="false"/>
                <w:color w:val="333333"/>
                <w:sz w:val="20"/>
                <w:szCs w:val="20"/>
              </w:rPr>
              <w:t xml:space="preserve"/>
            </w:r>
          </w:p>
        </w:tc>
        <w:tc>
          <w:tcPr>
            <w:tcW w:type="dxa" w:w="1444"/>
            <w:tcBorders>
              <w:top w:val="single" w:color="DDDDDD" w:sz="1"/>
              <w:left w:val="single" w:color="DDDDDD" w:sz="1"/>
              <w:bottom w:val="single" w:color="DDDDDD" w:sz="1"/>
              <w:right w:val="single" w:color="DDDDDD" w:sz="1"/>
            </w:tcBorders>
            <w:shd w:fill="FFF9E0" w:val="clear"/>
            <w:tcMar>
              <w:top w:type="dxa" w:w="80"/>
              <w:left w:type="dxa" w:w="160"/>
              <w:bottom w:type="dxa" w:w="80"/>
              <w:right w:type="dxa" w:w="160"/>
            </w:tcMar>
          </w:tcPr>
          <w:p>
            <w:pPr>
              <w:spacing w:after="0" w:before="0"/>
              <w:jc w:val="right"/>
            </w:pPr>
            <w:r>
              <w:rPr>
                <w:rFonts w:ascii="Arial" w:cs="Arial" w:eastAsia="Arial" w:hAnsi="Arial"/>
                <w:b w:val="false"/>
                <w:bCs w:val="false"/>
                <w:color w:val="333333"/>
                <w:sz w:val="20"/>
                <w:szCs w:val="20"/>
              </w:rPr>
              <w:t xml:space="preserve"/>
            </w:r>
          </w:p>
        </w:tc>
        <w:tc>
          <w:tcPr>
            <w:tcW w:type="dxa" w:w="1624"/>
            <w:tcBorders>
              <w:top w:val="single" w:color="DDDDDD" w:sz="1"/>
              <w:left w:val="single" w:color="DDDDDD" w:sz="1"/>
              <w:bottom w:val="single" w:color="DDDDDD" w:sz="1"/>
              <w:right w:val="single" w:color="DDDDDD" w:sz="1"/>
            </w:tcBorders>
            <w:shd w:fill="FFF9E0" w:val="clear"/>
            <w:tcMar>
              <w:top w:type="dxa" w:w="80"/>
              <w:left w:type="dxa" w:w="160"/>
              <w:bottom w:type="dxa" w:w="80"/>
              <w:right w:type="dxa" w:w="160"/>
            </w:tcMar>
          </w:tcPr>
          <w:p>
            <w:pPr>
              <w:spacing w:after="0" w:before="0"/>
              <w:jc w:val="right"/>
            </w:pPr>
            <w:r>
              <w:rPr>
                <w:rFonts w:ascii="Arial" w:cs="Arial" w:eastAsia="Arial" w:hAnsi="Arial"/>
                <w:b w:val="false"/>
                <w:bCs w:val="false"/>
                <w:color w:val="333333"/>
                <w:sz w:val="20"/>
                <w:szCs w:val="20"/>
              </w:rPr>
              <w:t xml:space="preserve">£1,907,475.44</w:t>
            </w:r>
          </w:p>
        </w:tc>
        <w:tc>
          <w:tcPr>
            <w:tcW w:type="dxa" w:w="1356"/>
            <w:tcBorders>
              <w:top w:val="single" w:color="DDDDDD" w:sz="1"/>
              <w:left w:val="single" w:color="DDDDDD" w:sz="1"/>
              <w:bottom w:val="single" w:color="DDDDDD" w:sz="1"/>
              <w:right w:val="single" w:color="DDDDDD" w:sz="1"/>
            </w:tcBorders>
            <w:shd w:fill="FFF9E0" w:val="clear"/>
            <w:tcMar>
              <w:top w:type="dxa" w:w="80"/>
              <w:left w:type="dxa" w:w="160"/>
              <w:bottom w:type="dxa" w:w="80"/>
              <w:right w:type="dxa" w:w="160"/>
            </w:tcMar>
          </w:tcPr>
          <w:p>
            <w:pPr>
              <w:spacing w:after="0" w:before="0"/>
              <w:jc w:val="left"/>
            </w:pPr>
            <w:r>
              <w:rPr>
                <w:rFonts w:ascii="Arial" w:cs="Arial" w:eastAsia="Arial" w:hAnsi="Arial"/>
                <w:b w:val="false"/>
                <w:bCs w:val="false"/>
                <w:color w:val="333333"/>
                <w:sz w:val="20"/>
                <w:szCs w:val="20"/>
              </w:rPr>
              <w:t xml:space="preserve"/>
            </w:r>
          </w:p>
        </w:tc>
      </w:tr>
      <w:tr>
        <w:tc>
          <w:tcPr>
            <w:tcW w:type="dxa" w:w="3429"/>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spacing w:after="0" w:before="0"/>
              <w:jc w:val="left"/>
            </w:pPr>
            <w:r>
              <w:rPr>
                <w:rFonts w:ascii="Arial" w:cs="Arial" w:eastAsia="Arial" w:hAnsi="Arial"/>
                <w:b w:val="false"/>
                <w:bCs w:val="false"/>
                <w:color w:val="333333"/>
                <w:sz w:val="20"/>
                <w:szCs w:val="20"/>
              </w:rPr>
              <w:t xml:space="preserve">2.5% MCD Discount</w:t>
            </w:r>
          </w:p>
        </w:tc>
        <w:tc>
          <w:tcPr>
            <w:tcW w:type="dxa" w:w="1173"/>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spacing w:after="0" w:before="0"/>
              <w:jc w:val="right"/>
            </w:pPr>
            <w:r>
              <w:rPr>
                <w:rFonts w:ascii="Arial" w:cs="Arial" w:eastAsia="Arial" w:hAnsi="Arial"/>
                <w:b w:val="false"/>
                <w:bCs w:val="false"/>
                <w:color w:val="333333"/>
                <w:sz w:val="20"/>
                <w:szCs w:val="20"/>
              </w:rPr>
              <w:t xml:space="preserve"/>
            </w:r>
          </w:p>
        </w:tc>
        <w:tc>
          <w:tcPr>
            <w:tcW w:type="dxa" w:w="1444"/>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spacing w:after="0" w:before="0"/>
              <w:jc w:val="right"/>
            </w:pPr>
            <w:r>
              <w:rPr>
                <w:rFonts w:ascii="Arial" w:cs="Arial" w:eastAsia="Arial" w:hAnsi="Arial"/>
                <w:b w:val="false"/>
                <w:bCs w:val="false"/>
                <w:color w:val="333333"/>
                <w:sz w:val="20"/>
                <w:szCs w:val="20"/>
              </w:rPr>
              <w:t xml:space="preserve"/>
            </w:r>
          </w:p>
        </w:tc>
        <w:tc>
          <w:tcPr>
            <w:tcW w:type="dxa" w:w="1624"/>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spacing w:after="0" w:before="0"/>
              <w:jc w:val="right"/>
            </w:pPr>
            <w:r>
              <w:rPr>
                <w:rFonts w:ascii="Arial" w:cs="Arial" w:eastAsia="Arial" w:hAnsi="Arial"/>
                <w:b w:val="false"/>
                <w:bCs w:val="false"/>
                <w:color w:val="333333"/>
                <w:sz w:val="20"/>
                <w:szCs w:val="20"/>
              </w:rPr>
              <w:t xml:space="preserve">-£47,686.89</w:t>
            </w:r>
          </w:p>
        </w:tc>
        <w:tc>
          <w:tcPr>
            <w:tcW w:type="dxa" w:w="1356"/>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spacing w:after="0" w:before="0"/>
              <w:jc w:val="left"/>
            </w:pPr>
            <w:r>
              <w:rPr>
                <w:rFonts w:ascii="Arial" w:cs="Arial" w:eastAsia="Arial" w:hAnsi="Arial"/>
                <w:b w:val="false"/>
                <w:bCs w:val="false"/>
                <w:color w:val="333333"/>
                <w:sz w:val="20"/>
                <w:szCs w:val="20"/>
              </w:rPr>
              <w:t xml:space="preserve"/>
            </w:r>
          </w:p>
        </w:tc>
      </w:tr>
      <w:tr>
        <w:tc>
          <w:tcPr>
            <w:tcW w:type="dxa" w:w="6046"/>
            <w:gridSpan w:val="3"/>
            <w:tcBorders>
              <w:top w:val="single" w:color="1A1A2E" w:sz="1"/>
              <w:left w:val="single" w:color="1A1A2E" w:sz="1"/>
              <w:bottom w:val="single" w:color="1A1A2E" w:sz="1"/>
              <w:right w:val="single" w:color="1A1A2E" w:sz="1"/>
            </w:tcBorders>
            <w:shd w:fill="1A1A2E" w:val="clear"/>
            <w:tcMar>
              <w:top w:type="dxa" w:w="100"/>
              <w:left w:type="dxa" w:w="160"/>
              <w:bottom w:type="dxa" w:w="100"/>
              <w:right w:type="dxa" w:w="160"/>
            </w:tcMar>
          </w:tcPr>
          <w:p>
            <w:pPr>
              <w:spacing w:after="0" w:before="0"/>
            </w:pPr>
            <w:r>
              <w:rPr>
                <w:rFonts w:ascii="Arial" w:cs="Arial" w:eastAsia="Arial" w:hAnsi="Arial"/>
                <w:b/>
                <w:bCs/>
                <w:color w:val="FFFFFF"/>
                <w:sz w:val="22"/>
                <w:szCs w:val="22"/>
              </w:rPr>
              <w:t xml:space="preserve">INDICATIVE TOTAL (excl. VAT)</w:t>
            </w:r>
          </w:p>
        </w:tc>
        <w:tc>
          <w:tcPr>
            <w:tcW w:type="dxa" w:w="2980"/>
            <w:gridSpan w:val="2"/>
            <w:tcBorders>
              <w:top w:val="single" w:color="1A1A2E" w:sz="1"/>
              <w:left w:val="single" w:color="1A1A2E" w:sz="1"/>
              <w:bottom w:val="single" w:color="1A1A2E" w:sz="1"/>
              <w:right w:val="single" w:color="1A1A2E" w:sz="1"/>
            </w:tcBorders>
            <w:shd w:fill="E8C547" w:val="clear"/>
            <w:tcMar>
              <w:top w:type="dxa" w:w="100"/>
              <w:left w:type="dxa" w:w="160"/>
              <w:bottom w:type="dxa" w:w="100"/>
              <w:right w:type="dxa" w:w="160"/>
            </w:tcMar>
          </w:tcPr>
          <w:p>
            <w:pPr>
              <w:spacing w:after="0" w:before="0"/>
              <w:jc w:val="right"/>
            </w:pPr>
            <w:r>
              <w:rPr>
                <w:rFonts w:ascii="Arial" w:cs="Arial" w:eastAsia="Arial" w:hAnsi="Arial"/>
                <w:b/>
                <w:bCs/>
                <w:color w:val="1A1A2E"/>
                <w:sz w:val="22"/>
                <w:szCs w:val="22"/>
              </w:rPr>
              <w:t xml:space="preserve">£1,859,788.55</w:t>
            </w:r>
          </w:p>
        </w:tc>
      </w:tr>
      <w:tr>
        <w:tc>
          <w:tcPr>
            <w:tcW w:type="dxa" w:w="3429"/>
            <w:tcBorders>
              <w:top w:val="single" w:color="DDDDDD" w:sz="1"/>
              <w:left w:val="single" w:color="DDDDDD" w:sz="1"/>
              <w:bottom w:val="single" w:color="DDDDDD" w:sz="1"/>
              <w:right w:val="single" w:color="DDDDDD" w:sz="1"/>
            </w:tcBorders>
            <w:shd w:fill="F7F5F0" w:val="clear"/>
            <w:tcMar>
              <w:top w:type="dxa" w:w="80"/>
              <w:left w:type="dxa" w:w="160"/>
              <w:bottom w:type="dxa" w:w="80"/>
              <w:right w:type="dxa" w:w="160"/>
            </w:tcMar>
          </w:tcPr>
          <w:p>
            <w:pPr>
              <w:spacing w:after="0" w:before="0"/>
              <w:jc w:val="left"/>
            </w:pPr>
            <w:r>
              <w:rPr>
                <w:rFonts w:ascii="Arial" w:cs="Arial" w:eastAsia="Arial" w:hAnsi="Arial"/>
                <w:b w:val="false"/>
                <w:bCs w:val="false"/>
                <w:color w:val="333333"/>
                <w:sz w:val="20"/>
                <w:szCs w:val="20"/>
              </w:rPr>
              <w:t xml:space="preserve">Indicative cost per bedroom</w:t>
            </w:r>
          </w:p>
        </w:tc>
        <w:tc>
          <w:tcPr>
            <w:tcW w:type="dxa" w:w="1173"/>
            <w:tcBorders>
              <w:top w:val="single" w:color="DDDDDD" w:sz="1"/>
              <w:left w:val="single" w:color="DDDDDD" w:sz="1"/>
              <w:bottom w:val="single" w:color="DDDDDD" w:sz="1"/>
              <w:right w:val="single" w:color="DDDDDD" w:sz="1"/>
            </w:tcBorders>
            <w:shd w:fill="F7F5F0" w:val="clear"/>
            <w:tcMar>
              <w:top w:type="dxa" w:w="80"/>
              <w:left w:type="dxa" w:w="160"/>
              <w:bottom w:type="dxa" w:w="80"/>
              <w:right w:type="dxa" w:w="160"/>
            </w:tcMar>
          </w:tcPr>
          <w:p>
            <w:pPr>
              <w:spacing w:after="0" w:before="0"/>
              <w:jc w:val="right"/>
            </w:pPr>
            <w:r>
              <w:rPr>
                <w:rFonts w:ascii="Arial" w:cs="Arial" w:eastAsia="Arial" w:hAnsi="Arial"/>
                <w:b w:val="false"/>
                <w:bCs w:val="false"/>
                <w:color w:val="333333"/>
                <w:sz w:val="20"/>
                <w:szCs w:val="20"/>
              </w:rPr>
              <w:t xml:space="preserve"/>
            </w:r>
          </w:p>
        </w:tc>
        <w:tc>
          <w:tcPr>
            <w:tcW w:type="dxa" w:w="1444"/>
            <w:tcBorders>
              <w:top w:val="single" w:color="DDDDDD" w:sz="1"/>
              <w:left w:val="single" w:color="DDDDDD" w:sz="1"/>
              <w:bottom w:val="single" w:color="DDDDDD" w:sz="1"/>
              <w:right w:val="single" w:color="DDDDDD" w:sz="1"/>
            </w:tcBorders>
            <w:shd w:fill="F7F5F0" w:val="clear"/>
            <w:tcMar>
              <w:top w:type="dxa" w:w="80"/>
              <w:left w:type="dxa" w:w="160"/>
              <w:bottom w:type="dxa" w:w="80"/>
              <w:right w:type="dxa" w:w="160"/>
            </w:tcMar>
          </w:tcPr>
          <w:p>
            <w:pPr>
              <w:spacing w:after="0" w:before="0"/>
              <w:jc w:val="right"/>
            </w:pPr>
            <w:r>
              <w:rPr>
                <w:rFonts w:ascii="Arial" w:cs="Arial" w:eastAsia="Arial" w:hAnsi="Arial"/>
                <w:b w:val="false"/>
                <w:bCs w:val="false"/>
                <w:color w:val="333333"/>
                <w:sz w:val="20"/>
                <w:szCs w:val="20"/>
              </w:rPr>
              <w:t xml:space="preserve"/>
            </w:r>
          </w:p>
        </w:tc>
        <w:tc>
          <w:tcPr>
            <w:tcW w:type="dxa" w:w="1624"/>
            <w:tcBorders>
              <w:top w:val="single" w:color="DDDDDD" w:sz="1"/>
              <w:left w:val="single" w:color="DDDDDD" w:sz="1"/>
              <w:bottom w:val="single" w:color="DDDDDD" w:sz="1"/>
              <w:right w:val="single" w:color="DDDDDD" w:sz="1"/>
            </w:tcBorders>
            <w:shd w:fill="F7F5F0" w:val="clear"/>
            <w:tcMar>
              <w:top w:type="dxa" w:w="80"/>
              <w:left w:type="dxa" w:w="160"/>
              <w:bottom w:type="dxa" w:w="80"/>
              <w:right w:type="dxa" w:w="160"/>
            </w:tcMar>
          </w:tcPr>
          <w:p>
            <w:pPr>
              <w:spacing w:after="0" w:before="0"/>
              <w:jc w:val="right"/>
            </w:pPr>
            <w:r>
              <w:rPr>
                <w:rFonts w:ascii="Arial" w:cs="Arial" w:eastAsia="Arial" w:hAnsi="Arial"/>
                <w:b w:val="false"/>
                <w:bCs w:val="false"/>
                <w:color w:val="333333"/>
                <w:sz w:val="20"/>
                <w:szCs w:val="20"/>
              </w:rPr>
              <w:t xml:space="preserve">£2,831.56</w:t>
            </w:r>
          </w:p>
        </w:tc>
        <w:tc>
          <w:tcPr>
            <w:tcW w:type="dxa" w:w="1356"/>
            <w:tcBorders>
              <w:top w:val="single" w:color="DDDDDD" w:sz="1"/>
              <w:left w:val="single" w:color="DDDDDD" w:sz="1"/>
              <w:bottom w:val="single" w:color="DDDDDD" w:sz="1"/>
              <w:right w:val="single" w:color="DDDDDD" w:sz="1"/>
            </w:tcBorders>
            <w:shd w:fill="F7F5F0" w:val="clear"/>
            <w:tcMar>
              <w:top w:type="dxa" w:w="80"/>
              <w:left w:type="dxa" w:w="160"/>
              <w:bottom w:type="dxa" w:w="80"/>
              <w:right w:type="dxa" w:w="160"/>
            </w:tcMar>
          </w:tcPr>
          <w:p>
            <w:pPr>
              <w:spacing w:after="0" w:before="0"/>
              <w:jc w:val="left"/>
            </w:pPr>
            <w:r>
              <w:rPr>
                <w:rFonts w:ascii="Arial" w:cs="Arial" w:eastAsia="Arial" w:hAnsi="Arial"/>
                <w:b w:val="false"/>
                <w:bCs w:val="false"/>
                <w:color w:val="333333"/>
                <w:sz w:val="20"/>
                <w:szCs w:val="20"/>
              </w:rPr>
              <w:t xml:space="preserve"/>
            </w:r>
          </w:p>
        </w:tc>
      </w:tr>
    </w:tbl>
    <w:p>
      <w:pPr>
        <w:spacing w:after="80" w:before="0"/>
      </w:pPr>
      <w:r>
        <w:rPr>
          <w:rFonts w:ascii="Arial" w:cs="Arial" w:eastAsia="Arial" w:hAnsi="Arial"/>
          <w:color w:val="333333"/>
          <w:sz w:val="22"/>
          <w:szCs w:val="22"/>
        </w:rPr>
        <w:t xml:space="preserve"/>
      </w:r>
    </w:p>
    <w:p>
      <w:pPr>
        <w:pStyle w:val="Heading2"/>
        <w:spacing w:after="80" w:before="280"/>
      </w:pPr>
      <w:r>
        <w:rPr>
          <w:rFonts w:ascii="Arial" w:cs="Arial" w:eastAsia="Arial" w:hAnsi="Arial"/>
          <w:b/>
          <w:bCs/>
          <w:color w:val="1A1A2E"/>
          <w:sz w:val="24"/>
          <w:szCs w:val="24"/>
        </w:rPr>
        <w:t xml:space="preserve">Assumed room split (basis of estimate)</w:t>
      </w:r>
    </w:p>
    <w:p>
      <w:pPr>
        <w:tabs>
          <w:tab w:val="left" w:pos="2800"/>
        </w:tabs>
        <w:spacing w:after="80" w:before="0"/>
      </w:pPr>
      <w:r>
        <w:rPr>
          <w:rFonts w:ascii="Arial" w:cs="Arial" w:eastAsia="Arial" w:hAnsi="Arial"/>
          <w:b/>
          <w:bCs/>
          <w:color w:val="1A1A2E"/>
          <w:sz w:val="22"/>
          <w:szCs w:val="22"/>
        </w:rPr>
        <w:t xml:space="preserve">Cluster bedrooms (assumed)</w:t>
      </w:r>
      <w:r>
        <w:rPr>
          <w:rFonts w:ascii="Arial" w:cs="Arial" w:eastAsia="Arial" w:hAnsi="Arial"/>
        </w:rPr>
        <w:t xml:space="preserve">	</w:t>
      </w:r>
      <w:r>
        <w:rPr>
          <w:rFonts w:ascii="Arial" w:cs="Arial" w:eastAsia="Arial" w:hAnsi="Arial"/>
          <w:b w:val="false"/>
          <w:bCs w:val="false"/>
          <w:color w:val="333333"/>
          <w:sz w:val="22"/>
          <w:szCs w:val="22"/>
        </w:rPr>
        <w:t xml:space="preserve">265 beds</w:t>
      </w:r>
    </w:p>
    <w:p>
      <w:pPr>
        <w:tabs>
          <w:tab w:val="left" w:pos="2800"/>
        </w:tabs>
        <w:spacing w:after="80" w:before="0"/>
      </w:pPr>
      <w:r>
        <w:rPr>
          <w:rFonts w:ascii="Arial" w:cs="Arial" w:eastAsia="Arial" w:hAnsi="Arial"/>
          <w:b/>
          <w:bCs/>
          <w:color w:val="1A1A2E"/>
          <w:sz w:val="22"/>
          <w:szCs w:val="22"/>
        </w:rPr>
        <w:t xml:space="preserve">Standard Studios (assumed)</w:t>
      </w:r>
      <w:r>
        <w:rPr>
          <w:rFonts w:ascii="Arial" w:cs="Arial" w:eastAsia="Arial" w:hAnsi="Arial"/>
        </w:rPr>
        <w:t xml:space="preserve">	</w:t>
      </w:r>
      <w:r>
        <w:rPr>
          <w:rFonts w:ascii="Arial" w:cs="Arial" w:eastAsia="Arial" w:hAnsi="Arial"/>
          <w:b w:val="false"/>
          <w:bCs w:val="false"/>
          <w:color w:val="333333"/>
          <w:sz w:val="22"/>
          <w:szCs w:val="22"/>
        </w:rPr>
        <w:t xml:space="preserve">240</w:t>
      </w:r>
    </w:p>
    <w:p>
      <w:pPr>
        <w:tabs>
          <w:tab w:val="left" w:pos="2800"/>
        </w:tabs>
        <w:spacing w:after="80" w:before="0"/>
      </w:pPr>
      <w:r>
        <w:rPr>
          <w:rFonts w:ascii="Arial" w:cs="Arial" w:eastAsia="Arial" w:hAnsi="Arial"/>
          <w:b/>
          <w:bCs/>
          <w:color w:val="1A1A2E"/>
          <w:sz w:val="22"/>
          <w:szCs w:val="22"/>
        </w:rPr>
        <w:t xml:space="preserve">Premier Studios (assumed)</w:t>
      </w:r>
      <w:r>
        <w:rPr>
          <w:rFonts w:ascii="Arial" w:cs="Arial" w:eastAsia="Arial" w:hAnsi="Arial"/>
        </w:rPr>
        <w:t xml:space="preserve">	</w:t>
      </w:r>
      <w:r>
        <w:rPr>
          <w:rFonts w:ascii="Arial" w:cs="Arial" w:eastAsia="Arial" w:hAnsi="Arial"/>
          <w:b w:val="false"/>
          <w:bCs w:val="false"/>
          <w:color w:val="333333"/>
          <w:sz w:val="22"/>
          <w:szCs w:val="22"/>
        </w:rPr>
        <w:t xml:space="preserve">26</w:t>
      </w:r>
    </w:p>
    <w:p>
      <w:pPr>
        <w:tabs>
          <w:tab w:val="left" w:pos="2800"/>
        </w:tabs>
        <w:spacing w:after="80" w:before="0"/>
      </w:pPr>
      <w:r>
        <w:rPr>
          <w:rFonts w:ascii="Arial" w:cs="Arial" w:eastAsia="Arial" w:hAnsi="Arial"/>
          <w:b/>
          <w:bCs/>
          <w:color w:val="1A1A2E"/>
          <w:sz w:val="22"/>
          <w:szCs w:val="22"/>
        </w:rPr>
        <w:t xml:space="preserve">KLD 5-person (assumed)</w:t>
      </w:r>
      <w:r>
        <w:rPr>
          <w:rFonts w:ascii="Arial" w:cs="Arial" w:eastAsia="Arial" w:hAnsi="Arial"/>
        </w:rPr>
        <w:t xml:space="preserve">	</w:t>
      </w:r>
      <w:r>
        <w:rPr>
          <w:rFonts w:ascii="Arial" w:cs="Arial" w:eastAsia="Arial" w:hAnsi="Arial"/>
          <w:b w:val="false"/>
          <w:bCs w:val="false"/>
          <w:color w:val="333333"/>
          <w:sz w:val="22"/>
          <w:szCs w:val="22"/>
        </w:rPr>
        <w:t xml:space="preserve">10 KLDs</w:t>
      </w:r>
    </w:p>
    <w:p>
      <w:pPr>
        <w:tabs>
          <w:tab w:val="left" w:pos="2800"/>
        </w:tabs>
        <w:spacing w:after="80" w:before="0"/>
      </w:pPr>
      <w:r>
        <w:rPr>
          <w:rFonts w:ascii="Arial" w:cs="Arial" w:eastAsia="Arial" w:hAnsi="Arial"/>
          <w:b/>
          <w:bCs/>
          <w:color w:val="1A1A2E"/>
          <w:sz w:val="22"/>
          <w:szCs w:val="22"/>
        </w:rPr>
        <w:t xml:space="preserve">KLD 6-person (assumed)</w:t>
      </w:r>
      <w:r>
        <w:rPr>
          <w:rFonts w:ascii="Arial" w:cs="Arial" w:eastAsia="Arial" w:hAnsi="Arial"/>
        </w:rPr>
        <w:t xml:space="preserve">	</w:t>
      </w:r>
      <w:r>
        <w:rPr>
          <w:rFonts w:ascii="Arial" w:cs="Arial" w:eastAsia="Arial" w:hAnsi="Arial"/>
          <w:b w:val="false"/>
          <w:bCs w:val="false"/>
          <w:color w:val="333333"/>
          <w:sz w:val="22"/>
          <w:szCs w:val="22"/>
        </w:rPr>
        <w:t xml:space="preserve">25 KLDs</w:t>
      </w:r>
    </w:p>
    <w:p>
      <w:pPr>
        <w:tabs>
          <w:tab w:val="left" w:pos="2800"/>
        </w:tabs>
        <w:spacing w:after="80" w:before="0"/>
      </w:pPr>
      <w:r>
        <w:rPr>
          <w:rFonts w:ascii="Arial" w:cs="Arial" w:eastAsia="Arial" w:hAnsi="Arial"/>
          <w:b/>
          <w:bCs/>
          <w:color w:val="1A1A2E"/>
          <w:sz w:val="22"/>
          <w:szCs w:val="22"/>
        </w:rPr>
        <w:t xml:space="preserve">KLD 7-person (assumed)</w:t>
      </w:r>
      <w:r>
        <w:rPr>
          <w:rFonts w:ascii="Arial" w:cs="Arial" w:eastAsia="Arial" w:hAnsi="Arial"/>
        </w:rPr>
        <w:t xml:space="preserve">	</w:t>
      </w:r>
      <w:r>
        <w:rPr>
          <w:rFonts w:ascii="Arial" w:cs="Arial" w:eastAsia="Arial" w:hAnsi="Arial"/>
          <w:b w:val="false"/>
          <w:bCs w:val="false"/>
          <w:color w:val="333333"/>
          <w:sz w:val="22"/>
          <w:szCs w:val="22"/>
        </w:rPr>
        <w:t xml:space="preserve">9 KLDs</w:t>
      </w:r>
    </w:p>
    <w:p>
      <w:pPr>
        <w:spacing w:after="80" w:before="0"/>
      </w:pPr>
      <w:r>
        <w:rPr>
          <w:rFonts w:ascii="Arial" w:cs="Arial" w:eastAsia="Arial" w:hAnsi="Arial"/>
          <w:color w:val="333333"/>
          <w:sz w:val="22"/>
          <w:szCs w:val="22"/>
        </w:rPr>
        <w:t xml:space="preserve"/>
      </w:r>
    </w:p>
    <w:p>
      <w:pPr>
        <w:spacing w:after="150" w:before="0"/>
      </w:pPr>
      <w:r>
        <w:rPr>
          <w:rFonts w:ascii="Arial" w:cs="Arial" w:eastAsia="Arial" w:hAnsi="Arial"/>
          <w:color w:val="333333"/>
          <w:sz w:val="22"/>
          <w:szCs w:val="22"/>
        </w:rPr>
        <w:t xml:space="preserve">Mix of studios and cluster beds confirmed in planning documents. Room split assumed: 50% cluster, 45% standard studio, 5% premier studio. KLD mix assumed based on typical 22-storey mixed-format scheme. Confirm split when Cubex/Corstorphine &amp; Wright release detailed drawings.</w:t>
      </w:r>
    </w:p>
    <w:p>
      <w:pPr>
        <w:spacing w:after="120" w:before="0"/>
      </w:pPr>
      <w:r>
        <w:rPr>
          <w:rFonts w:ascii="Arial" w:cs="Arial" w:eastAsia="Arial" w:hAnsi="Arial"/>
          <w:color w:val="333333"/>
          <w:sz w:val="22"/>
          <w:szCs w:val="22"/>
        </w:rPr>
        <w:t xml:space="preserve"/>
      </w:r>
    </w:p>
    <w:p>
      <w:pPr>
        <w:pBdr>
          <w:bottom w:val="single" w:color="E8C547" w:sz="4"/>
        </w:pBdr>
        <w:spacing w:after="80" w:before="80"/>
      </w:pPr>
      <w:r>
        <w:rPr>
          <w:rFonts w:ascii="Arial" w:cs="Arial" w:eastAsia="Arial" w:hAnsi="Arial"/>
          <w:color w:val="333333"/>
          <w:sz w:val="22"/>
          <w:szCs w:val="22"/>
        </w:rPr>
        <w:t xml:space="preserve"/>
      </w:r>
    </w:p>
    <w:p>
      <w:r>
        <w:br w:type="page"/>
      </w:r>
    </w:p>
    <w:p>
      <w:pPr>
        <w:spacing w:after="60" w:before="0"/>
      </w:pPr>
      <w:r>
        <w:rPr>
          <w:rFonts w:ascii="Arial" w:cs="Arial" w:eastAsia="Arial" w:hAnsi="Arial"/>
          <w:b/>
          <w:bCs/>
          <w:color w:val="7F8C8D"/>
          <w:sz w:val="18"/>
          <w:szCs w:val="18"/>
        </w:rPr>
        <w:t xml:space="preserve">Scheme Priority 4</w:t>
      </w:r>
    </w:p>
    <w:p>
      <w:pPr>
        <w:spacing w:after="60" w:before="0"/>
      </w:pPr>
      <w:r>
        <w:rPr>
          <w:rFonts w:ascii="Arial" w:cs="Arial" w:eastAsia="Arial" w:hAnsi="Arial"/>
          <w:b/>
          <w:bCs/>
          <w:color w:val="1A1A2E"/>
          <w:sz w:val="22"/>
          <w:szCs w:val="22"/>
        </w:rPr>
        <w:t xml:space="preserve">PBSA </w:t>
      </w:r>
      <w:r>
        <w:rPr>
          <w:rFonts w:ascii="Arial" w:cs="Arial" w:eastAsia="Arial" w:hAnsi="Arial"/>
          <w:color w:val="7F8C8D"/>
          <w:sz w:val="19"/>
          <w:szCs w:val="19"/>
        </w:rPr>
        <w:t xml:space="preserve">High — approved, pre-contractor, pre-specification</w:t>
      </w:r>
    </w:p>
    <w:p>
      <w:pPr>
        <w:spacing w:after="80" w:before="0"/>
      </w:pPr>
      <w:r>
        <w:rPr>
          <w:rFonts w:ascii="Arial" w:cs="Arial" w:eastAsia="Arial" w:hAnsi="Arial"/>
          <w:b/>
          <w:bCs/>
          <w:color w:val="1A1A2E"/>
          <w:sz w:val="36"/>
          <w:szCs w:val="36"/>
        </w:rPr>
        <w:t xml:space="preserve">Clarendon House, Western Way, Exeter</w:t>
      </w:r>
    </w:p>
    <w:p>
      <w:pPr>
        <w:pBdr>
          <w:bottom w:val="single" w:color="E8C547" w:sz="6"/>
        </w:pBdr>
        <w:spacing w:after="120" w:before="0"/>
      </w:pPr>
      <w:r>
        <w:rPr>
          <w:rFonts w:ascii="Arial" w:cs="Arial" w:eastAsia="Arial" w:hAnsi="Arial"/>
          <w:color w:val="333333"/>
          <w:sz w:val="22"/>
          <w:szCs w:val="22"/>
        </w:rPr>
        <w:t xml:space="preserve"/>
      </w:r>
    </w:p>
    <w:p>
      <w:pPr>
        <w:spacing w:after="80" w:before="0"/>
      </w:pPr>
      <w:r>
        <w:rPr>
          <w:rFonts w:ascii="Arial" w:cs="Arial" w:eastAsia="Arial" w:hAnsi="Arial"/>
          <w:color w:val="333333"/>
          <w:sz w:val="22"/>
          <w:szCs w:val="22"/>
        </w:rPr>
        <w:t xml:space="preserve"/>
      </w:r>
    </w:p>
    <w:p>
      <w:pPr>
        <w:pStyle w:val="Heading2"/>
        <w:spacing w:after="80" w:before="280"/>
      </w:pPr>
      <w:r>
        <w:rPr>
          <w:rFonts w:ascii="Arial" w:cs="Arial" w:eastAsia="Arial" w:hAnsi="Arial"/>
          <w:b/>
          <w:bCs/>
          <w:color w:val="1A1A2E"/>
          <w:sz w:val="24"/>
          <w:szCs w:val="24"/>
        </w:rPr>
        <w:t xml:space="preserve">Planning application</w:t>
      </w:r>
    </w:p>
    <w:p>
      <w:pPr>
        <w:tabs>
          <w:tab w:val="left" w:pos="2800"/>
        </w:tabs>
        <w:spacing w:after="80" w:before="0"/>
      </w:pPr>
      <w:r>
        <w:rPr>
          <w:rFonts w:ascii="Arial" w:cs="Arial" w:eastAsia="Arial" w:hAnsi="Arial"/>
          <w:b/>
          <w:bCs/>
          <w:color w:val="1A1A2E"/>
          <w:sz w:val="22"/>
          <w:szCs w:val="22"/>
        </w:rPr>
        <w:t xml:space="preserve">Planning reference</w:t>
      </w:r>
      <w:r>
        <w:rPr>
          <w:rFonts w:ascii="Arial" w:cs="Arial" w:eastAsia="Arial" w:hAnsi="Arial"/>
        </w:rPr>
        <w:t xml:space="preserve">	</w:t>
      </w:r>
      <w:r>
        <w:rPr>
          <w:rFonts w:ascii="Arial" w:cs="Arial" w:eastAsia="Arial" w:hAnsi="Arial"/>
          <w:b/>
          <w:bCs/>
          <w:color w:val="333333"/>
          <w:sz w:val="22"/>
          <w:szCs w:val="22"/>
        </w:rPr>
        <w:t xml:space="preserve">25/1082/FUL</w:t>
      </w:r>
    </w:p>
    <w:p>
      <w:pPr>
        <w:tabs>
          <w:tab w:val="left" w:pos="2800"/>
        </w:tabs>
        <w:spacing w:after="80" w:before="0"/>
      </w:pPr>
      <w:r>
        <w:rPr>
          <w:rFonts w:ascii="Arial" w:cs="Arial" w:eastAsia="Arial" w:hAnsi="Arial"/>
          <w:b/>
          <w:bCs/>
          <w:color w:val="1A1A2E"/>
          <w:sz w:val="22"/>
          <w:szCs w:val="22"/>
        </w:rPr>
        <w:t xml:space="preserve">Address</w:t>
      </w:r>
      <w:r>
        <w:rPr>
          <w:rFonts w:ascii="Arial" w:cs="Arial" w:eastAsia="Arial" w:hAnsi="Arial"/>
        </w:rPr>
        <w:t xml:space="preserve">	</w:t>
      </w:r>
      <w:r>
        <w:rPr>
          <w:rFonts w:ascii="Arial" w:cs="Arial" w:eastAsia="Arial" w:hAnsi="Arial"/>
          <w:b w:val="false"/>
          <w:bCs w:val="false"/>
          <w:color w:val="333333"/>
          <w:sz w:val="22"/>
          <w:szCs w:val="22"/>
        </w:rPr>
        <w:t xml:space="preserve">Clarendon House, Western Way/Heavitree Road junction, Barnfield, Exeter EX1 2DA</w:t>
      </w:r>
    </w:p>
    <w:p>
      <w:pPr>
        <w:tabs>
          <w:tab w:val="left" w:pos="2800"/>
        </w:tabs>
        <w:spacing w:after="80" w:before="0"/>
      </w:pPr>
      <w:r>
        <w:rPr>
          <w:rFonts w:ascii="Arial" w:cs="Arial" w:eastAsia="Arial" w:hAnsi="Arial"/>
          <w:b/>
          <w:bCs/>
          <w:color w:val="1A1A2E"/>
          <w:sz w:val="22"/>
          <w:szCs w:val="22"/>
        </w:rPr>
        <w:t xml:space="preserve">Developer</w:t>
      </w:r>
      <w:r>
        <w:rPr>
          <w:rFonts w:ascii="Arial" w:cs="Arial" w:eastAsia="Arial" w:hAnsi="Arial"/>
        </w:rPr>
        <w:t xml:space="preserve">	</w:t>
      </w:r>
      <w:r>
        <w:rPr>
          <w:rFonts w:ascii="Arial" w:cs="Arial" w:eastAsia="Arial" w:hAnsi="Arial"/>
          <w:b w:val="false"/>
          <w:bCs w:val="false"/>
          <w:color w:val="333333"/>
          <w:sz w:val="22"/>
          <w:szCs w:val="22"/>
        </w:rPr>
        <w:t xml:space="preserve">Zinc Real Estate (London / Netherlands)</w:t>
      </w:r>
    </w:p>
    <w:p>
      <w:pPr>
        <w:tabs>
          <w:tab w:val="left" w:pos="2800"/>
        </w:tabs>
        <w:spacing w:after="80" w:before="0"/>
      </w:pPr>
      <w:r>
        <w:rPr>
          <w:rFonts w:ascii="Arial" w:cs="Arial" w:eastAsia="Arial" w:hAnsi="Arial"/>
          <w:b/>
          <w:bCs/>
          <w:color w:val="1A1A2E"/>
          <w:sz w:val="22"/>
          <w:szCs w:val="22"/>
        </w:rPr>
        <w:t xml:space="preserve">Architect</w:t>
      </w:r>
      <w:r>
        <w:rPr>
          <w:rFonts w:ascii="Arial" w:cs="Arial" w:eastAsia="Arial" w:hAnsi="Arial"/>
        </w:rPr>
        <w:t xml:space="preserve">	</w:t>
      </w:r>
      <w:r>
        <w:rPr>
          <w:rFonts w:ascii="Arial" w:cs="Arial" w:eastAsia="Arial" w:hAnsi="Arial"/>
          <w:b w:val="false"/>
          <w:bCs w:val="false"/>
          <w:color w:val="333333"/>
          <w:sz w:val="22"/>
          <w:szCs w:val="22"/>
        </w:rPr>
        <w:t xml:space="preserve">Chapman Taylor</w:t>
      </w:r>
    </w:p>
    <w:p>
      <w:pPr>
        <w:tabs>
          <w:tab w:val="left" w:pos="2800"/>
        </w:tabs>
        <w:spacing w:after="80" w:before="0"/>
      </w:pPr>
      <w:r>
        <w:rPr>
          <w:rFonts w:ascii="Arial" w:cs="Arial" w:eastAsia="Arial" w:hAnsi="Arial"/>
          <w:b/>
          <w:bCs/>
          <w:color w:val="1A1A2E"/>
          <w:sz w:val="22"/>
          <w:szCs w:val="22"/>
        </w:rPr>
        <w:t xml:space="preserve">LPA</w:t>
      </w:r>
      <w:r>
        <w:rPr>
          <w:rFonts w:ascii="Arial" w:cs="Arial" w:eastAsia="Arial" w:hAnsi="Arial"/>
        </w:rPr>
        <w:t xml:space="preserve">	</w:t>
      </w:r>
      <w:r>
        <w:rPr>
          <w:rFonts w:ascii="Arial" w:cs="Arial" w:eastAsia="Arial" w:hAnsi="Arial"/>
          <w:b w:val="false"/>
          <w:bCs w:val="false"/>
          <w:color w:val="333333"/>
          <w:sz w:val="22"/>
          <w:szCs w:val="22"/>
        </w:rPr>
        <w:t xml:space="preserve">Exeter City Council</w:t>
      </w:r>
    </w:p>
    <w:p>
      <w:pPr>
        <w:tabs>
          <w:tab w:val="left" w:pos="2800"/>
        </w:tabs>
        <w:spacing w:after="80" w:before="0"/>
      </w:pPr>
      <w:r>
        <w:rPr>
          <w:rFonts w:ascii="Arial" w:cs="Arial" w:eastAsia="Arial" w:hAnsi="Arial"/>
          <w:b/>
          <w:bCs/>
          <w:color w:val="1A1A2E"/>
          <w:sz w:val="22"/>
          <w:szCs w:val="22"/>
        </w:rPr>
        <w:t xml:space="preserve">Status</w:t>
      </w:r>
      <w:r>
        <w:rPr>
          <w:rFonts w:ascii="Arial" w:cs="Arial" w:eastAsia="Arial" w:hAnsi="Arial"/>
        </w:rPr>
        <w:t xml:space="preserve">	</w:t>
      </w:r>
      <w:r>
        <w:rPr>
          <w:rFonts w:ascii="Arial" w:cs="Arial" w:eastAsia="Arial" w:hAnsi="Arial"/>
          <w:b w:val="false"/>
          <w:bCs w:val="false"/>
          <w:color w:val="333333"/>
          <w:sz w:val="22"/>
          <w:szCs w:val="22"/>
        </w:rPr>
        <w:t xml:space="preserve">Approved February 2026 — 4 months post-consent</w:t>
      </w:r>
    </w:p>
    <w:p>
      <w:pPr>
        <w:tabs>
          <w:tab w:val="left" w:pos="2800"/>
        </w:tabs>
        <w:spacing w:after="80" w:before="0"/>
      </w:pPr>
      <w:r>
        <w:rPr>
          <w:rFonts w:ascii="Arial" w:cs="Arial" w:eastAsia="Arial" w:hAnsi="Arial"/>
          <w:b/>
          <w:bCs/>
          <w:color w:val="1A1A2E"/>
          <w:sz w:val="22"/>
          <w:szCs w:val="22"/>
        </w:rPr>
        <w:t xml:space="preserve">Portal</w:t>
      </w:r>
      <w:r>
        <w:rPr>
          <w:rFonts w:ascii="Arial" w:cs="Arial" w:eastAsia="Arial" w:hAnsi="Arial"/>
        </w:rPr>
        <w:t xml:space="preserve">	</w:t>
      </w:r>
      <w:r>
        <w:rPr>
          <w:rFonts w:ascii="Arial" w:cs="Arial" w:eastAsia="Arial" w:hAnsi="Arial"/>
          <w:b w:val="false"/>
          <w:bCs w:val="false"/>
          <w:color w:val="333333"/>
          <w:sz w:val="22"/>
          <w:szCs w:val="22"/>
        </w:rPr>
        <w:t xml:space="preserve">25/1082/FUL — Exeter City Council planning portal: exeter.gov.uk/planning-services</w:t>
      </w:r>
    </w:p>
    <w:p>
      <w:pPr>
        <w:spacing w:after="100" w:before="0"/>
      </w:pPr>
      <w:r>
        <w:rPr>
          <w:rFonts w:ascii="Arial" w:cs="Arial" w:eastAsia="Arial" w:hAnsi="Arial"/>
          <w:color w:val="333333"/>
          <w:sz w:val="22"/>
          <w:szCs w:val="22"/>
        </w:rPr>
        <w:t xml:space="preserve"/>
      </w:r>
    </w:p>
    <w:p>
      <w:pPr>
        <w:pStyle w:val="Heading2"/>
        <w:spacing w:after="80" w:before="280"/>
      </w:pPr>
      <w:r>
        <w:rPr>
          <w:rFonts w:ascii="Arial" w:cs="Arial" w:eastAsia="Arial" w:hAnsi="Arial"/>
          <w:b/>
          <w:bCs/>
          <w:color w:val="1A1A2E"/>
          <w:sz w:val="24"/>
          <w:szCs w:val="24"/>
        </w:rPr>
        <w:t xml:space="preserve">Classification</w:t>
      </w:r>
    </w:p>
    <w:p>
      <w:pPr>
        <w:spacing w:after="150" w:before="0"/>
      </w:pPr>
      <w:r>
        <w:rPr>
          <w:rFonts w:ascii="Arial" w:cs="Arial" w:eastAsia="Arial" w:hAnsi="Arial"/>
          <w:color w:val="333333"/>
          <w:sz w:val="22"/>
          <w:szCs w:val="22"/>
        </w:rPr>
        <w:t xml:space="preserve">Zinc Real Estate received a narrow but clear planning approval in February 2026 for a 297-bed PBSA scheme at Clarendon House, the former JobCentre site on Western Way/Heavitree Road junction. The 10-storey scheme (Chapman Taylor architects) delivers 134 studios and 163 cluster beds in 29 flats, with an Innovation Hub at ground floor. A prominent gateway site opposite the newly-completed St Sidwell's Point Leisure Centre.</w:t>
      </w:r>
    </w:p>
    <w:p>
      <w:pPr>
        <w:spacing w:after="100" w:before="0"/>
      </w:pPr>
      <w:r>
        <w:rPr>
          <w:rFonts w:ascii="Arial" w:cs="Arial" w:eastAsia="Arial" w:hAnsi="Arial"/>
          <w:color w:val="333333"/>
          <w:sz w:val="22"/>
          <w:szCs w:val="22"/>
        </w:rPr>
        <w:t xml:space="preserve"/>
      </w:r>
    </w:p>
    <w:p>
      <w:pPr>
        <w:pStyle w:val="Heading2"/>
        <w:spacing w:after="80" w:before="280"/>
      </w:pPr>
      <w:r>
        <w:rPr>
          <w:rFonts w:ascii="Arial" w:cs="Arial" w:eastAsia="Arial" w:hAnsi="Arial"/>
          <w:b/>
          <w:bCs/>
          <w:color w:val="1A1A2E"/>
          <w:sz w:val="24"/>
          <w:szCs w:val="24"/>
        </w:rPr>
        <w:t xml:space="preserve">Stage assessment</w:t>
      </w:r>
    </w:p>
    <w:p>
      <w:pPr>
        <w:tabs>
          <w:tab w:val="left" w:pos="2800"/>
        </w:tabs>
        <w:spacing w:after="80" w:before="0"/>
      </w:pPr>
      <w:r>
        <w:rPr>
          <w:rFonts w:ascii="Arial" w:cs="Arial" w:eastAsia="Arial" w:hAnsi="Arial"/>
          <w:b/>
          <w:bCs/>
          <w:color w:val="1A1A2E"/>
          <w:sz w:val="22"/>
          <w:szCs w:val="22"/>
        </w:rPr>
        <w:t xml:space="preserve">Assumed start</w:t>
      </w:r>
      <w:r>
        <w:rPr>
          <w:rFonts w:ascii="Arial" w:cs="Arial" w:eastAsia="Arial" w:hAnsi="Arial"/>
        </w:rPr>
        <w:t xml:space="preserve">	</w:t>
      </w:r>
      <w:r>
        <w:rPr>
          <w:rFonts w:ascii="Arial" w:cs="Arial" w:eastAsia="Arial" w:hAnsi="Arial"/>
          <w:b w:val="false"/>
          <w:bCs w:val="false"/>
          <w:color w:val="333333"/>
          <w:sz w:val="22"/>
          <w:szCs w:val="22"/>
        </w:rPr>
        <w:t xml:space="preserve">2027 assumed</w:t>
      </w:r>
    </w:p>
    <w:p>
      <w:pPr>
        <w:tabs>
          <w:tab w:val="left" w:pos="2800"/>
        </w:tabs>
        <w:spacing w:after="80" w:before="0"/>
      </w:pPr>
      <w:r>
        <w:rPr>
          <w:rFonts w:ascii="Arial" w:cs="Arial" w:eastAsia="Arial" w:hAnsi="Arial"/>
          <w:b/>
          <w:bCs/>
          <w:color w:val="1A1A2E"/>
          <w:sz w:val="22"/>
          <w:szCs w:val="22"/>
        </w:rPr>
        <w:t xml:space="preserve">Programme</w:t>
      </w:r>
      <w:r>
        <w:rPr>
          <w:rFonts w:ascii="Arial" w:cs="Arial" w:eastAsia="Arial" w:hAnsi="Arial"/>
        </w:rPr>
        <w:t xml:space="preserve">	</w:t>
      </w:r>
      <w:r>
        <w:rPr>
          <w:rFonts w:ascii="Arial" w:cs="Arial" w:eastAsia="Arial" w:hAnsi="Arial"/>
          <w:b w:val="false"/>
          <w:bCs w:val="false"/>
          <w:color w:val="333333"/>
          <w:sz w:val="22"/>
          <w:szCs w:val="22"/>
        </w:rPr>
        <w:t xml:space="preserve">7 months assumed</w:t>
      </w:r>
    </w:p>
    <w:p>
      <w:pPr>
        <w:tabs>
          <w:tab w:val="left" w:pos="2800"/>
        </w:tabs>
        <w:spacing w:after="80" w:before="0"/>
      </w:pPr>
      <w:r>
        <w:rPr>
          <w:rFonts w:ascii="Arial" w:cs="Arial" w:eastAsia="Arial" w:hAnsi="Arial"/>
          <w:b/>
          <w:bCs/>
          <w:color w:val="1A1A2E"/>
          <w:sz w:val="22"/>
          <w:szCs w:val="22"/>
        </w:rPr>
        <w:t xml:space="preserve">Beds</w:t>
      </w:r>
      <w:r>
        <w:rPr>
          <w:rFonts w:ascii="Arial" w:cs="Arial" w:eastAsia="Arial" w:hAnsi="Arial"/>
        </w:rPr>
        <w:t xml:space="preserve">	</w:t>
      </w:r>
      <w:r>
        <w:rPr>
          <w:rFonts w:ascii="Arial" w:cs="Arial" w:eastAsia="Arial" w:hAnsi="Arial"/>
          <w:b w:val="false"/>
          <w:bCs w:val="false"/>
          <w:color w:val="333333"/>
          <w:sz w:val="22"/>
          <w:szCs w:val="22"/>
        </w:rPr>
        <w:t xml:space="preserve">297</w:t>
      </w:r>
    </w:p>
    <w:p>
      <w:pPr>
        <w:tabs>
          <w:tab w:val="left" w:pos="2800"/>
        </w:tabs>
        <w:spacing w:after="80" w:before="0"/>
      </w:pPr>
      <w:r>
        <w:rPr>
          <w:rFonts w:ascii="Arial" w:cs="Arial" w:eastAsia="Arial" w:hAnsi="Arial"/>
          <w:b/>
          <w:bCs/>
          <w:color w:val="1A1A2E"/>
          <w:sz w:val="22"/>
          <w:szCs w:val="22"/>
        </w:rPr>
        <w:t xml:space="preserve">KLDs (cluster kitchens)</w:t>
      </w:r>
      <w:r>
        <w:rPr>
          <w:rFonts w:ascii="Arial" w:cs="Arial" w:eastAsia="Arial" w:hAnsi="Arial"/>
        </w:rPr>
        <w:t xml:space="preserve">	</w:t>
      </w:r>
      <w:r>
        <w:rPr>
          <w:rFonts w:ascii="Arial" w:cs="Arial" w:eastAsia="Arial" w:hAnsi="Arial"/>
          <w:b w:val="false"/>
          <w:bCs w:val="false"/>
          <w:color w:val="333333"/>
          <w:sz w:val="22"/>
          <w:szCs w:val="22"/>
        </w:rPr>
        <w:t xml:space="preserve">29</w:t>
      </w:r>
    </w:p>
    <w:p>
      <w:pPr>
        <w:spacing w:after="100" w:before="0"/>
      </w:pPr>
      <w:r>
        <w:rPr>
          <w:rFonts w:ascii="Arial" w:cs="Arial" w:eastAsia="Arial" w:hAnsi="Arial"/>
          <w:color w:val="333333"/>
          <w:sz w:val="22"/>
          <w:szCs w:val="22"/>
        </w:rPr>
        <w:t xml:space="preserve"/>
      </w:r>
    </w:p>
    <w:p>
      <w:pPr>
        <w:pStyle w:val="Heading2"/>
        <w:spacing w:after="80" w:before="280"/>
      </w:pPr>
      <w:r>
        <w:rPr>
          <w:rFonts w:ascii="Arial" w:cs="Arial" w:eastAsia="Arial" w:hAnsi="Arial"/>
          <w:b/>
          <w:bCs/>
          <w:color w:val="1A1A2E"/>
          <w:sz w:val="24"/>
          <w:szCs w:val="24"/>
        </w:rPr>
        <w:t xml:space="preserve">Opportunities for Flagstaffe</w:t>
      </w:r>
    </w:p>
    <w:p>
      <w:pPr>
        <w:pStyle w:val="ListParagraph"/>
        <w:numPr>
          <w:ilvl w:val="0"/>
          <w:numId w:val="2"/>
        </w:numPr>
        <w:spacing w:after="90" w:before="0"/>
      </w:pPr>
      <w:r>
        <w:rPr>
          <w:rFonts w:ascii="Arial" w:cs="Arial" w:eastAsia="Arial" w:hAnsi="Arial"/>
          <w:color w:val="333333"/>
          <w:sz w:val="22"/>
          <w:szCs w:val="22"/>
        </w:rPr>
        <w:t xml:space="preserve">297 beds with a clear studio/cluster split — confirmed from the JLL demand report submitted with the planning application.</w:t>
      </w:r>
    </w:p>
    <w:p>
      <w:pPr>
        <w:pStyle w:val="ListParagraph"/>
        <w:numPr>
          <w:ilvl w:val="0"/>
          <w:numId w:val="2"/>
        </w:numPr>
        <w:spacing w:after="90" w:before="0"/>
      </w:pPr>
      <w:r>
        <w:rPr>
          <w:rFonts w:ascii="Arial" w:cs="Arial" w:eastAsia="Arial" w:hAnsi="Arial"/>
          <w:color w:val="333333"/>
          <w:sz w:val="22"/>
          <w:szCs w:val="22"/>
        </w:rPr>
        <w:t xml:space="preserve">Zinc Real Estate is a specialist PBSA developer with active schemes across the UK and Europe. Strong engagement on the Clarendon House project could open their UK pipeline.</w:t>
      </w:r>
    </w:p>
    <w:p>
      <w:pPr>
        <w:pStyle w:val="ListParagraph"/>
        <w:numPr>
          <w:ilvl w:val="0"/>
          <w:numId w:val="2"/>
        </w:numPr>
        <w:spacing w:after="90" w:before="0"/>
      </w:pPr>
      <w:r>
        <w:rPr>
          <w:rFonts w:ascii="Arial" w:cs="Arial" w:eastAsia="Arial" w:hAnsi="Arial"/>
          <w:color w:val="333333"/>
          <w:sz w:val="22"/>
          <w:szCs w:val="22"/>
        </w:rPr>
        <w:t xml:space="preserve">Only 4 months post-consent — no contractor has been appointed, the specification has not been locked in, and FF&amp;E procurement is still wide open.</w:t>
      </w:r>
    </w:p>
    <w:p>
      <w:pPr>
        <w:pStyle w:val="ListParagraph"/>
        <w:numPr>
          <w:ilvl w:val="0"/>
          <w:numId w:val="2"/>
        </w:numPr>
        <w:spacing w:after="90" w:before="0"/>
      </w:pPr>
      <w:r>
        <w:rPr>
          <w:rFonts w:ascii="Arial" w:cs="Arial" w:eastAsia="Arial" w:hAnsi="Arial"/>
          <w:color w:val="333333"/>
          <w:sz w:val="22"/>
          <w:szCs w:val="22"/>
        </w:rPr>
        <w:t xml:space="preserve">The Exeter student market is expanding rapidly (2,766 beds in pipeline as of 2026) — Zinc is explicitly targeting this growth market. A quality FF&amp;E relationship here positions Flagstaffe for Zinc's next Exeter scheme.</w:t>
      </w:r>
    </w:p>
    <w:p>
      <w:pPr>
        <w:spacing w:after="100" w:before="0"/>
      </w:pPr>
      <w:r>
        <w:rPr>
          <w:rFonts w:ascii="Arial" w:cs="Arial" w:eastAsia="Arial" w:hAnsi="Arial"/>
          <w:color w:val="333333"/>
          <w:sz w:val="22"/>
          <w:szCs w:val="22"/>
        </w:rPr>
        <w:t xml:space="preserve"/>
      </w:r>
    </w:p>
    <w:p>
      <w:pPr>
        <w:pStyle w:val="Heading2"/>
        <w:spacing w:after="80" w:before="280"/>
      </w:pPr>
      <w:r>
        <w:rPr>
          <w:rFonts w:ascii="Arial" w:cs="Arial" w:eastAsia="Arial" w:hAnsi="Arial"/>
          <w:b/>
          <w:bCs/>
          <w:color w:val="1A1A2E"/>
          <w:sz w:val="24"/>
          <w:szCs w:val="24"/>
        </w:rPr>
        <w:t xml:space="preserve">Red flags</w:t>
      </w:r>
    </w:p>
    <w:p>
      <w:pPr>
        <w:pStyle w:val="ListParagraph"/>
        <w:numPr>
          <w:ilvl w:val="0"/>
          <w:numId w:val="2"/>
        </w:numPr>
        <w:spacing w:after="90" w:before="0"/>
      </w:pPr>
      <w:r>
        <w:rPr>
          <w:rFonts w:ascii="Arial" w:cs="Arial" w:eastAsia="Arial" w:hAnsi="Arial"/>
          <w:color w:val="C62828"/>
          <w:sz w:val="22"/>
          <w:szCs w:val="22"/>
        </w:rPr>
        <w:t xml:space="preserve">The approval was narrow — Clarendon House is being advertised to let as office space as of April 2026, suggesting the building has not yet been vacated. Demolition timeline may be delayed.</w:t>
      </w:r>
    </w:p>
    <w:p>
      <w:pPr>
        <w:pStyle w:val="ListParagraph"/>
        <w:numPr>
          <w:ilvl w:val="0"/>
          <w:numId w:val="2"/>
        </w:numPr>
        <w:spacing w:after="90" w:before="0"/>
      </w:pPr>
      <w:r>
        <w:rPr>
          <w:rFonts w:ascii="Arial" w:cs="Arial" w:eastAsia="Arial" w:hAnsi="Arial"/>
          <w:color w:val="C62828"/>
          <w:sz w:val="22"/>
          <w:szCs w:val="22"/>
        </w:rPr>
        <w:t xml:space="preserve">Zinc is Netherlands/London based with limited prior track record in Exeter — they may bring an existing supply chain partner from previous schemes.</w:t>
      </w:r>
    </w:p>
    <w:p>
      <w:pPr>
        <w:pStyle w:val="ListParagraph"/>
        <w:numPr>
          <w:ilvl w:val="0"/>
          <w:numId w:val="2"/>
        </w:numPr>
        <w:spacing w:after="90" w:before="0"/>
      </w:pPr>
      <w:r>
        <w:rPr>
          <w:rFonts w:ascii="Arial" w:cs="Arial" w:eastAsia="Arial" w:hAnsi="Arial"/>
          <w:color w:val="C62828"/>
          <w:sz w:val="22"/>
          <w:szCs w:val="22"/>
        </w:rPr>
        <w:t xml:space="preserve">Historic England raised design concerns — while they did not formally object, any Section 73 variation to the approved scheme could delay the programme.</w:t>
      </w:r>
    </w:p>
    <w:p>
      <w:pPr>
        <w:spacing w:after="100" w:before="0"/>
      </w:pPr>
      <w:r>
        <w:rPr>
          <w:rFonts w:ascii="Arial" w:cs="Arial" w:eastAsia="Arial" w:hAnsi="Arial"/>
          <w:color w:val="333333"/>
          <w:sz w:val="22"/>
          <w:szCs w:val="22"/>
        </w:rPr>
        <w:t xml:space="preserve"/>
      </w:r>
    </w:p>
    <w:p>
      <w:pPr>
        <w:pStyle w:val="Heading2"/>
        <w:spacing w:after="80" w:before="280"/>
      </w:pPr>
      <w:r>
        <w:rPr>
          <w:rFonts w:ascii="Arial" w:cs="Arial" w:eastAsia="Arial" w:hAnsi="Arial"/>
          <w:b/>
          <w:bCs/>
          <w:color w:val="1A1A2E"/>
          <w:sz w:val="24"/>
          <w:szCs w:val="24"/>
        </w:rPr>
        <w:t xml:space="preserve">Recommended action</w:t>
      </w:r>
    </w:p>
    <w:p>
      <w:pPr>
        <w:pBdr>
          <w:top w:val="single" w:color="E65100" w:sz="2"/>
          <w:left w:val="single" w:color="E65100" w:sz="16"/>
          <w:bottom w:val="single" w:color="E65100" w:sz="2"/>
          <w:right w:val="none" w:color="FFFFFF" w:sz="0"/>
        </w:pBdr>
        <w:shd w:fill="FFF9C4" w:val="clear"/>
        <w:spacing w:after="160" w:before="160"/>
        <w:ind w:left="360"/>
      </w:pPr>
      <w:r>
        <w:rPr>
          <w:rFonts w:ascii="Arial" w:cs="Arial" w:eastAsia="Arial" w:hAnsi="Arial"/>
          <w:b/>
          <w:bCs/>
          <w:color w:val="E65100"/>
          <w:sz w:val="22"/>
          <w:szCs w:val="22"/>
        </w:rPr>
        <w:t xml:space="preserve">Contact Zinc Real Estate's UK development team. Chapman Taylor (architects, involved in Flagstaffe-adjacent schemes) may also be a warm route in. Lead with regional delivery capability in Exeter, confirmed studio and cluster expertise, and the 297-bed scale.</w:t>
      </w:r>
    </w:p>
    <w:p>
      <w:pPr>
        <w:spacing w:after="120" w:before="0"/>
      </w:pPr>
      <w:r>
        <w:rPr>
          <w:rFonts w:ascii="Arial" w:cs="Arial" w:eastAsia="Arial" w:hAnsi="Arial"/>
          <w:color w:val="333333"/>
          <w:sz w:val="22"/>
          <w:szCs w:val="22"/>
        </w:rPr>
        <w:t xml:space="preserve"/>
      </w:r>
    </w:p>
    <w:p>
      <w:pPr>
        <w:pStyle w:val="Heading2"/>
        <w:spacing w:after="80" w:before="280"/>
      </w:pPr>
      <w:r>
        <w:rPr>
          <w:rFonts w:ascii="Arial" w:cs="Arial" w:eastAsia="Arial" w:hAnsi="Arial"/>
          <w:b/>
          <w:bCs/>
          <w:color w:val="1A1A2E"/>
          <w:sz w:val="24"/>
          <w:szCs w:val="24"/>
        </w:rPr>
        <w:t xml:space="preserve">Indicative FF&amp;E budget</w:t>
      </w:r>
    </w:p>
    <w:p>
      <w:pPr>
        <w:pBdr>
          <w:top w:val="single" w:color="E65100" w:sz="2"/>
          <w:left w:val="single" w:color="E65100" w:sz="16"/>
          <w:bottom w:val="single" w:color="E65100" w:sz="2"/>
          <w:right w:val="none" w:color="FFFFFF" w:sz="0"/>
        </w:pBdr>
        <w:shd w:fill="FFF9C4" w:val="clear"/>
        <w:spacing w:after="160" w:before="160"/>
        <w:ind w:left="360"/>
      </w:pPr>
      <w:r>
        <w:rPr>
          <w:rFonts w:ascii="Arial" w:cs="Arial" w:eastAsia="Arial" w:hAnsi="Arial"/>
          <w:b/>
          <w:bCs/>
          <w:color w:val="E65100"/>
          <w:sz w:val="22"/>
          <w:szCs w:val="22"/>
        </w:rPr>
        <w:t xml:space="preserve">Room counts are ASSUMED from planning documents. Update the Excel pricing tool (Flagstaffe_Manchester_Pricing_Tool.xlsx) with confirmed room counts when drawings are available.</w:t>
      </w:r>
    </w:p>
    <w:p>
      <w:pPr>
        <w:spacing w:after="80" w:before="0"/>
      </w:pPr>
      <w:r>
        <w:rPr>
          <w:rFonts w:ascii="Arial" w:cs="Arial" w:eastAsia="Arial" w:hAnsi="Arial"/>
          <w:color w:val="333333"/>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29"/>
        <w:gridCol w:w="1173"/>
        <w:gridCol w:w="1444"/>
        <w:gridCol w:w="1624"/>
        <w:gridCol w:w="1356"/>
      </w:tblGrid>
      <w:tr>
        <w:tc>
          <w:tcPr>
            <w:tcW w:type="dxa" w:w="3429"/>
            <w:tcBorders>
              <w:top w:val="single" w:color="DDDDDD" w:sz="1"/>
              <w:left w:val="single" w:color="DDDDDD" w:sz="1"/>
              <w:bottom w:val="single" w:color="DDDDDD" w:sz="1"/>
              <w:right w:val="single" w:color="DDDDDD" w:sz="1"/>
            </w:tcBorders>
            <w:shd w:fill="1A1A2E" w:val="clear"/>
            <w:tcMar>
              <w:top w:type="dxa" w:w="80"/>
              <w:left w:type="dxa" w:w="160"/>
              <w:bottom w:type="dxa" w:w="80"/>
              <w:right w:type="dxa" w:w="160"/>
            </w:tcMar>
          </w:tcPr>
          <w:p>
            <w:pPr>
              <w:spacing w:after="0" w:before="0"/>
              <w:jc w:val="left"/>
            </w:pPr>
            <w:r>
              <w:rPr>
                <w:rFonts w:ascii="Arial" w:cs="Arial" w:eastAsia="Arial" w:hAnsi="Arial"/>
                <w:b/>
                <w:bCs/>
                <w:color w:val="FFFFFF"/>
                <w:sz w:val="20"/>
                <w:szCs w:val="20"/>
              </w:rPr>
              <w:t xml:space="preserve">Room / Unit Type</w:t>
            </w:r>
          </w:p>
        </w:tc>
        <w:tc>
          <w:tcPr>
            <w:tcW w:type="dxa" w:w="1173"/>
            <w:tcBorders>
              <w:top w:val="single" w:color="DDDDDD" w:sz="1"/>
              <w:left w:val="single" w:color="DDDDDD" w:sz="1"/>
              <w:bottom w:val="single" w:color="DDDDDD" w:sz="1"/>
              <w:right w:val="single" w:color="DDDDDD" w:sz="1"/>
            </w:tcBorders>
            <w:shd w:fill="1A1A2E" w:val="clear"/>
            <w:tcMar>
              <w:top w:type="dxa" w:w="80"/>
              <w:left w:type="dxa" w:w="160"/>
              <w:bottom w:type="dxa" w:w="80"/>
              <w:right w:type="dxa" w:w="160"/>
            </w:tcMar>
          </w:tcPr>
          <w:p>
            <w:pPr>
              <w:spacing w:after="0" w:before="0"/>
              <w:jc w:val="right"/>
            </w:pPr>
            <w:r>
              <w:rPr>
                <w:rFonts w:ascii="Arial" w:cs="Arial" w:eastAsia="Arial" w:hAnsi="Arial"/>
                <w:b/>
                <w:bCs/>
                <w:color w:val="FFFFFF"/>
                <w:sz w:val="20"/>
                <w:szCs w:val="20"/>
              </w:rPr>
              <w:t xml:space="preserve">Count</w:t>
            </w:r>
          </w:p>
        </w:tc>
        <w:tc>
          <w:tcPr>
            <w:tcW w:type="dxa" w:w="1444"/>
            <w:tcBorders>
              <w:top w:val="single" w:color="DDDDDD" w:sz="1"/>
              <w:left w:val="single" w:color="DDDDDD" w:sz="1"/>
              <w:bottom w:val="single" w:color="DDDDDD" w:sz="1"/>
              <w:right w:val="single" w:color="DDDDDD" w:sz="1"/>
            </w:tcBorders>
            <w:shd w:fill="1A1A2E" w:val="clear"/>
            <w:tcMar>
              <w:top w:type="dxa" w:w="80"/>
              <w:left w:type="dxa" w:w="160"/>
              <w:bottom w:type="dxa" w:w="80"/>
              <w:right w:type="dxa" w:w="160"/>
            </w:tcMar>
          </w:tcPr>
          <w:p>
            <w:pPr>
              <w:spacing w:after="0" w:before="0"/>
              <w:jc w:val="right"/>
            </w:pPr>
            <w:r>
              <w:rPr>
                <w:rFonts w:ascii="Arial" w:cs="Arial" w:eastAsia="Arial" w:hAnsi="Arial"/>
                <w:b/>
                <w:bCs/>
                <w:color w:val="FFFFFF"/>
                <w:sz w:val="20"/>
                <w:szCs w:val="20"/>
              </w:rPr>
              <w:t xml:space="preserve">Unit Rate</w:t>
            </w:r>
          </w:p>
        </w:tc>
        <w:tc>
          <w:tcPr>
            <w:tcW w:type="dxa" w:w="1624"/>
            <w:tcBorders>
              <w:top w:val="single" w:color="DDDDDD" w:sz="1"/>
              <w:left w:val="single" w:color="DDDDDD" w:sz="1"/>
              <w:bottom w:val="single" w:color="DDDDDD" w:sz="1"/>
              <w:right w:val="single" w:color="DDDDDD" w:sz="1"/>
            </w:tcBorders>
            <w:shd w:fill="1A1A2E" w:val="clear"/>
            <w:tcMar>
              <w:top w:type="dxa" w:w="80"/>
              <w:left w:type="dxa" w:w="160"/>
              <w:bottom w:type="dxa" w:w="80"/>
              <w:right w:type="dxa" w:w="160"/>
            </w:tcMar>
          </w:tcPr>
          <w:p>
            <w:pPr>
              <w:spacing w:after="0" w:before="0"/>
              <w:jc w:val="right"/>
            </w:pPr>
            <w:r>
              <w:rPr>
                <w:rFonts w:ascii="Arial" w:cs="Arial" w:eastAsia="Arial" w:hAnsi="Arial"/>
                <w:b/>
                <w:bCs/>
                <w:color w:val="FFFFFF"/>
                <w:sz w:val="20"/>
                <w:szCs w:val="20"/>
              </w:rPr>
              <w:t xml:space="preserve">Sub-total</w:t>
            </w:r>
          </w:p>
        </w:tc>
        <w:tc>
          <w:tcPr>
            <w:tcW w:type="dxa" w:w="1356"/>
            <w:tcBorders>
              <w:top w:val="single" w:color="DDDDDD" w:sz="1"/>
              <w:left w:val="single" w:color="DDDDDD" w:sz="1"/>
              <w:bottom w:val="single" w:color="DDDDDD" w:sz="1"/>
              <w:right w:val="single" w:color="DDDDDD" w:sz="1"/>
            </w:tcBorders>
            <w:shd w:fill="1A1A2E" w:val="clear"/>
            <w:tcMar>
              <w:top w:type="dxa" w:w="80"/>
              <w:left w:type="dxa" w:w="160"/>
              <w:bottom w:type="dxa" w:w="80"/>
              <w:right w:type="dxa" w:w="160"/>
            </w:tcMar>
          </w:tcPr>
          <w:p>
            <w:pPr>
              <w:spacing w:after="0" w:before="0"/>
              <w:jc w:val="left"/>
            </w:pPr>
            <w:r>
              <w:rPr>
                <w:rFonts w:ascii="Arial" w:cs="Arial" w:eastAsia="Arial" w:hAnsi="Arial"/>
                <w:b/>
                <w:bCs/>
                <w:color w:val="FFFFFF"/>
                <w:sz w:val="20"/>
                <w:szCs w:val="20"/>
              </w:rPr>
              <w:t xml:space="preserve"/>
            </w:r>
          </w:p>
        </w:tc>
      </w:tr>
      <w:tr>
        <w:tc>
          <w:tcPr>
            <w:tcW w:type="dxa" w:w="3429"/>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spacing w:after="0" w:before="0"/>
              <w:jc w:val="left"/>
            </w:pPr>
            <w:r>
              <w:rPr>
                <w:rFonts w:ascii="Arial" w:cs="Arial" w:eastAsia="Arial" w:hAnsi="Arial"/>
                <w:b w:val="false"/>
                <w:bCs w:val="false"/>
                <w:color w:val="333333"/>
                <w:sz w:val="20"/>
                <w:szCs w:val="20"/>
              </w:rPr>
              <w:t xml:space="preserve">Cluster bedrooms</w:t>
            </w:r>
          </w:p>
        </w:tc>
        <w:tc>
          <w:tcPr>
            <w:tcW w:type="dxa" w:w="1173"/>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spacing w:after="0" w:before="0"/>
              <w:jc w:val="right"/>
            </w:pPr>
            <w:r>
              <w:rPr>
                <w:rFonts w:ascii="Arial" w:cs="Arial" w:eastAsia="Arial" w:hAnsi="Arial"/>
                <w:b w:val="false"/>
                <w:bCs w:val="false"/>
                <w:color w:val="333333"/>
                <w:sz w:val="20"/>
                <w:szCs w:val="20"/>
              </w:rPr>
              <w:t xml:space="preserve">163</w:t>
            </w:r>
          </w:p>
        </w:tc>
        <w:tc>
          <w:tcPr>
            <w:tcW w:type="dxa" w:w="1444"/>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spacing w:after="0" w:before="0"/>
              <w:jc w:val="right"/>
            </w:pPr>
            <w:r>
              <w:rPr>
                <w:rFonts w:ascii="Arial" w:cs="Arial" w:eastAsia="Arial" w:hAnsi="Arial"/>
                <w:b w:val="false"/>
                <w:bCs w:val="false"/>
                <w:color w:val="333333"/>
                <w:sz w:val="20"/>
                <w:szCs w:val="20"/>
              </w:rPr>
              <w:t xml:space="preserve">£1,274.90</w:t>
            </w:r>
          </w:p>
        </w:tc>
        <w:tc>
          <w:tcPr>
            <w:tcW w:type="dxa" w:w="1624"/>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spacing w:after="0" w:before="0"/>
              <w:jc w:val="right"/>
            </w:pPr>
            <w:r>
              <w:rPr>
                <w:rFonts w:ascii="Arial" w:cs="Arial" w:eastAsia="Arial" w:hAnsi="Arial"/>
                <w:b w:val="false"/>
                <w:bCs w:val="false"/>
                <w:color w:val="333333"/>
                <w:sz w:val="20"/>
                <w:szCs w:val="20"/>
              </w:rPr>
              <w:t xml:space="preserve">£207,808.70</w:t>
            </w:r>
          </w:p>
        </w:tc>
        <w:tc>
          <w:tcPr>
            <w:tcW w:type="dxa" w:w="1356"/>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spacing w:after="0" w:before="0"/>
              <w:jc w:val="left"/>
            </w:pPr>
            <w:r>
              <w:rPr>
                <w:rFonts w:ascii="Arial" w:cs="Arial" w:eastAsia="Arial" w:hAnsi="Arial"/>
                <w:b w:val="false"/>
                <w:bCs w:val="false"/>
                <w:color w:val="333333"/>
                <w:sz w:val="20"/>
                <w:szCs w:val="20"/>
              </w:rPr>
              <w:t xml:space="preserve"/>
            </w:r>
          </w:p>
        </w:tc>
      </w:tr>
      <w:tr>
        <w:tc>
          <w:tcPr>
            <w:tcW w:type="dxa" w:w="3429"/>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spacing w:after="0" w:before="0"/>
              <w:jc w:val="left"/>
            </w:pPr>
            <w:r>
              <w:rPr>
                <w:rFonts w:ascii="Arial" w:cs="Arial" w:eastAsia="Arial" w:hAnsi="Arial"/>
                <w:b w:val="false"/>
                <w:bCs w:val="false"/>
                <w:color w:val="333333"/>
                <w:sz w:val="20"/>
                <w:szCs w:val="20"/>
              </w:rPr>
              <w:t xml:space="preserve">Standard Studios</w:t>
            </w:r>
          </w:p>
        </w:tc>
        <w:tc>
          <w:tcPr>
            <w:tcW w:type="dxa" w:w="1173"/>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spacing w:after="0" w:before="0"/>
              <w:jc w:val="right"/>
            </w:pPr>
            <w:r>
              <w:rPr>
                <w:rFonts w:ascii="Arial" w:cs="Arial" w:eastAsia="Arial" w:hAnsi="Arial"/>
                <w:b w:val="false"/>
                <w:bCs w:val="false"/>
                <w:color w:val="333333"/>
                <w:sz w:val="20"/>
                <w:szCs w:val="20"/>
              </w:rPr>
              <w:t xml:space="preserve">134</w:t>
            </w:r>
          </w:p>
        </w:tc>
        <w:tc>
          <w:tcPr>
            <w:tcW w:type="dxa" w:w="1444"/>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spacing w:after="0" w:before="0"/>
              <w:jc w:val="right"/>
            </w:pPr>
            <w:r>
              <w:rPr>
                <w:rFonts w:ascii="Arial" w:cs="Arial" w:eastAsia="Arial" w:hAnsi="Arial"/>
                <w:b w:val="false"/>
                <w:bCs w:val="false"/>
                <w:color w:val="333333"/>
                <w:sz w:val="20"/>
                <w:szCs w:val="20"/>
              </w:rPr>
              <w:t xml:space="preserve">£4,290.50</w:t>
            </w:r>
          </w:p>
        </w:tc>
        <w:tc>
          <w:tcPr>
            <w:tcW w:type="dxa" w:w="1624"/>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spacing w:after="0" w:before="0"/>
              <w:jc w:val="right"/>
            </w:pPr>
            <w:r>
              <w:rPr>
                <w:rFonts w:ascii="Arial" w:cs="Arial" w:eastAsia="Arial" w:hAnsi="Arial"/>
                <w:b w:val="false"/>
                <w:bCs w:val="false"/>
                <w:color w:val="333333"/>
                <w:sz w:val="20"/>
                <w:szCs w:val="20"/>
              </w:rPr>
              <w:t xml:space="preserve">£574,927.00</w:t>
            </w:r>
          </w:p>
        </w:tc>
        <w:tc>
          <w:tcPr>
            <w:tcW w:type="dxa" w:w="1356"/>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spacing w:after="0" w:before="0"/>
              <w:jc w:val="left"/>
            </w:pPr>
            <w:r>
              <w:rPr>
                <w:rFonts w:ascii="Arial" w:cs="Arial" w:eastAsia="Arial" w:hAnsi="Arial"/>
                <w:b w:val="false"/>
                <w:bCs w:val="false"/>
                <w:color w:val="333333"/>
                <w:sz w:val="20"/>
                <w:szCs w:val="20"/>
              </w:rPr>
              <w:t xml:space="preserve"/>
            </w:r>
          </w:p>
        </w:tc>
      </w:tr>
      <w:tr>
        <w:tc>
          <w:tcPr>
            <w:tcW w:type="dxa" w:w="3429"/>
            <w:tcBorders>
              <w:top w:val="single" w:color="DDDDDD" w:sz="1"/>
              <w:left w:val="single" w:color="DDDDDD" w:sz="1"/>
              <w:bottom w:val="single" w:color="DDDDDD" w:sz="1"/>
              <w:right w:val="single" w:color="DDDDDD" w:sz="1"/>
            </w:tcBorders>
            <w:shd w:fill="FFF9E0" w:val="clear"/>
            <w:tcMar>
              <w:top w:type="dxa" w:w="80"/>
              <w:left w:type="dxa" w:w="160"/>
              <w:bottom w:type="dxa" w:w="80"/>
              <w:right w:type="dxa" w:w="160"/>
            </w:tcMar>
          </w:tcPr>
          <w:p>
            <w:pPr>
              <w:spacing w:after="0" w:before="0"/>
              <w:jc w:val="left"/>
            </w:pPr>
            <w:r>
              <w:rPr>
                <w:rFonts w:ascii="Arial" w:cs="Arial" w:eastAsia="Arial" w:hAnsi="Arial"/>
                <w:b w:val="false"/>
                <w:bCs w:val="false"/>
                <w:color w:val="333333"/>
                <w:sz w:val="20"/>
                <w:szCs w:val="20"/>
              </w:rPr>
              <w:t xml:space="preserve">Bedrooms &amp; Studios sub-total</w:t>
            </w:r>
          </w:p>
        </w:tc>
        <w:tc>
          <w:tcPr>
            <w:tcW w:type="dxa" w:w="1173"/>
            <w:tcBorders>
              <w:top w:val="single" w:color="DDDDDD" w:sz="1"/>
              <w:left w:val="single" w:color="DDDDDD" w:sz="1"/>
              <w:bottom w:val="single" w:color="DDDDDD" w:sz="1"/>
              <w:right w:val="single" w:color="DDDDDD" w:sz="1"/>
            </w:tcBorders>
            <w:shd w:fill="FFF9E0" w:val="clear"/>
            <w:tcMar>
              <w:top w:type="dxa" w:w="80"/>
              <w:left w:type="dxa" w:w="160"/>
              <w:bottom w:type="dxa" w:w="80"/>
              <w:right w:type="dxa" w:w="160"/>
            </w:tcMar>
          </w:tcPr>
          <w:p>
            <w:pPr>
              <w:spacing w:after="0" w:before="0"/>
              <w:jc w:val="right"/>
            </w:pPr>
            <w:r>
              <w:rPr>
                <w:rFonts w:ascii="Arial" w:cs="Arial" w:eastAsia="Arial" w:hAnsi="Arial"/>
                <w:b w:val="false"/>
                <w:bCs w:val="false"/>
                <w:color w:val="333333"/>
                <w:sz w:val="20"/>
                <w:szCs w:val="20"/>
              </w:rPr>
              <w:t xml:space="preserve"/>
            </w:r>
          </w:p>
        </w:tc>
        <w:tc>
          <w:tcPr>
            <w:tcW w:type="dxa" w:w="1444"/>
            <w:tcBorders>
              <w:top w:val="single" w:color="DDDDDD" w:sz="1"/>
              <w:left w:val="single" w:color="DDDDDD" w:sz="1"/>
              <w:bottom w:val="single" w:color="DDDDDD" w:sz="1"/>
              <w:right w:val="single" w:color="DDDDDD" w:sz="1"/>
            </w:tcBorders>
            <w:shd w:fill="FFF9E0" w:val="clear"/>
            <w:tcMar>
              <w:top w:type="dxa" w:w="80"/>
              <w:left w:type="dxa" w:w="160"/>
              <w:bottom w:type="dxa" w:w="80"/>
              <w:right w:type="dxa" w:w="160"/>
            </w:tcMar>
          </w:tcPr>
          <w:p>
            <w:pPr>
              <w:spacing w:after="0" w:before="0"/>
              <w:jc w:val="right"/>
            </w:pPr>
            <w:r>
              <w:rPr>
                <w:rFonts w:ascii="Arial" w:cs="Arial" w:eastAsia="Arial" w:hAnsi="Arial"/>
                <w:b w:val="false"/>
                <w:bCs w:val="false"/>
                <w:color w:val="333333"/>
                <w:sz w:val="20"/>
                <w:szCs w:val="20"/>
              </w:rPr>
              <w:t xml:space="preserve"/>
            </w:r>
          </w:p>
        </w:tc>
        <w:tc>
          <w:tcPr>
            <w:tcW w:type="dxa" w:w="1624"/>
            <w:tcBorders>
              <w:top w:val="single" w:color="DDDDDD" w:sz="1"/>
              <w:left w:val="single" w:color="DDDDDD" w:sz="1"/>
              <w:bottom w:val="single" w:color="DDDDDD" w:sz="1"/>
              <w:right w:val="single" w:color="DDDDDD" w:sz="1"/>
            </w:tcBorders>
            <w:shd w:fill="FFF9E0" w:val="clear"/>
            <w:tcMar>
              <w:top w:type="dxa" w:w="80"/>
              <w:left w:type="dxa" w:w="160"/>
              <w:bottom w:type="dxa" w:w="80"/>
              <w:right w:type="dxa" w:w="160"/>
            </w:tcMar>
          </w:tcPr>
          <w:p>
            <w:pPr>
              <w:spacing w:after="0" w:before="0"/>
              <w:jc w:val="right"/>
            </w:pPr>
            <w:r>
              <w:rPr>
                <w:rFonts w:ascii="Arial" w:cs="Arial" w:eastAsia="Arial" w:hAnsi="Arial"/>
                <w:b w:val="false"/>
                <w:bCs w:val="false"/>
                <w:color w:val="333333"/>
                <w:sz w:val="20"/>
                <w:szCs w:val="20"/>
              </w:rPr>
              <w:t xml:space="preserve">£782,735.70</w:t>
            </w:r>
          </w:p>
        </w:tc>
        <w:tc>
          <w:tcPr>
            <w:tcW w:type="dxa" w:w="1356"/>
            <w:tcBorders>
              <w:top w:val="single" w:color="DDDDDD" w:sz="1"/>
              <w:left w:val="single" w:color="DDDDDD" w:sz="1"/>
              <w:bottom w:val="single" w:color="DDDDDD" w:sz="1"/>
              <w:right w:val="single" w:color="DDDDDD" w:sz="1"/>
            </w:tcBorders>
            <w:shd w:fill="FFF9E0" w:val="clear"/>
            <w:tcMar>
              <w:top w:type="dxa" w:w="80"/>
              <w:left w:type="dxa" w:w="160"/>
              <w:bottom w:type="dxa" w:w="80"/>
              <w:right w:type="dxa" w:w="160"/>
            </w:tcMar>
          </w:tcPr>
          <w:p>
            <w:pPr>
              <w:spacing w:after="0" w:before="0"/>
              <w:jc w:val="left"/>
            </w:pPr>
            <w:r>
              <w:rPr>
                <w:rFonts w:ascii="Arial" w:cs="Arial" w:eastAsia="Arial" w:hAnsi="Arial"/>
                <w:b w:val="false"/>
                <w:bCs w:val="false"/>
                <w:color w:val="333333"/>
                <w:sz w:val="20"/>
                <w:szCs w:val="20"/>
              </w:rPr>
              <w:t xml:space="preserve"/>
            </w:r>
          </w:p>
        </w:tc>
      </w:tr>
      <w:tr>
        <w:tc>
          <w:tcPr>
            <w:tcW w:type="dxa" w:w="3429"/>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spacing w:after="0" w:before="0"/>
              <w:jc w:val="left"/>
            </w:pPr>
            <w:r>
              <w:rPr>
                <w:rFonts w:ascii="Arial" w:cs="Arial" w:eastAsia="Arial" w:hAnsi="Arial"/>
                <w:b w:val="false"/>
                <w:bCs w:val="false"/>
                <w:color w:val="333333"/>
                <w:sz w:val="20"/>
                <w:szCs w:val="20"/>
              </w:rPr>
              <w:t xml:space="preserve">KLD - 5 person</w:t>
            </w:r>
          </w:p>
        </w:tc>
        <w:tc>
          <w:tcPr>
            <w:tcW w:type="dxa" w:w="1173"/>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spacing w:after="0" w:before="0"/>
              <w:jc w:val="right"/>
            </w:pPr>
            <w:r>
              <w:rPr>
                <w:rFonts w:ascii="Arial" w:cs="Arial" w:eastAsia="Arial" w:hAnsi="Arial"/>
                <w:b w:val="false"/>
                <w:bCs w:val="false"/>
                <w:color w:val="333333"/>
                <w:sz w:val="20"/>
                <w:szCs w:val="20"/>
              </w:rPr>
              <w:t xml:space="preserve">10</w:t>
            </w:r>
          </w:p>
        </w:tc>
        <w:tc>
          <w:tcPr>
            <w:tcW w:type="dxa" w:w="1444"/>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spacing w:after="0" w:before="0"/>
              <w:jc w:val="right"/>
            </w:pPr>
            <w:r>
              <w:rPr>
                <w:rFonts w:ascii="Arial" w:cs="Arial" w:eastAsia="Arial" w:hAnsi="Arial"/>
                <w:b w:val="false"/>
                <w:bCs w:val="false"/>
                <w:color w:val="333333"/>
                <w:sz w:val="20"/>
                <w:szCs w:val="20"/>
              </w:rPr>
              <w:t xml:space="preserve">£6,392.33</w:t>
            </w:r>
          </w:p>
        </w:tc>
        <w:tc>
          <w:tcPr>
            <w:tcW w:type="dxa" w:w="1624"/>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spacing w:after="0" w:before="0"/>
              <w:jc w:val="right"/>
            </w:pPr>
            <w:r>
              <w:rPr>
                <w:rFonts w:ascii="Arial" w:cs="Arial" w:eastAsia="Arial" w:hAnsi="Arial"/>
                <w:b w:val="false"/>
                <w:bCs w:val="false"/>
                <w:color w:val="333333"/>
                <w:sz w:val="20"/>
                <w:szCs w:val="20"/>
              </w:rPr>
              <w:t xml:space="preserve">£63,923.30</w:t>
            </w:r>
          </w:p>
        </w:tc>
        <w:tc>
          <w:tcPr>
            <w:tcW w:type="dxa" w:w="1356"/>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spacing w:after="0" w:before="0"/>
              <w:jc w:val="left"/>
            </w:pPr>
            <w:r>
              <w:rPr>
                <w:rFonts w:ascii="Arial" w:cs="Arial" w:eastAsia="Arial" w:hAnsi="Arial"/>
                <w:b w:val="false"/>
                <w:bCs w:val="false"/>
                <w:color w:val="333333"/>
                <w:sz w:val="20"/>
                <w:szCs w:val="20"/>
              </w:rPr>
              <w:t xml:space="preserve"/>
            </w:r>
          </w:p>
        </w:tc>
      </w:tr>
      <w:tr>
        <w:tc>
          <w:tcPr>
            <w:tcW w:type="dxa" w:w="3429"/>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spacing w:after="0" w:before="0"/>
              <w:jc w:val="left"/>
            </w:pPr>
            <w:r>
              <w:rPr>
                <w:rFonts w:ascii="Arial" w:cs="Arial" w:eastAsia="Arial" w:hAnsi="Arial"/>
                <w:b w:val="false"/>
                <w:bCs w:val="false"/>
                <w:color w:val="333333"/>
                <w:sz w:val="20"/>
                <w:szCs w:val="20"/>
              </w:rPr>
              <w:t xml:space="preserve">KLD - 6 person</w:t>
            </w:r>
          </w:p>
        </w:tc>
        <w:tc>
          <w:tcPr>
            <w:tcW w:type="dxa" w:w="1173"/>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spacing w:after="0" w:before="0"/>
              <w:jc w:val="right"/>
            </w:pPr>
            <w:r>
              <w:rPr>
                <w:rFonts w:ascii="Arial" w:cs="Arial" w:eastAsia="Arial" w:hAnsi="Arial"/>
                <w:b w:val="false"/>
                <w:bCs w:val="false"/>
                <w:color w:val="333333"/>
                <w:sz w:val="20"/>
                <w:szCs w:val="20"/>
              </w:rPr>
              <w:t xml:space="preserve">15</w:t>
            </w:r>
          </w:p>
        </w:tc>
        <w:tc>
          <w:tcPr>
            <w:tcW w:type="dxa" w:w="1444"/>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spacing w:after="0" w:before="0"/>
              <w:jc w:val="right"/>
            </w:pPr>
            <w:r>
              <w:rPr>
                <w:rFonts w:ascii="Arial" w:cs="Arial" w:eastAsia="Arial" w:hAnsi="Arial"/>
                <w:b w:val="false"/>
                <w:bCs w:val="false"/>
                <w:color w:val="333333"/>
                <w:sz w:val="20"/>
                <w:szCs w:val="20"/>
              </w:rPr>
              <w:t xml:space="preserve">£8,744.18</w:t>
            </w:r>
          </w:p>
        </w:tc>
        <w:tc>
          <w:tcPr>
            <w:tcW w:type="dxa" w:w="1624"/>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spacing w:after="0" w:before="0"/>
              <w:jc w:val="right"/>
            </w:pPr>
            <w:r>
              <w:rPr>
                <w:rFonts w:ascii="Arial" w:cs="Arial" w:eastAsia="Arial" w:hAnsi="Arial"/>
                <w:b w:val="false"/>
                <w:bCs w:val="false"/>
                <w:color w:val="333333"/>
                <w:sz w:val="20"/>
                <w:szCs w:val="20"/>
              </w:rPr>
              <w:t xml:space="preserve">£131,162.70</w:t>
            </w:r>
          </w:p>
        </w:tc>
        <w:tc>
          <w:tcPr>
            <w:tcW w:type="dxa" w:w="1356"/>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spacing w:after="0" w:before="0"/>
              <w:jc w:val="left"/>
            </w:pPr>
            <w:r>
              <w:rPr>
                <w:rFonts w:ascii="Arial" w:cs="Arial" w:eastAsia="Arial" w:hAnsi="Arial"/>
                <w:b w:val="false"/>
                <w:bCs w:val="false"/>
                <w:color w:val="333333"/>
                <w:sz w:val="20"/>
                <w:szCs w:val="20"/>
              </w:rPr>
              <w:t xml:space="preserve"/>
            </w:r>
          </w:p>
        </w:tc>
      </w:tr>
      <w:tr>
        <w:tc>
          <w:tcPr>
            <w:tcW w:type="dxa" w:w="3429"/>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spacing w:after="0" w:before="0"/>
              <w:jc w:val="left"/>
            </w:pPr>
            <w:r>
              <w:rPr>
                <w:rFonts w:ascii="Arial" w:cs="Arial" w:eastAsia="Arial" w:hAnsi="Arial"/>
                <w:b w:val="false"/>
                <w:bCs w:val="false"/>
                <w:color w:val="333333"/>
                <w:sz w:val="20"/>
                <w:szCs w:val="20"/>
              </w:rPr>
              <w:t xml:space="preserve">KLD - 7 person</w:t>
            </w:r>
          </w:p>
        </w:tc>
        <w:tc>
          <w:tcPr>
            <w:tcW w:type="dxa" w:w="1173"/>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spacing w:after="0" w:before="0"/>
              <w:jc w:val="right"/>
            </w:pPr>
            <w:r>
              <w:rPr>
                <w:rFonts w:ascii="Arial" w:cs="Arial" w:eastAsia="Arial" w:hAnsi="Arial"/>
                <w:b w:val="false"/>
                <w:bCs w:val="false"/>
                <w:color w:val="333333"/>
                <w:sz w:val="20"/>
                <w:szCs w:val="20"/>
              </w:rPr>
              <w:t xml:space="preserve">4</w:t>
            </w:r>
          </w:p>
        </w:tc>
        <w:tc>
          <w:tcPr>
            <w:tcW w:type="dxa" w:w="1444"/>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spacing w:after="0" w:before="0"/>
              <w:jc w:val="right"/>
            </w:pPr>
            <w:r>
              <w:rPr>
                <w:rFonts w:ascii="Arial" w:cs="Arial" w:eastAsia="Arial" w:hAnsi="Arial"/>
                <w:b w:val="false"/>
                <w:bCs w:val="false"/>
                <w:color w:val="333333"/>
                <w:sz w:val="20"/>
                <w:szCs w:val="20"/>
              </w:rPr>
              <w:t xml:space="preserve">£9,116.01</w:t>
            </w:r>
          </w:p>
        </w:tc>
        <w:tc>
          <w:tcPr>
            <w:tcW w:type="dxa" w:w="1624"/>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spacing w:after="0" w:before="0"/>
              <w:jc w:val="right"/>
            </w:pPr>
            <w:r>
              <w:rPr>
                <w:rFonts w:ascii="Arial" w:cs="Arial" w:eastAsia="Arial" w:hAnsi="Arial"/>
                <w:b w:val="false"/>
                <w:bCs w:val="false"/>
                <w:color w:val="333333"/>
                <w:sz w:val="20"/>
                <w:szCs w:val="20"/>
              </w:rPr>
              <w:t xml:space="preserve">£36,464.04</w:t>
            </w:r>
          </w:p>
        </w:tc>
        <w:tc>
          <w:tcPr>
            <w:tcW w:type="dxa" w:w="1356"/>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spacing w:after="0" w:before="0"/>
              <w:jc w:val="left"/>
            </w:pPr>
            <w:r>
              <w:rPr>
                <w:rFonts w:ascii="Arial" w:cs="Arial" w:eastAsia="Arial" w:hAnsi="Arial"/>
                <w:b w:val="false"/>
                <w:bCs w:val="false"/>
                <w:color w:val="333333"/>
                <w:sz w:val="20"/>
                <w:szCs w:val="20"/>
              </w:rPr>
              <w:t xml:space="preserve"/>
            </w:r>
          </w:p>
        </w:tc>
      </w:tr>
      <w:tr>
        <w:tc>
          <w:tcPr>
            <w:tcW w:type="dxa" w:w="3429"/>
            <w:tcBorders>
              <w:top w:val="single" w:color="DDDDDD" w:sz="1"/>
              <w:left w:val="single" w:color="DDDDDD" w:sz="1"/>
              <w:bottom w:val="single" w:color="DDDDDD" w:sz="1"/>
              <w:right w:val="single" w:color="DDDDDD" w:sz="1"/>
            </w:tcBorders>
            <w:shd w:fill="FFF9E0" w:val="clear"/>
            <w:tcMar>
              <w:top w:type="dxa" w:w="80"/>
              <w:left w:type="dxa" w:w="160"/>
              <w:bottom w:type="dxa" w:w="80"/>
              <w:right w:type="dxa" w:w="160"/>
            </w:tcMar>
          </w:tcPr>
          <w:p>
            <w:pPr>
              <w:spacing w:after="0" w:before="0"/>
              <w:jc w:val="left"/>
            </w:pPr>
            <w:r>
              <w:rPr>
                <w:rFonts w:ascii="Arial" w:cs="Arial" w:eastAsia="Arial" w:hAnsi="Arial"/>
                <w:b w:val="false"/>
                <w:bCs w:val="false"/>
                <w:color w:val="333333"/>
                <w:sz w:val="20"/>
                <w:szCs w:val="20"/>
              </w:rPr>
              <w:t xml:space="preserve">KLDs sub-total</w:t>
            </w:r>
          </w:p>
        </w:tc>
        <w:tc>
          <w:tcPr>
            <w:tcW w:type="dxa" w:w="1173"/>
            <w:tcBorders>
              <w:top w:val="single" w:color="DDDDDD" w:sz="1"/>
              <w:left w:val="single" w:color="DDDDDD" w:sz="1"/>
              <w:bottom w:val="single" w:color="DDDDDD" w:sz="1"/>
              <w:right w:val="single" w:color="DDDDDD" w:sz="1"/>
            </w:tcBorders>
            <w:shd w:fill="FFF9E0" w:val="clear"/>
            <w:tcMar>
              <w:top w:type="dxa" w:w="80"/>
              <w:left w:type="dxa" w:w="160"/>
              <w:bottom w:type="dxa" w:w="80"/>
              <w:right w:type="dxa" w:w="160"/>
            </w:tcMar>
          </w:tcPr>
          <w:p>
            <w:pPr>
              <w:spacing w:after="0" w:before="0"/>
              <w:jc w:val="right"/>
            </w:pPr>
            <w:r>
              <w:rPr>
                <w:rFonts w:ascii="Arial" w:cs="Arial" w:eastAsia="Arial" w:hAnsi="Arial"/>
                <w:b w:val="false"/>
                <w:bCs w:val="false"/>
                <w:color w:val="333333"/>
                <w:sz w:val="20"/>
                <w:szCs w:val="20"/>
              </w:rPr>
              <w:t xml:space="preserve"/>
            </w:r>
          </w:p>
        </w:tc>
        <w:tc>
          <w:tcPr>
            <w:tcW w:type="dxa" w:w="1444"/>
            <w:tcBorders>
              <w:top w:val="single" w:color="DDDDDD" w:sz="1"/>
              <w:left w:val="single" w:color="DDDDDD" w:sz="1"/>
              <w:bottom w:val="single" w:color="DDDDDD" w:sz="1"/>
              <w:right w:val="single" w:color="DDDDDD" w:sz="1"/>
            </w:tcBorders>
            <w:shd w:fill="FFF9E0" w:val="clear"/>
            <w:tcMar>
              <w:top w:type="dxa" w:w="80"/>
              <w:left w:type="dxa" w:w="160"/>
              <w:bottom w:type="dxa" w:w="80"/>
              <w:right w:type="dxa" w:w="160"/>
            </w:tcMar>
          </w:tcPr>
          <w:p>
            <w:pPr>
              <w:spacing w:after="0" w:before="0"/>
              <w:jc w:val="right"/>
            </w:pPr>
            <w:r>
              <w:rPr>
                <w:rFonts w:ascii="Arial" w:cs="Arial" w:eastAsia="Arial" w:hAnsi="Arial"/>
                <w:b w:val="false"/>
                <w:bCs w:val="false"/>
                <w:color w:val="333333"/>
                <w:sz w:val="20"/>
                <w:szCs w:val="20"/>
              </w:rPr>
              <w:t xml:space="preserve"/>
            </w:r>
          </w:p>
        </w:tc>
        <w:tc>
          <w:tcPr>
            <w:tcW w:type="dxa" w:w="1624"/>
            <w:tcBorders>
              <w:top w:val="single" w:color="DDDDDD" w:sz="1"/>
              <w:left w:val="single" w:color="DDDDDD" w:sz="1"/>
              <w:bottom w:val="single" w:color="DDDDDD" w:sz="1"/>
              <w:right w:val="single" w:color="DDDDDD" w:sz="1"/>
            </w:tcBorders>
            <w:shd w:fill="FFF9E0" w:val="clear"/>
            <w:tcMar>
              <w:top w:type="dxa" w:w="80"/>
              <w:left w:type="dxa" w:w="160"/>
              <w:bottom w:type="dxa" w:w="80"/>
              <w:right w:type="dxa" w:w="160"/>
            </w:tcMar>
          </w:tcPr>
          <w:p>
            <w:pPr>
              <w:spacing w:after="0" w:before="0"/>
              <w:jc w:val="right"/>
            </w:pPr>
            <w:r>
              <w:rPr>
                <w:rFonts w:ascii="Arial" w:cs="Arial" w:eastAsia="Arial" w:hAnsi="Arial"/>
                <w:b w:val="false"/>
                <w:bCs w:val="false"/>
                <w:color w:val="333333"/>
                <w:sz w:val="20"/>
                <w:szCs w:val="20"/>
              </w:rPr>
              <w:t xml:space="preserve">£231,550.04</w:t>
            </w:r>
          </w:p>
        </w:tc>
        <w:tc>
          <w:tcPr>
            <w:tcW w:type="dxa" w:w="1356"/>
            <w:tcBorders>
              <w:top w:val="single" w:color="DDDDDD" w:sz="1"/>
              <w:left w:val="single" w:color="DDDDDD" w:sz="1"/>
              <w:bottom w:val="single" w:color="DDDDDD" w:sz="1"/>
              <w:right w:val="single" w:color="DDDDDD" w:sz="1"/>
            </w:tcBorders>
            <w:shd w:fill="FFF9E0" w:val="clear"/>
            <w:tcMar>
              <w:top w:type="dxa" w:w="80"/>
              <w:left w:type="dxa" w:w="160"/>
              <w:bottom w:type="dxa" w:w="80"/>
              <w:right w:type="dxa" w:w="160"/>
            </w:tcMar>
          </w:tcPr>
          <w:p>
            <w:pPr>
              <w:spacing w:after="0" w:before="0"/>
              <w:jc w:val="left"/>
            </w:pPr>
            <w:r>
              <w:rPr>
                <w:rFonts w:ascii="Arial" w:cs="Arial" w:eastAsia="Arial" w:hAnsi="Arial"/>
                <w:b w:val="false"/>
                <w:bCs w:val="false"/>
                <w:color w:val="333333"/>
                <w:sz w:val="20"/>
                <w:szCs w:val="20"/>
              </w:rPr>
              <w:t xml:space="preserve"/>
            </w:r>
          </w:p>
        </w:tc>
      </w:tr>
      <w:tr>
        <w:tc>
          <w:tcPr>
            <w:tcW w:type="dxa" w:w="3429"/>
            <w:tcBorders>
              <w:top w:val="single" w:color="DDDDDD" w:sz="1"/>
              <w:left w:val="single" w:color="DDDDDD" w:sz="1"/>
              <w:bottom w:val="single" w:color="DDDDDD" w:sz="1"/>
              <w:right w:val="single" w:color="DDDDDD" w:sz="1"/>
            </w:tcBorders>
            <w:shd w:fill="FFF9E0" w:val="clear"/>
            <w:tcMar>
              <w:top w:type="dxa" w:w="80"/>
              <w:left w:type="dxa" w:w="160"/>
              <w:bottom w:type="dxa" w:w="80"/>
              <w:right w:type="dxa" w:w="160"/>
            </w:tcMar>
          </w:tcPr>
          <w:p>
            <w:pPr>
              <w:spacing w:after="0" w:before="0"/>
              <w:jc w:val="left"/>
            </w:pPr>
            <w:r>
              <w:rPr>
                <w:rFonts w:ascii="Arial" w:cs="Arial" w:eastAsia="Arial" w:hAnsi="Arial"/>
                <w:b w:val="false"/>
                <w:bCs w:val="false"/>
                <w:color w:val="333333"/>
                <w:sz w:val="20"/>
                <w:szCs w:val="20"/>
              </w:rPr>
              <w:t xml:space="preserve">Project Management / Prelims fee</w:t>
            </w:r>
          </w:p>
        </w:tc>
        <w:tc>
          <w:tcPr>
            <w:tcW w:type="dxa" w:w="1173"/>
            <w:tcBorders>
              <w:top w:val="single" w:color="DDDDDD" w:sz="1"/>
              <w:left w:val="single" w:color="DDDDDD" w:sz="1"/>
              <w:bottom w:val="single" w:color="DDDDDD" w:sz="1"/>
              <w:right w:val="single" w:color="DDDDDD" w:sz="1"/>
            </w:tcBorders>
            <w:shd w:fill="FFF9E0" w:val="clear"/>
            <w:tcMar>
              <w:top w:type="dxa" w:w="80"/>
              <w:left w:type="dxa" w:w="160"/>
              <w:bottom w:type="dxa" w:w="80"/>
              <w:right w:type="dxa" w:w="160"/>
            </w:tcMar>
          </w:tcPr>
          <w:p>
            <w:pPr>
              <w:spacing w:after="0" w:before="0"/>
              <w:jc w:val="right"/>
            </w:pPr>
            <w:r>
              <w:rPr>
                <w:rFonts w:ascii="Arial" w:cs="Arial" w:eastAsia="Arial" w:hAnsi="Arial"/>
                <w:b w:val="false"/>
                <w:bCs w:val="false"/>
                <w:color w:val="333333"/>
                <w:sz w:val="20"/>
                <w:szCs w:val="20"/>
              </w:rPr>
              <w:t xml:space="preserve">326 units</w:t>
            </w:r>
          </w:p>
        </w:tc>
        <w:tc>
          <w:tcPr>
            <w:tcW w:type="dxa" w:w="1444"/>
            <w:tcBorders>
              <w:top w:val="single" w:color="DDDDDD" w:sz="1"/>
              <w:left w:val="single" w:color="DDDDDD" w:sz="1"/>
              <w:bottom w:val="single" w:color="DDDDDD" w:sz="1"/>
              <w:right w:val="single" w:color="DDDDDD" w:sz="1"/>
            </w:tcBorders>
            <w:shd w:fill="FFF9E0" w:val="clear"/>
            <w:tcMar>
              <w:top w:type="dxa" w:w="80"/>
              <w:left w:type="dxa" w:w="160"/>
              <w:bottom w:type="dxa" w:w="80"/>
              <w:right w:type="dxa" w:w="160"/>
            </w:tcMar>
          </w:tcPr>
          <w:p>
            <w:pPr>
              <w:spacing w:after="0" w:before="0"/>
              <w:jc w:val="right"/>
            </w:pPr>
            <w:r>
              <w:rPr>
                <w:rFonts w:ascii="Arial" w:cs="Arial" w:eastAsia="Arial" w:hAnsi="Arial"/>
                <w:b w:val="false"/>
                <w:bCs w:val="false"/>
                <w:color w:val="333333"/>
                <w:sz w:val="20"/>
                <w:szCs w:val="20"/>
              </w:rPr>
              <w:t xml:space="preserve">£68.43</w:t>
            </w:r>
          </w:p>
        </w:tc>
        <w:tc>
          <w:tcPr>
            <w:tcW w:type="dxa" w:w="1624"/>
            <w:tcBorders>
              <w:top w:val="single" w:color="DDDDDD" w:sz="1"/>
              <w:left w:val="single" w:color="DDDDDD" w:sz="1"/>
              <w:bottom w:val="single" w:color="DDDDDD" w:sz="1"/>
              <w:right w:val="single" w:color="DDDDDD" w:sz="1"/>
            </w:tcBorders>
            <w:shd w:fill="FFF9E0" w:val="clear"/>
            <w:tcMar>
              <w:top w:type="dxa" w:w="80"/>
              <w:left w:type="dxa" w:w="160"/>
              <w:bottom w:type="dxa" w:w="80"/>
              <w:right w:type="dxa" w:w="160"/>
            </w:tcMar>
          </w:tcPr>
          <w:p>
            <w:pPr>
              <w:spacing w:after="0" w:before="0"/>
              <w:jc w:val="right"/>
            </w:pPr>
            <w:r>
              <w:rPr>
                <w:rFonts w:ascii="Arial" w:cs="Arial" w:eastAsia="Arial" w:hAnsi="Arial"/>
                <w:b w:val="false"/>
                <w:bCs w:val="false"/>
                <w:color w:val="333333"/>
                <w:sz w:val="20"/>
                <w:szCs w:val="20"/>
              </w:rPr>
              <w:t xml:space="preserve">£22,308.18</w:t>
            </w:r>
          </w:p>
        </w:tc>
        <w:tc>
          <w:tcPr>
            <w:tcW w:type="dxa" w:w="1356"/>
            <w:tcBorders>
              <w:top w:val="single" w:color="DDDDDD" w:sz="1"/>
              <w:left w:val="single" w:color="DDDDDD" w:sz="1"/>
              <w:bottom w:val="single" w:color="DDDDDD" w:sz="1"/>
              <w:right w:val="single" w:color="DDDDDD" w:sz="1"/>
            </w:tcBorders>
            <w:shd w:fill="FFF9E0" w:val="clear"/>
            <w:tcMar>
              <w:top w:type="dxa" w:w="80"/>
              <w:left w:type="dxa" w:w="160"/>
              <w:bottom w:type="dxa" w:w="80"/>
              <w:right w:type="dxa" w:w="160"/>
            </w:tcMar>
          </w:tcPr>
          <w:p>
            <w:pPr>
              <w:spacing w:after="0" w:before="0"/>
              <w:jc w:val="left"/>
            </w:pPr>
            <w:r>
              <w:rPr>
                <w:rFonts w:ascii="Arial" w:cs="Arial" w:eastAsia="Arial" w:hAnsi="Arial"/>
                <w:b w:val="false"/>
                <w:bCs w:val="false"/>
                <w:color w:val="333333"/>
                <w:sz w:val="20"/>
                <w:szCs w:val="20"/>
              </w:rPr>
              <w:t xml:space="preserve"/>
            </w:r>
          </w:p>
        </w:tc>
      </w:tr>
      <w:tr>
        <w:tc>
          <w:tcPr>
            <w:tcW w:type="dxa" w:w="3429"/>
            <w:tcBorders>
              <w:top w:val="single" w:color="DDDDDD" w:sz="1"/>
              <w:left w:val="single" w:color="DDDDDD" w:sz="1"/>
              <w:bottom w:val="single" w:color="DDDDDD" w:sz="1"/>
              <w:right w:val="single" w:color="DDDDDD" w:sz="1"/>
            </w:tcBorders>
            <w:shd w:fill="FFF9E0" w:val="clear"/>
            <w:tcMar>
              <w:top w:type="dxa" w:w="80"/>
              <w:left w:type="dxa" w:w="160"/>
              <w:bottom w:type="dxa" w:w="80"/>
              <w:right w:type="dxa" w:w="160"/>
            </w:tcMar>
          </w:tcPr>
          <w:p>
            <w:pPr>
              <w:spacing w:after="0" w:before="0"/>
              <w:jc w:val="left"/>
            </w:pPr>
            <w:r>
              <w:rPr>
                <w:rFonts w:ascii="Arial" w:cs="Arial" w:eastAsia="Arial" w:hAnsi="Arial"/>
                <w:b w:val="false"/>
                <w:bCs w:val="false"/>
                <w:color w:val="333333"/>
                <w:sz w:val="20"/>
                <w:szCs w:val="20"/>
              </w:rPr>
              <w:t xml:space="preserve">SUB-TOTAL</w:t>
            </w:r>
          </w:p>
        </w:tc>
        <w:tc>
          <w:tcPr>
            <w:tcW w:type="dxa" w:w="1173"/>
            <w:tcBorders>
              <w:top w:val="single" w:color="DDDDDD" w:sz="1"/>
              <w:left w:val="single" w:color="DDDDDD" w:sz="1"/>
              <w:bottom w:val="single" w:color="DDDDDD" w:sz="1"/>
              <w:right w:val="single" w:color="DDDDDD" w:sz="1"/>
            </w:tcBorders>
            <w:shd w:fill="FFF9E0" w:val="clear"/>
            <w:tcMar>
              <w:top w:type="dxa" w:w="80"/>
              <w:left w:type="dxa" w:w="160"/>
              <w:bottom w:type="dxa" w:w="80"/>
              <w:right w:type="dxa" w:w="160"/>
            </w:tcMar>
          </w:tcPr>
          <w:p>
            <w:pPr>
              <w:spacing w:after="0" w:before="0"/>
              <w:jc w:val="right"/>
            </w:pPr>
            <w:r>
              <w:rPr>
                <w:rFonts w:ascii="Arial" w:cs="Arial" w:eastAsia="Arial" w:hAnsi="Arial"/>
                <w:b w:val="false"/>
                <w:bCs w:val="false"/>
                <w:color w:val="333333"/>
                <w:sz w:val="20"/>
                <w:szCs w:val="20"/>
              </w:rPr>
              <w:t xml:space="preserve"/>
            </w:r>
          </w:p>
        </w:tc>
        <w:tc>
          <w:tcPr>
            <w:tcW w:type="dxa" w:w="1444"/>
            <w:tcBorders>
              <w:top w:val="single" w:color="DDDDDD" w:sz="1"/>
              <w:left w:val="single" w:color="DDDDDD" w:sz="1"/>
              <w:bottom w:val="single" w:color="DDDDDD" w:sz="1"/>
              <w:right w:val="single" w:color="DDDDDD" w:sz="1"/>
            </w:tcBorders>
            <w:shd w:fill="FFF9E0" w:val="clear"/>
            <w:tcMar>
              <w:top w:type="dxa" w:w="80"/>
              <w:left w:type="dxa" w:w="160"/>
              <w:bottom w:type="dxa" w:w="80"/>
              <w:right w:type="dxa" w:w="160"/>
            </w:tcMar>
          </w:tcPr>
          <w:p>
            <w:pPr>
              <w:spacing w:after="0" w:before="0"/>
              <w:jc w:val="right"/>
            </w:pPr>
            <w:r>
              <w:rPr>
                <w:rFonts w:ascii="Arial" w:cs="Arial" w:eastAsia="Arial" w:hAnsi="Arial"/>
                <w:b w:val="false"/>
                <w:bCs w:val="false"/>
                <w:color w:val="333333"/>
                <w:sz w:val="20"/>
                <w:szCs w:val="20"/>
              </w:rPr>
              <w:t xml:space="preserve"/>
            </w:r>
          </w:p>
        </w:tc>
        <w:tc>
          <w:tcPr>
            <w:tcW w:type="dxa" w:w="1624"/>
            <w:tcBorders>
              <w:top w:val="single" w:color="DDDDDD" w:sz="1"/>
              <w:left w:val="single" w:color="DDDDDD" w:sz="1"/>
              <w:bottom w:val="single" w:color="DDDDDD" w:sz="1"/>
              <w:right w:val="single" w:color="DDDDDD" w:sz="1"/>
            </w:tcBorders>
            <w:shd w:fill="FFF9E0" w:val="clear"/>
            <w:tcMar>
              <w:top w:type="dxa" w:w="80"/>
              <w:left w:type="dxa" w:w="160"/>
              <w:bottom w:type="dxa" w:w="80"/>
              <w:right w:type="dxa" w:w="160"/>
            </w:tcMar>
          </w:tcPr>
          <w:p>
            <w:pPr>
              <w:spacing w:after="0" w:before="0"/>
              <w:jc w:val="right"/>
            </w:pPr>
            <w:r>
              <w:rPr>
                <w:rFonts w:ascii="Arial" w:cs="Arial" w:eastAsia="Arial" w:hAnsi="Arial"/>
                <w:b w:val="false"/>
                <w:bCs w:val="false"/>
                <w:color w:val="333333"/>
                <w:sz w:val="20"/>
                <w:szCs w:val="20"/>
              </w:rPr>
              <w:t xml:space="preserve">£1,036,593.92</w:t>
            </w:r>
          </w:p>
        </w:tc>
        <w:tc>
          <w:tcPr>
            <w:tcW w:type="dxa" w:w="1356"/>
            <w:tcBorders>
              <w:top w:val="single" w:color="DDDDDD" w:sz="1"/>
              <w:left w:val="single" w:color="DDDDDD" w:sz="1"/>
              <w:bottom w:val="single" w:color="DDDDDD" w:sz="1"/>
              <w:right w:val="single" w:color="DDDDDD" w:sz="1"/>
            </w:tcBorders>
            <w:shd w:fill="FFF9E0" w:val="clear"/>
            <w:tcMar>
              <w:top w:type="dxa" w:w="80"/>
              <w:left w:type="dxa" w:w="160"/>
              <w:bottom w:type="dxa" w:w="80"/>
              <w:right w:type="dxa" w:w="160"/>
            </w:tcMar>
          </w:tcPr>
          <w:p>
            <w:pPr>
              <w:spacing w:after="0" w:before="0"/>
              <w:jc w:val="left"/>
            </w:pPr>
            <w:r>
              <w:rPr>
                <w:rFonts w:ascii="Arial" w:cs="Arial" w:eastAsia="Arial" w:hAnsi="Arial"/>
                <w:b w:val="false"/>
                <w:bCs w:val="false"/>
                <w:color w:val="333333"/>
                <w:sz w:val="20"/>
                <w:szCs w:val="20"/>
              </w:rPr>
              <w:t xml:space="preserve"/>
            </w:r>
          </w:p>
        </w:tc>
      </w:tr>
      <w:tr>
        <w:tc>
          <w:tcPr>
            <w:tcW w:type="dxa" w:w="3429"/>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spacing w:after="0" w:before="0"/>
              <w:jc w:val="left"/>
            </w:pPr>
            <w:r>
              <w:rPr>
                <w:rFonts w:ascii="Arial" w:cs="Arial" w:eastAsia="Arial" w:hAnsi="Arial"/>
                <w:b w:val="false"/>
                <w:bCs w:val="false"/>
                <w:color w:val="333333"/>
                <w:sz w:val="20"/>
                <w:szCs w:val="20"/>
              </w:rPr>
              <w:t xml:space="preserve">2.5% MCD Discount</w:t>
            </w:r>
          </w:p>
        </w:tc>
        <w:tc>
          <w:tcPr>
            <w:tcW w:type="dxa" w:w="1173"/>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spacing w:after="0" w:before="0"/>
              <w:jc w:val="right"/>
            </w:pPr>
            <w:r>
              <w:rPr>
                <w:rFonts w:ascii="Arial" w:cs="Arial" w:eastAsia="Arial" w:hAnsi="Arial"/>
                <w:b w:val="false"/>
                <w:bCs w:val="false"/>
                <w:color w:val="333333"/>
                <w:sz w:val="20"/>
                <w:szCs w:val="20"/>
              </w:rPr>
              <w:t xml:space="preserve"/>
            </w:r>
          </w:p>
        </w:tc>
        <w:tc>
          <w:tcPr>
            <w:tcW w:type="dxa" w:w="1444"/>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spacing w:after="0" w:before="0"/>
              <w:jc w:val="right"/>
            </w:pPr>
            <w:r>
              <w:rPr>
                <w:rFonts w:ascii="Arial" w:cs="Arial" w:eastAsia="Arial" w:hAnsi="Arial"/>
                <w:b w:val="false"/>
                <w:bCs w:val="false"/>
                <w:color w:val="333333"/>
                <w:sz w:val="20"/>
                <w:szCs w:val="20"/>
              </w:rPr>
              <w:t xml:space="preserve"/>
            </w:r>
          </w:p>
        </w:tc>
        <w:tc>
          <w:tcPr>
            <w:tcW w:type="dxa" w:w="1624"/>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spacing w:after="0" w:before="0"/>
              <w:jc w:val="right"/>
            </w:pPr>
            <w:r>
              <w:rPr>
                <w:rFonts w:ascii="Arial" w:cs="Arial" w:eastAsia="Arial" w:hAnsi="Arial"/>
                <w:b w:val="false"/>
                <w:bCs w:val="false"/>
                <w:color w:val="333333"/>
                <w:sz w:val="20"/>
                <w:szCs w:val="20"/>
              </w:rPr>
              <w:t xml:space="preserve">-£25,914.85</w:t>
            </w:r>
          </w:p>
        </w:tc>
        <w:tc>
          <w:tcPr>
            <w:tcW w:type="dxa" w:w="1356"/>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spacing w:after="0" w:before="0"/>
              <w:jc w:val="left"/>
            </w:pPr>
            <w:r>
              <w:rPr>
                <w:rFonts w:ascii="Arial" w:cs="Arial" w:eastAsia="Arial" w:hAnsi="Arial"/>
                <w:b w:val="false"/>
                <w:bCs w:val="false"/>
                <w:color w:val="333333"/>
                <w:sz w:val="20"/>
                <w:szCs w:val="20"/>
              </w:rPr>
              <w:t xml:space="preserve"/>
            </w:r>
          </w:p>
        </w:tc>
      </w:tr>
      <w:tr>
        <w:tc>
          <w:tcPr>
            <w:tcW w:type="dxa" w:w="6046"/>
            <w:gridSpan w:val="3"/>
            <w:tcBorders>
              <w:top w:val="single" w:color="1A1A2E" w:sz="1"/>
              <w:left w:val="single" w:color="1A1A2E" w:sz="1"/>
              <w:bottom w:val="single" w:color="1A1A2E" w:sz="1"/>
              <w:right w:val="single" w:color="1A1A2E" w:sz="1"/>
            </w:tcBorders>
            <w:shd w:fill="1A1A2E" w:val="clear"/>
            <w:tcMar>
              <w:top w:type="dxa" w:w="100"/>
              <w:left w:type="dxa" w:w="160"/>
              <w:bottom w:type="dxa" w:w="100"/>
              <w:right w:type="dxa" w:w="160"/>
            </w:tcMar>
          </w:tcPr>
          <w:p>
            <w:pPr>
              <w:spacing w:after="0" w:before="0"/>
            </w:pPr>
            <w:r>
              <w:rPr>
                <w:rFonts w:ascii="Arial" w:cs="Arial" w:eastAsia="Arial" w:hAnsi="Arial"/>
                <w:b/>
                <w:bCs/>
                <w:color w:val="FFFFFF"/>
                <w:sz w:val="22"/>
                <w:szCs w:val="22"/>
              </w:rPr>
              <w:t xml:space="preserve">INDICATIVE TOTAL (excl. VAT)</w:t>
            </w:r>
          </w:p>
        </w:tc>
        <w:tc>
          <w:tcPr>
            <w:tcW w:type="dxa" w:w="2980"/>
            <w:gridSpan w:val="2"/>
            <w:tcBorders>
              <w:top w:val="single" w:color="1A1A2E" w:sz="1"/>
              <w:left w:val="single" w:color="1A1A2E" w:sz="1"/>
              <w:bottom w:val="single" w:color="1A1A2E" w:sz="1"/>
              <w:right w:val="single" w:color="1A1A2E" w:sz="1"/>
            </w:tcBorders>
            <w:shd w:fill="E8C547" w:val="clear"/>
            <w:tcMar>
              <w:top w:type="dxa" w:w="100"/>
              <w:left w:type="dxa" w:w="160"/>
              <w:bottom w:type="dxa" w:w="100"/>
              <w:right w:type="dxa" w:w="160"/>
            </w:tcMar>
          </w:tcPr>
          <w:p>
            <w:pPr>
              <w:spacing w:after="0" w:before="0"/>
              <w:jc w:val="right"/>
            </w:pPr>
            <w:r>
              <w:rPr>
                <w:rFonts w:ascii="Arial" w:cs="Arial" w:eastAsia="Arial" w:hAnsi="Arial"/>
                <w:b/>
                <w:bCs/>
                <w:color w:val="1A1A2E"/>
                <w:sz w:val="22"/>
                <w:szCs w:val="22"/>
              </w:rPr>
              <w:t xml:space="preserve">£1,010,679.07</w:t>
            </w:r>
          </w:p>
        </w:tc>
      </w:tr>
      <w:tr>
        <w:tc>
          <w:tcPr>
            <w:tcW w:type="dxa" w:w="3429"/>
            <w:tcBorders>
              <w:top w:val="single" w:color="DDDDDD" w:sz="1"/>
              <w:left w:val="single" w:color="DDDDDD" w:sz="1"/>
              <w:bottom w:val="single" w:color="DDDDDD" w:sz="1"/>
              <w:right w:val="single" w:color="DDDDDD" w:sz="1"/>
            </w:tcBorders>
            <w:shd w:fill="F7F5F0" w:val="clear"/>
            <w:tcMar>
              <w:top w:type="dxa" w:w="80"/>
              <w:left w:type="dxa" w:w="160"/>
              <w:bottom w:type="dxa" w:w="80"/>
              <w:right w:type="dxa" w:w="160"/>
            </w:tcMar>
          </w:tcPr>
          <w:p>
            <w:pPr>
              <w:spacing w:after="0" w:before="0"/>
              <w:jc w:val="left"/>
            </w:pPr>
            <w:r>
              <w:rPr>
                <w:rFonts w:ascii="Arial" w:cs="Arial" w:eastAsia="Arial" w:hAnsi="Arial"/>
                <w:b w:val="false"/>
                <w:bCs w:val="false"/>
                <w:color w:val="333333"/>
                <w:sz w:val="20"/>
                <w:szCs w:val="20"/>
              </w:rPr>
              <w:t xml:space="preserve">Indicative cost per bedroom</w:t>
            </w:r>
          </w:p>
        </w:tc>
        <w:tc>
          <w:tcPr>
            <w:tcW w:type="dxa" w:w="1173"/>
            <w:tcBorders>
              <w:top w:val="single" w:color="DDDDDD" w:sz="1"/>
              <w:left w:val="single" w:color="DDDDDD" w:sz="1"/>
              <w:bottom w:val="single" w:color="DDDDDD" w:sz="1"/>
              <w:right w:val="single" w:color="DDDDDD" w:sz="1"/>
            </w:tcBorders>
            <w:shd w:fill="F7F5F0" w:val="clear"/>
            <w:tcMar>
              <w:top w:type="dxa" w:w="80"/>
              <w:left w:type="dxa" w:w="160"/>
              <w:bottom w:type="dxa" w:w="80"/>
              <w:right w:type="dxa" w:w="160"/>
            </w:tcMar>
          </w:tcPr>
          <w:p>
            <w:pPr>
              <w:spacing w:after="0" w:before="0"/>
              <w:jc w:val="right"/>
            </w:pPr>
            <w:r>
              <w:rPr>
                <w:rFonts w:ascii="Arial" w:cs="Arial" w:eastAsia="Arial" w:hAnsi="Arial"/>
                <w:b w:val="false"/>
                <w:bCs w:val="false"/>
                <w:color w:val="333333"/>
                <w:sz w:val="20"/>
                <w:szCs w:val="20"/>
              </w:rPr>
              <w:t xml:space="preserve"/>
            </w:r>
          </w:p>
        </w:tc>
        <w:tc>
          <w:tcPr>
            <w:tcW w:type="dxa" w:w="1444"/>
            <w:tcBorders>
              <w:top w:val="single" w:color="DDDDDD" w:sz="1"/>
              <w:left w:val="single" w:color="DDDDDD" w:sz="1"/>
              <w:bottom w:val="single" w:color="DDDDDD" w:sz="1"/>
              <w:right w:val="single" w:color="DDDDDD" w:sz="1"/>
            </w:tcBorders>
            <w:shd w:fill="F7F5F0" w:val="clear"/>
            <w:tcMar>
              <w:top w:type="dxa" w:w="80"/>
              <w:left w:type="dxa" w:w="160"/>
              <w:bottom w:type="dxa" w:w="80"/>
              <w:right w:type="dxa" w:w="160"/>
            </w:tcMar>
          </w:tcPr>
          <w:p>
            <w:pPr>
              <w:spacing w:after="0" w:before="0"/>
              <w:jc w:val="right"/>
            </w:pPr>
            <w:r>
              <w:rPr>
                <w:rFonts w:ascii="Arial" w:cs="Arial" w:eastAsia="Arial" w:hAnsi="Arial"/>
                <w:b w:val="false"/>
                <w:bCs w:val="false"/>
                <w:color w:val="333333"/>
                <w:sz w:val="20"/>
                <w:szCs w:val="20"/>
              </w:rPr>
              <w:t xml:space="preserve"/>
            </w:r>
          </w:p>
        </w:tc>
        <w:tc>
          <w:tcPr>
            <w:tcW w:type="dxa" w:w="1624"/>
            <w:tcBorders>
              <w:top w:val="single" w:color="DDDDDD" w:sz="1"/>
              <w:left w:val="single" w:color="DDDDDD" w:sz="1"/>
              <w:bottom w:val="single" w:color="DDDDDD" w:sz="1"/>
              <w:right w:val="single" w:color="DDDDDD" w:sz="1"/>
            </w:tcBorders>
            <w:shd w:fill="F7F5F0" w:val="clear"/>
            <w:tcMar>
              <w:top w:type="dxa" w:w="80"/>
              <w:left w:type="dxa" w:w="160"/>
              <w:bottom w:type="dxa" w:w="80"/>
              <w:right w:type="dxa" w:w="160"/>
            </w:tcMar>
          </w:tcPr>
          <w:p>
            <w:pPr>
              <w:spacing w:after="0" w:before="0"/>
              <w:jc w:val="right"/>
            </w:pPr>
            <w:r>
              <w:rPr>
                <w:rFonts w:ascii="Arial" w:cs="Arial" w:eastAsia="Arial" w:hAnsi="Arial"/>
                <w:b w:val="false"/>
                <w:bCs w:val="false"/>
                <w:color w:val="333333"/>
                <w:sz w:val="20"/>
                <w:szCs w:val="20"/>
              </w:rPr>
              <w:t xml:space="preserve">£2,635.47</w:t>
            </w:r>
          </w:p>
        </w:tc>
        <w:tc>
          <w:tcPr>
            <w:tcW w:type="dxa" w:w="1356"/>
            <w:tcBorders>
              <w:top w:val="single" w:color="DDDDDD" w:sz="1"/>
              <w:left w:val="single" w:color="DDDDDD" w:sz="1"/>
              <w:bottom w:val="single" w:color="DDDDDD" w:sz="1"/>
              <w:right w:val="single" w:color="DDDDDD" w:sz="1"/>
            </w:tcBorders>
            <w:shd w:fill="F7F5F0" w:val="clear"/>
            <w:tcMar>
              <w:top w:type="dxa" w:w="80"/>
              <w:left w:type="dxa" w:w="160"/>
              <w:bottom w:type="dxa" w:w="80"/>
              <w:right w:type="dxa" w:w="160"/>
            </w:tcMar>
          </w:tcPr>
          <w:p>
            <w:pPr>
              <w:spacing w:after="0" w:before="0"/>
              <w:jc w:val="left"/>
            </w:pPr>
            <w:r>
              <w:rPr>
                <w:rFonts w:ascii="Arial" w:cs="Arial" w:eastAsia="Arial" w:hAnsi="Arial"/>
                <w:b w:val="false"/>
                <w:bCs w:val="false"/>
                <w:color w:val="333333"/>
                <w:sz w:val="20"/>
                <w:szCs w:val="20"/>
              </w:rPr>
              <w:t xml:space="preserve"/>
            </w:r>
          </w:p>
        </w:tc>
      </w:tr>
    </w:tbl>
    <w:p>
      <w:pPr>
        <w:spacing w:after="80" w:before="0"/>
      </w:pPr>
      <w:r>
        <w:rPr>
          <w:rFonts w:ascii="Arial" w:cs="Arial" w:eastAsia="Arial" w:hAnsi="Arial"/>
          <w:color w:val="333333"/>
          <w:sz w:val="22"/>
          <w:szCs w:val="22"/>
        </w:rPr>
        <w:t xml:space="preserve"/>
      </w:r>
    </w:p>
    <w:p>
      <w:pPr>
        <w:pStyle w:val="Heading2"/>
        <w:spacing w:after="80" w:before="280"/>
      </w:pPr>
      <w:r>
        <w:rPr>
          <w:rFonts w:ascii="Arial" w:cs="Arial" w:eastAsia="Arial" w:hAnsi="Arial"/>
          <w:b/>
          <w:bCs/>
          <w:color w:val="1A1A2E"/>
          <w:sz w:val="24"/>
          <w:szCs w:val="24"/>
        </w:rPr>
        <w:t xml:space="preserve">Assumed room split (basis of estimate)</w:t>
      </w:r>
    </w:p>
    <w:p>
      <w:pPr>
        <w:tabs>
          <w:tab w:val="left" w:pos="2800"/>
        </w:tabs>
        <w:spacing w:after="80" w:before="0"/>
      </w:pPr>
      <w:r>
        <w:rPr>
          <w:rFonts w:ascii="Arial" w:cs="Arial" w:eastAsia="Arial" w:hAnsi="Arial"/>
          <w:b/>
          <w:bCs/>
          <w:color w:val="1A1A2E"/>
          <w:sz w:val="22"/>
          <w:szCs w:val="22"/>
        </w:rPr>
        <w:t xml:space="preserve">Cluster bedrooms (assumed)</w:t>
      </w:r>
      <w:r>
        <w:rPr>
          <w:rFonts w:ascii="Arial" w:cs="Arial" w:eastAsia="Arial" w:hAnsi="Arial"/>
        </w:rPr>
        <w:t xml:space="preserve">	</w:t>
      </w:r>
      <w:r>
        <w:rPr>
          <w:rFonts w:ascii="Arial" w:cs="Arial" w:eastAsia="Arial" w:hAnsi="Arial"/>
          <w:b w:val="false"/>
          <w:bCs w:val="false"/>
          <w:color w:val="333333"/>
          <w:sz w:val="22"/>
          <w:szCs w:val="22"/>
        </w:rPr>
        <w:t xml:space="preserve">163 beds</w:t>
      </w:r>
    </w:p>
    <w:p>
      <w:pPr>
        <w:tabs>
          <w:tab w:val="left" w:pos="2800"/>
        </w:tabs>
        <w:spacing w:after="80" w:before="0"/>
      </w:pPr>
      <w:r>
        <w:rPr>
          <w:rFonts w:ascii="Arial" w:cs="Arial" w:eastAsia="Arial" w:hAnsi="Arial"/>
          <w:b/>
          <w:bCs/>
          <w:color w:val="1A1A2E"/>
          <w:sz w:val="22"/>
          <w:szCs w:val="22"/>
        </w:rPr>
        <w:t xml:space="preserve">Standard Studios (assumed)</w:t>
      </w:r>
      <w:r>
        <w:rPr>
          <w:rFonts w:ascii="Arial" w:cs="Arial" w:eastAsia="Arial" w:hAnsi="Arial"/>
        </w:rPr>
        <w:t xml:space="preserve">	</w:t>
      </w:r>
      <w:r>
        <w:rPr>
          <w:rFonts w:ascii="Arial" w:cs="Arial" w:eastAsia="Arial" w:hAnsi="Arial"/>
          <w:b w:val="false"/>
          <w:bCs w:val="false"/>
          <w:color w:val="333333"/>
          <w:sz w:val="22"/>
          <w:szCs w:val="22"/>
        </w:rPr>
        <w:t xml:space="preserve">134</w:t>
      </w:r>
    </w:p>
    <w:p>
      <w:pPr>
        <w:tabs>
          <w:tab w:val="left" w:pos="2800"/>
        </w:tabs>
        <w:spacing w:after="80" w:before="0"/>
      </w:pPr>
      <w:r>
        <w:rPr>
          <w:rFonts w:ascii="Arial" w:cs="Arial" w:eastAsia="Arial" w:hAnsi="Arial"/>
          <w:b/>
          <w:bCs/>
          <w:color w:val="1A1A2E"/>
          <w:sz w:val="22"/>
          <w:szCs w:val="22"/>
        </w:rPr>
        <w:t xml:space="preserve">KLD 5-person (assumed)</w:t>
      </w:r>
      <w:r>
        <w:rPr>
          <w:rFonts w:ascii="Arial" w:cs="Arial" w:eastAsia="Arial" w:hAnsi="Arial"/>
        </w:rPr>
        <w:t xml:space="preserve">	</w:t>
      </w:r>
      <w:r>
        <w:rPr>
          <w:rFonts w:ascii="Arial" w:cs="Arial" w:eastAsia="Arial" w:hAnsi="Arial"/>
          <w:b w:val="false"/>
          <w:bCs w:val="false"/>
          <w:color w:val="333333"/>
          <w:sz w:val="22"/>
          <w:szCs w:val="22"/>
        </w:rPr>
        <w:t xml:space="preserve">10 KLDs</w:t>
      </w:r>
    </w:p>
    <w:p>
      <w:pPr>
        <w:tabs>
          <w:tab w:val="left" w:pos="2800"/>
        </w:tabs>
        <w:spacing w:after="80" w:before="0"/>
      </w:pPr>
      <w:r>
        <w:rPr>
          <w:rFonts w:ascii="Arial" w:cs="Arial" w:eastAsia="Arial" w:hAnsi="Arial"/>
          <w:b/>
          <w:bCs/>
          <w:color w:val="1A1A2E"/>
          <w:sz w:val="22"/>
          <w:szCs w:val="22"/>
        </w:rPr>
        <w:t xml:space="preserve">KLD 6-person (assumed)</w:t>
      </w:r>
      <w:r>
        <w:rPr>
          <w:rFonts w:ascii="Arial" w:cs="Arial" w:eastAsia="Arial" w:hAnsi="Arial"/>
        </w:rPr>
        <w:t xml:space="preserve">	</w:t>
      </w:r>
      <w:r>
        <w:rPr>
          <w:rFonts w:ascii="Arial" w:cs="Arial" w:eastAsia="Arial" w:hAnsi="Arial"/>
          <w:b w:val="false"/>
          <w:bCs w:val="false"/>
          <w:color w:val="333333"/>
          <w:sz w:val="22"/>
          <w:szCs w:val="22"/>
        </w:rPr>
        <w:t xml:space="preserve">15 KLDs</w:t>
      </w:r>
    </w:p>
    <w:p>
      <w:pPr>
        <w:tabs>
          <w:tab w:val="left" w:pos="2800"/>
        </w:tabs>
        <w:spacing w:after="80" w:before="0"/>
      </w:pPr>
      <w:r>
        <w:rPr>
          <w:rFonts w:ascii="Arial" w:cs="Arial" w:eastAsia="Arial" w:hAnsi="Arial"/>
          <w:b/>
          <w:bCs/>
          <w:color w:val="1A1A2E"/>
          <w:sz w:val="22"/>
          <w:szCs w:val="22"/>
        </w:rPr>
        <w:t xml:space="preserve">KLD 7-person (assumed)</w:t>
      </w:r>
      <w:r>
        <w:rPr>
          <w:rFonts w:ascii="Arial" w:cs="Arial" w:eastAsia="Arial" w:hAnsi="Arial"/>
        </w:rPr>
        <w:t xml:space="preserve">	</w:t>
      </w:r>
      <w:r>
        <w:rPr>
          <w:rFonts w:ascii="Arial" w:cs="Arial" w:eastAsia="Arial" w:hAnsi="Arial"/>
          <w:b w:val="false"/>
          <w:bCs w:val="false"/>
          <w:color w:val="333333"/>
          <w:sz w:val="22"/>
          <w:szCs w:val="22"/>
        </w:rPr>
        <w:t xml:space="preserve">4 KLDs</w:t>
      </w:r>
    </w:p>
    <w:p>
      <w:pPr>
        <w:spacing w:after="80" w:before="0"/>
      </w:pPr>
      <w:r>
        <w:rPr>
          <w:rFonts w:ascii="Arial" w:cs="Arial" w:eastAsia="Arial" w:hAnsi="Arial"/>
          <w:color w:val="333333"/>
          <w:sz w:val="22"/>
          <w:szCs w:val="22"/>
        </w:rPr>
        <w:t xml:space="preserve"/>
      </w:r>
    </w:p>
    <w:p>
      <w:pPr>
        <w:spacing w:after="150" w:before="0"/>
      </w:pPr>
      <w:r>
        <w:rPr>
          <w:rFonts w:ascii="Arial" w:cs="Arial" w:eastAsia="Arial" w:hAnsi="Arial"/>
          <w:color w:val="333333"/>
          <w:sz w:val="22"/>
          <w:szCs w:val="22"/>
        </w:rPr>
        <w:t xml:space="preserve">JLL demand report confirms: 134 studio flats and 29 cluster flats comprising 163 beds. KLD split assumed based on 29 cluster flats — likely mix of 5-7 person. Confirm exact cluster sizes when Zinc release detailed drawings.</w:t>
      </w:r>
    </w:p>
    <w:p>
      <w:pPr>
        <w:spacing w:after="120" w:before="0"/>
      </w:pPr>
      <w:r>
        <w:rPr>
          <w:rFonts w:ascii="Arial" w:cs="Arial" w:eastAsia="Arial" w:hAnsi="Arial"/>
          <w:color w:val="333333"/>
          <w:sz w:val="22"/>
          <w:szCs w:val="22"/>
        </w:rPr>
        <w:t xml:space="preserve"/>
      </w:r>
    </w:p>
    <w:p>
      <w:pPr>
        <w:pBdr>
          <w:bottom w:val="single" w:color="E8C547" w:sz="4"/>
        </w:pBdr>
        <w:spacing w:after="80" w:before="80"/>
      </w:pPr>
      <w:r>
        <w:rPr>
          <w:rFonts w:ascii="Arial" w:cs="Arial" w:eastAsia="Arial" w:hAnsi="Arial"/>
          <w:color w:val="333333"/>
          <w:sz w:val="22"/>
          <w:szCs w:val="22"/>
        </w:rPr>
        <w:t xml:space="preserve"/>
      </w:r>
    </w:p>
    <w:p>
      <w:r>
        <w:br w:type="page"/>
      </w:r>
    </w:p>
    <w:p>
      <w:pPr>
        <w:spacing w:after="60" w:before="0"/>
      </w:pPr>
      <w:r>
        <w:rPr>
          <w:rFonts w:ascii="Arial" w:cs="Arial" w:eastAsia="Arial" w:hAnsi="Arial"/>
          <w:b/>
          <w:bCs/>
          <w:color w:val="7F8C8D"/>
          <w:sz w:val="18"/>
          <w:szCs w:val="18"/>
        </w:rPr>
        <w:t xml:space="preserve">Scheme Priority 5</w:t>
      </w:r>
    </w:p>
    <w:p>
      <w:pPr>
        <w:spacing w:after="60" w:before="0"/>
      </w:pPr>
      <w:r>
        <w:rPr>
          <w:rFonts w:ascii="Arial" w:cs="Arial" w:eastAsia="Arial" w:hAnsi="Arial"/>
          <w:b/>
          <w:bCs/>
          <w:color w:val="1A1A2E"/>
          <w:sz w:val="22"/>
          <w:szCs w:val="22"/>
        </w:rPr>
        <w:t xml:space="preserve">PBSA </w:t>
      </w:r>
      <w:r>
        <w:rPr>
          <w:rFonts w:ascii="Arial" w:cs="Arial" w:eastAsia="Arial" w:hAnsi="Arial"/>
          <w:color w:val="7F8C8D"/>
          <w:sz w:val="19"/>
          <w:szCs w:val="19"/>
        </w:rPr>
        <w:t xml:space="preserve">High — consent confirmed, S106 complete</w:t>
      </w:r>
    </w:p>
    <w:p>
      <w:pPr>
        <w:spacing w:after="80" w:before="0"/>
      </w:pPr>
      <w:r>
        <w:rPr>
          <w:rFonts w:ascii="Arial" w:cs="Arial" w:eastAsia="Arial" w:hAnsi="Arial"/>
          <w:b/>
          <w:bCs/>
          <w:color w:val="1A1A2E"/>
          <w:sz w:val="36"/>
          <w:szCs w:val="36"/>
        </w:rPr>
        <w:t xml:space="preserve">26-28 Longbrook Street, Exeter</w:t>
      </w:r>
    </w:p>
    <w:p>
      <w:pPr>
        <w:pBdr>
          <w:bottom w:val="single" w:color="E8C547" w:sz="6"/>
        </w:pBdr>
        <w:spacing w:after="120" w:before="0"/>
      </w:pPr>
      <w:r>
        <w:rPr>
          <w:rFonts w:ascii="Arial" w:cs="Arial" w:eastAsia="Arial" w:hAnsi="Arial"/>
          <w:color w:val="333333"/>
          <w:sz w:val="22"/>
          <w:szCs w:val="22"/>
        </w:rPr>
        <w:t xml:space="preserve"/>
      </w:r>
    </w:p>
    <w:p>
      <w:pPr>
        <w:spacing w:after="80" w:before="0"/>
      </w:pPr>
      <w:r>
        <w:rPr>
          <w:rFonts w:ascii="Arial" w:cs="Arial" w:eastAsia="Arial" w:hAnsi="Arial"/>
          <w:color w:val="333333"/>
          <w:sz w:val="22"/>
          <w:szCs w:val="22"/>
        </w:rPr>
        <w:t xml:space="preserve"/>
      </w:r>
    </w:p>
    <w:p>
      <w:pPr>
        <w:pStyle w:val="Heading2"/>
        <w:spacing w:after="80" w:before="280"/>
      </w:pPr>
      <w:r>
        <w:rPr>
          <w:rFonts w:ascii="Arial" w:cs="Arial" w:eastAsia="Arial" w:hAnsi="Arial"/>
          <w:b/>
          <w:bCs/>
          <w:color w:val="1A1A2E"/>
          <w:sz w:val="24"/>
          <w:szCs w:val="24"/>
        </w:rPr>
        <w:t xml:space="preserve">Planning application</w:t>
      </w:r>
    </w:p>
    <w:p>
      <w:pPr>
        <w:tabs>
          <w:tab w:val="left" w:pos="2800"/>
        </w:tabs>
        <w:spacing w:after="80" w:before="0"/>
      </w:pPr>
      <w:r>
        <w:rPr>
          <w:rFonts w:ascii="Arial" w:cs="Arial" w:eastAsia="Arial" w:hAnsi="Arial"/>
          <w:b/>
          <w:bCs/>
          <w:color w:val="1A1A2E"/>
          <w:sz w:val="22"/>
          <w:szCs w:val="22"/>
        </w:rPr>
        <w:t xml:space="preserve">Planning reference</w:t>
      </w:r>
      <w:r>
        <w:rPr>
          <w:rFonts w:ascii="Arial" w:cs="Arial" w:eastAsia="Arial" w:hAnsi="Arial"/>
        </w:rPr>
        <w:t xml:space="preserve">	</w:t>
      </w:r>
      <w:r>
        <w:rPr>
          <w:rFonts w:ascii="Arial" w:cs="Arial" w:eastAsia="Arial" w:hAnsi="Arial"/>
          <w:b/>
          <w:bCs/>
          <w:color w:val="333333"/>
          <w:sz w:val="22"/>
          <w:szCs w:val="22"/>
        </w:rPr>
        <w:t xml:space="preserve">25/0318/FUL</w:t>
      </w:r>
    </w:p>
    <w:p>
      <w:pPr>
        <w:tabs>
          <w:tab w:val="left" w:pos="2800"/>
        </w:tabs>
        <w:spacing w:after="80" w:before="0"/>
      </w:pPr>
      <w:r>
        <w:rPr>
          <w:rFonts w:ascii="Arial" w:cs="Arial" w:eastAsia="Arial" w:hAnsi="Arial"/>
          <w:b/>
          <w:bCs/>
          <w:color w:val="1A1A2E"/>
          <w:sz w:val="22"/>
          <w:szCs w:val="22"/>
        </w:rPr>
        <w:t xml:space="preserve">Address</w:t>
      </w:r>
      <w:r>
        <w:rPr>
          <w:rFonts w:ascii="Arial" w:cs="Arial" w:eastAsia="Arial" w:hAnsi="Arial"/>
        </w:rPr>
        <w:t xml:space="preserve">	</w:t>
      </w:r>
      <w:r>
        <w:rPr>
          <w:rFonts w:ascii="Arial" w:cs="Arial" w:eastAsia="Arial" w:hAnsi="Arial"/>
          <w:b w:val="false"/>
          <w:bCs w:val="false"/>
          <w:color w:val="333333"/>
          <w:sz w:val="22"/>
          <w:szCs w:val="22"/>
        </w:rPr>
        <w:t xml:space="preserve">Former Site of 26-28 Longbrook Street, Duryard &amp; St James, Exeter EX4</w:t>
      </w:r>
    </w:p>
    <w:p>
      <w:pPr>
        <w:tabs>
          <w:tab w:val="left" w:pos="2800"/>
        </w:tabs>
        <w:spacing w:after="80" w:before="0"/>
      </w:pPr>
      <w:r>
        <w:rPr>
          <w:rFonts w:ascii="Arial" w:cs="Arial" w:eastAsia="Arial" w:hAnsi="Arial"/>
          <w:b/>
          <w:bCs/>
          <w:color w:val="1A1A2E"/>
          <w:sz w:val="22"/>
          <w:szCs w:val="22"/>
        </w:rPr>
        <w:t xml:space="preserve">Developer</w:t>
      </w:r>
      <w:r>
        <w:rPr>
          <w:rFonts w:ascii="Arial" w:cs="Arial" w:eastAsia="Arial" w:hAnsi="Arial"/>
        </w:rPr>
        <w:t xml:space="preserve">	</w:t>
      </w:r>
      <w:r>
        <w:rPr>
          <w:rFonts w:ascii="Arial" w:cs="Arial" w:eastAsia="Arial" w:hAnsi="Arial"/>
          <w:b w:val="false"/>
          <w:bCs w:val="false"/>
          <w:color w:val="333333"/>
          <w:sz w:val="22"/>
          <w:szCs w:val="22"/>
        </w:rPr>
        <w:t xml:space="preserve">Rok Prop Co (Exeter) Limited</w:t>
      </w:r>
    </w:p>
    <w:p>
      <w:pPr>
        <w:tabs>
          <w:tab w:val="left" w:pos="2800"/>
        </w:tabs>
        <w:spacing w:after="80" w:before="0"/>
      </w:pPr>
      <w:r>
        <w:rPr>
          <w:rFonts w:ascii="Arial" w:cs="Arial" w:eastAsia="Arial" w:hAnsi="Arial"/>
          <w:b/>
          <w:bCs/>
          <w:color w:val="1A1A2E"/>
          <w:sz w:val="22"/>
          <w:szCs w:val="22"/>
        </w:rPr>
        <w:t xml:space="preserve">Architect</w:t>
      </w:r>
      <w:r>
        <w:rPr>
          <w:rFonts w:ascii="Arial" w:cs="Arial" w:eastAsia="Arial" w:hAnsi="Arial"/>
        </w:rPr>
        <w:t xml:space="preserve">	</w:t>
      </w:r>
      <w:r>
        <w:rPr>
          <w:rFonts w:ascii="Arial" w:cs="Arial" w:eastAsia="Arial" w:hAnsi="Arial"/>
          <w:b w:val="false"/>
          <w:bCs w:val="false"/>
          <w:color w:val="333333"/>
          <w:sz w:val="22"/>
          <w:szCs w:val="22"/>
        </w:rPr>
        <w:t xml:space="preserve">Not publicly confirmed</w:t>
      </w:r>
    </w:p>
    <w:p>
      <w:pPr>
        <w:tabs>
          <w:tab w:val="left" w:pos="2800"/>
        </w:tabs>
        <w:spacing w:after="80" w:before="0"/>
      </w:pPr>
      <w:r>
        <w:rPr>
          <w:rFonts w:ascii="Arial" w:cs="Arial" w:eastAsia="Arial" w:hAnsi="Arial"/>
          <w:b/>
          <w:bCs/>
          <w:color w:val="1A1A2E"/>
          <w:sz w:val="22"/>
          <w:szCs w:val="22"/>
        </w:rPr>
        <w:t xml:space="preserve">LPA</w:t>
      </w:r>
      <w:r>
        <w:rPr>
          <w:rFonts w:ascii="Arial" w:cs="Arial" w:eastAsia="Arial" w:hAnsi="Arial"/>
        </w:rPr>
        <w:t xml:space="preserve">	</w:t>
      </w:r>
      <w:r>
        <w:rPr>
          <w:rFonts w:ascii="Arial" w:cs="Arial" w:eastAsia="Arial" w:hAnsi="Arial"/>
          <w:b w:val="false"/>
          <w:bCs w:val="false"/>
          <w:color w:val="333333"/>
          <w:sz w:val="22"/>
          <w:szCs w:val="22"/>
        </w:rPr>
        <w:t xml:space="preserve">Exeter City Council</w:t>
      </w:r>
    </w:p>
    <w:p>
      <w:pPr>
        <w:tabs>
          <w:tab w:val="left" w:pos="2800"/>
        </w:tabs>
        <w:spacing w:after="80" w:before="0"/>
      </w:pPr>
      <w:r>
        <w:rPr>
          <w:rFonts w:ascii="Arial" w:cs="Arial" w:eastAsia="Arial" w:hAnsi="Arial"/>
          <w:b/>
          <w:bCs/>
          <w:color w:val="1A1A2E"/>
          <w:sz w:val="22"/>
          <w:szCs w:val="22"/>
        </w:rPr>
        <w:t xml:space="preserve">Status</w:t>
      </w:r>
      <w:r>
        <w:rPr>
          <w:rFonts w:ascii="Arial" w:cs="Arial" w:eastAsia="Arial" w:hAnsi="Arial"/>
        </w:rPr>
        <w:t xml:space="preserve">	</w:t>
      </w:r>
      <w:r>
        <w:rPr>
          <w:rFonts w:ascii="Arial" w:cs="Arial" w:eastAsia="Arial" w:hAnsi="Arial"/>
          <w:b w:val="false"/>
          <w:bCs w:val="false"/>
          <w:color w:val="333333"/>
          <w:sz w:val="22"/>
          <w:szCs w:val="22"/>
        </w:rPr>
        <w:t xml:space="preserve">Approved September 2025 — 9 months post-consent, S106 signed</w:t>
      </w:r>
    </w:p>
    <w:p>
      <w:pPr>
        <w:tabs>
          <w:tab w:val="left" w:pos="2800"/>
        </w:tabs>
        <w:spacing w:after="80" w:before="0"/>
      </w:pPr>
      <w:r>
        <w:rPr>
          <w:rFonts w:ascii="Arial" w:cs="Arial" w:eastAsia="Arial" w:hAnsi="Arial"/>
          <w:b/>
          <w:bCs/>
          <w:color w:val="1A1A2E"/>
          <w:sz w:val="22"/>
          <w:szCs w:val="22"/>
        </w:rPr>
        <w:t xml:space="preserve">Portal</w:t>
      </w:r>
      <w:r>
        <w:rPr>
          <w:rFonts w:ascii="Arial" w:cs="Arial" w:eastAsia="Arial" w:hAnsi="Arial"/>
        </w:rPr>
        <w:t xml:space="preserve">	</w:t>
      </w:r>
      <w:r>
        <w:rPr>
          <w:rFonts w:ascii="Arial" w:cs="Arial" w:eastAsia="Arial" w:hAnsi="Arial"/>
          <w:b w:val="false"/>
          <w:bCs w:val="false"/>
          <w:color w:val="333333"/>
          <w:sz w:val="22"/>
          <w:szCs w:val="22"/>
        </w:rPr>
        <w:t xml:space="preserve">25/0318/FUL — Exeter City Council planning portal: exeter.gov.uk/planning-services</w:t>
      </w:r>
    </w:p>
    <w:p>
      <w:pPr>
        <w:spacing w:after="100" w:before="0"/>
      </w:pPr>
      <w:r>
        <w:rPr>
          <w:rFonts w:ascii="Arial" w:cs="Arial" w:eastAsia="Arial" w:hAnsi="Arial"/>
          <w:color w:val="333333"/>
          <w:sz w:val="22"/>
          <w:szCs w:val="22"/>
        </w:rPr>
        <w:t xml:space="preserve"/>
      </w:r>
    </w:p>
    <w:p>
      <w:pPr>
        <w:pStyle w:val="Heading2"/>
        <w:spacing w:after="80" w:before="280"/>
      </w:pPr>
      <w:r>
        <w:rPr>
          <w:rFonts w:ascii="Arial" w:cs="Arial" w:eastAsia="Arial" w:hAnsi="Arial"/>
          <w:b/>
          <w:bCs/>
          <w:color w:val="1A1A2E"/>
          <w:sz w:val="24"/>
          <w:szCs w:val="24"/>
        </w:rPr>
        <w:t xml:space="preserve">Classification</w:t>
      </w:r>
    </w:p>
    <w:p>
      <w:pPr>
        <w:spacing w:after="150" w:before="0"/>
      </w:pPr>
      <w:r>
        <w:rPr>
          <w:rFonts w:ascii="Arial" w:cs="Arial" w:eastAsia="Arial" w:hAnsi="Arial"/>
          <w:color w:val="333333"/>
          <w:sz w:val="22"/>
          <w:szCs w:val="22"/>
        </w:rPr>
        <w:t xml:space="preserve">Rok Prop Co (Exeter) Limited received approval in September 2025 for a 108-studio PBSA scheme on the long-derelict former King Billy pub site at 26-28 Longbrook Street. The brownfield site has had an approved consent since 2017/2018 and the current application is the most recent iteration. S106 obligations were signed by the March 2026 deadline, confirming full, unchallenged consent. The site is in the St James ward, adjacent to John Lewis, and has strong connectivity to the University of Exeter's St David's campus.</w:t>
      </w:r>
    </w:p>
    <w:p>
      <w:pPr>
        <w:spacing w:after="100" w:before="0"/>
      </w:pPr>
      <w:r>
        <w:rPr>
          <w:rFonts w:ascii="Arial" w:cs="Arial" w:eastAsia="Arial" w:hAnsi="Arial"/>
          <w:color w:val="333333"/>
          <w:sz w:val="22"/>
          <w:szCs w:val="22"/>
        </w:rPr>
        <w:t xml:space="preserve"/>
      </w:r>
    </w:p>
    <w:p>
      <w:pPr>
        <w:pStyle w:val="Heading2"/>
        <w:spacing w:after="80" w:before="280"/>
      </w:pPr>
      <w:r>
        <w:rPr>
          <w:rFonts w:ascii="Arial" w:cs="Arial" w:eastAsia="Arial" w:hAnsi="Arial"/>
          <w:b/>
          <w:bCs/>
          <w:color w:val="1A1A2E"/>
          <w:sz w:val="24"/>
          <w:szCs w:val="24"/>
        </w:rPr>
        <w:t xml:space="preserve">Stage assessment</w:t>
      </w:r>
    </w:p>
    <w:p>
      <w:pPr>
        <w:tabs>
          <w:tab w:val="left" w:pos="2800"/>
        </w:tabs>
        <w:spacing w:after="80" w:before="0"/>
      </w:pPr>
      <w:r>
        <w:rPr>
          <w:rFonts w:ascii="Arial" w:cs="Arial" w:eastAsia="Arial" w:hAnsi="Arial"/>
          <w:b/>
          <w:bCs/>
          <w:color w:val="1A1A2E"/>
          <w:sz w:val="22"/>
          <w:szCs w:val="22"/>
        </w:rPr>
        <w:t xml:space="preserve">Assumed start</w:t>
      </w:r>
      <w:r>
        <w:rPr>
          <w:rFonts w:ascii="Arial" w:cs="Arial" w:eastAsia="Arial" w:hAnsi="Arial"/>
        </w:rPr>
        <w:t xml:space="preserve">	</w:t>
      </w:r>
      <w:r>
        <w:rPr>
          <w:rFonts w:ascii="Arial" w:cs="Arial" w:eastAsia="Arial" w:hAnsi="Arial"/>
          <w:b w:val="false"/>
          <w:bCs w:val="false"/>
          <w:color w:val="333333"/>
          <w:sz w:val="22"/>
          <w:szCs w:val="22"/>
        </w:rPr>
        <w:t xml:space="preserve">2026-27 assumed</w:t>
      </w:r>
    </w:p>
    <w:p>
      <w:pPr>
        <w:tabs>
          <w:tab w:val="left" w:pos="2800"/>
        </w:tabs>
        <w:spacing w:after="80" w:before="0"/>
      </w:pPr>
      <w:r>
        <w:rPr>
          <w:rFonts w:ascii="Arial" w:cs="Arial" w:eastAsia="Arial" w:hAnsi="Arial"/>
          <w:b/>
          <w:bCs/>
          <w:color w:val="1A1A2E"/>
          <w:sz w:val="22"/>
          <w:szCs w:val="22"/>
        </w:rPr>
        <w:t xml:space="preserve">Programme</w:t>
      </w:r>
      <w:r>
        <w:rPr>
          <w:rFonts w:ascii="Arial" w:cs="Arial" w:eastAsia="Arial" w:hAnsi="Arial"/>
        </w:rPr>
        <w:t xml:space="preserve">	</w:t>
      </w:r>
      <w:r>
        <w:rPr>
          <w:rFonts w:ascii="Arial" w:cs="Arial" w:eastAsia="Arial" w:hAnsi="Arial"/>
          <w:b w:val="false"/>
          <w:bCs w:val="false"/>
          <w:color w:val="333333"/>
          <w:sz w:val="22"/>
          <w:szCs w:val="22"/>
        </w:rPr>
        <w:t xml:space="preserve">4 months assumed</w:t>
      </w:r>
    </w:p>
    <w:p>
      <w:pPr>
        <w:tabs>
          <w:tab w:val="left" w:pos="2800"/>
        </w:tabs>
        <w:spacing w:after="80" w:before="0"/>
      </w:pPr>
      <w:r>
        <w:rPr>
          <w:rFonts w:ascii="Arial" w:cs="Arial" w:eastAsia="Arial" w:hAnsi="Arial"/>
          <w:b/>
          <w:bCs/>
          <w:color w:val="1A1A2E"/>
          <w:sz w:val="22"/>
          <w:szCs w:val="22"/>
        </w:rPr>
        <w:t xml:space="preserve">Beds</w:t>
      </w:r>
      <w:r>
        <w:rPr>
          <w:rFonts w:ascii="Arial" w:cs="Arial" w:eastAsia="Arial" w:hAnsi="Arial"/>
        </w:rPr>
        <w:t xml:space="preserve">	</w:t>
      </w:r>
      <w:r>
        <w:rPr>
          <w:rFonts w:ascii="Arial" w:cs="Arial" w:eastAsia="Arial" w:hAnsi="Arial"/>
          <w:b w:val="false"/>
          <w:bCs w:val="false"/>
          <w:color w:val="333333"/>
          <w:sz w:val="22"/>
          <w:szCs w:val="22"/>
        </w:rPr>
        <w:t xml:space="preserve">108</w:t>
      </w:r>
    </w:p>
    <w:p>
      <w:pPr>
        <w:tabs>
          <w:tab w:val="left" w:pos="2800"/>
        </w:tabs>
        <w:spacing w:after="80" w:before="0"/>
      </w:pPr>
      <w:r>
        <w:rPr>
          <w:rFonts w:ascii="Arial" w:cs="Arial" w:eastAsia="Arial" w:hAnsi="Arial"/>
          <w:b/>
          <w:bCs/>
          <w:color w:val="1A1A2E"/>
          <w:sz w:val="22"/>
          <w:szCs w:val="22"/>
        </w:rPr>
        <w:t xml:space="preserve">KLDs (cluster kitchens)</w:t>
      </w:r>
      <w:r>
        <w:rPr>
          <w:rFonts w:ascii="Arial" w:cs="Arial" w:eastAsia="Arial" w:hAnsi="Arial"/>
        </w:rPr>
        <w:t xml:space="preserve">	</w:t>
      </w:r>
      <w:r>
        <w:rPr>
          <w:rFonts w:ascii="Arial" w:cs="Arial" w:eastAsia="Arial" w:hAnsi="Arial"/>
          <w:b w:val="false"/>
          <w:bCs w:val="false"/>
          <w:color w:val="333333"/>
          <w:sz w:val="22"/>
          <w:szCs w:val="22"/>
        </w:rPr>
        <w:t xml:space="preserve">0</w:t>
      </w:r>
    </w:p>
    <w:p>
      <w:pPr>
        <w:spacing w:after="100" w:before="0"/>
      </w:pPr>
      <w:r>
        <w:rPr>
          <w:rFonts w:ascii="Arial" w:cs="Arial" w:eastAsia="Arial" w:hAnsi="Arial"/>
          <w:color w:val="333333"/>
          <w:sz w:val="22"/>
          <w:szCs w:val="22"/>
        </w:rPr>
        <w:t xml:space="preserve"/>
      </w:r>
    </w:p>
    <w:p>
      <w:pPr>
        <w:pStyle w:val="Heading2"/>
        <w:spacing w:after="80" w:before="280"/>
      </w:pPr>
      <w:r>
        <w:rPr>
          <w:rFonts w:ascii="Arial" w:cs="Arial" w:eastAsia="Arial" w:hAnsi="Arial"/>
          <w:b/>
          <w:bCs/>
          <w:color w:val="1A1A2E"/>
          <w:sz w:val="24"/>
          <w:szCs w:val="24"/>
        </w:rPr>
        <w:t xml:space="preserve">Opportunities for Flagstaffe</w:t>
      </w:r>
    </w:p>
    <w:p>
      <w:pPr>
        <w:pStyle w:val="ListParagraph"/>
        <w:numPr>
          <w:ilvl w:val="0"/>
          <w:numId w:val="2"/>
        </w:numPr>
        <w:spacing w:after="90" w:before="0"/>
      </w:pPr>
      <w:r>
        <w:rPr>
          <w:rFonts w:ascii="Arial" w:cs="Arial" w:eastAsia="Arial" w:hAnsi="Arial"/>
          <w:color w:val="333333"/>
          <w:sz w:val="22"/>
          <w:szCs w:val="22"/>
        </w:rPr>
        <w:t xml:space="preserve">S106 signed and consent fully cleared — the cleanest title of any scheme in this report.</w:t>
      </w:r>
    </w:p>
    <w:p>
      <w:pPr>
        <w:pStyle w:val="ListParagraph"/>
        <w:numPr>
          <w:ilvl w:val="0"/>
          <w:numId w:val="2"/>
        </w:numPr>
        <w:spacing w:after="90" w:before="0"/>
      </w:pPr>
      <w:r>
        <w:rPr>
          <w:rFonts w:ascii="Arial" w:cs="Arial" w:eastAsia="Arial" w:hAnsi="Arial"/>
          <w:color w:val="333333"/>
          <w:sz w:val="22"/>
          <w:szCs w:val="22"/>
        </w:rPr>
        <w:t xml:space="preserve">108 studios is a small, manageable scope that allows for a tight, well-priced bid and a fast procurement process.</w:t>
      </w:r>
    </w:p>
    <w:p>
      <w:pPr>
        <w:pStyle w:val="ListParagraph"/>
        <w:numPr>
          <w:ilvl w:val="0"/>
          <w:numId w:val="2"/>
        </w:numPr>
        <w:spacing w:after="90" w:before="0"/>
      </w:pPr>
      <w:r>
        <w:rPr>
          <w:rFonts w:ascii="Arial" w:cs="Arial" w:eastAsia="Arial" w:hAnsi="Arial"/>
          <w:color w:val="333333"/>
          <w:sz w:val="22"/>
          <w:szCs w:val="22"/>
        </w:rPr>
        <w:t xml:space="preserve">Rok Prop Co is a local Exeter developer — engaging them well on this project builds a regional relationship for future schemes.</w:t>
      </w:r>
    </w:p>
    <w:p>
      <w:pPr>
        <w:pStyle w:val="ListParagraph"/>
        <w:numPr>
          <w:ilvl w:val="0"/>
          <w:numId w:val="2"/>
        </w:numPr>
        <w:spacing w:after="90" w:before="0"/>
      </w:pPr>
      <w:r>
        <w:rPr>
          <w:rFonts w:ascii="Arial" w:cs="Arial" w:eastAsia="Arial" w:hAnsi="Arial"/>
          <w:color w:val="333333"/>
          <w:sz w:val="22"/>
          <w:szCs w:val="22"/>
        </w:rPr>
        <w:t xml:space="preserve">9 months post-consent without a contractor announcement suggests procurement is being carefully considered. Flagstaffe can get in early.</w:t>
      </w:r>
    </w:p>
    <w:p>
      <w:pPr>
        <w:spacing w:after="100" w:before="0"/>
      </w:pPr>
      <w:r>
        <w:rPr>
          <w:rFonts w:ascii="Arial" w:cs="Arial" w:eastAsia="Arial" w:hAnsi="Arial"/>
          <w:color w:val="333333"/>
          <w:sz w:val="22"/>
          <w:szCs w:val="22"/>
        </w:rPr>
        <w:t xml:space="preserve"/>
      </w:r>
    </w:p>
    <w:p>
      <w:pPr>
        <w:pStyle w:val="Heading2"/>
        <w:spacing w:after="80" w:before="280"/>
      </w:pPr>
      <w:r>
        <w:rPr>
          <w:rFonts w:ascii="Arial" w:cs="Arial" w:eastAsia="Arial" w:hAnsi="Arial"/>
          <w:b/>
          <w:bCs/>
          <w:color w:val="1A1A2E"/>
          <w:sz w:val="24"/>
          <w:szCs w:val="24"/>
        </w:rPr>
        <w:t xml:space="preserve">Red flags</w:t>
      </w:r>
    </w:p>
    <w:p>
      <w:pPr>
        <w:pStyle w:val="ListParagraph"/>
        <w:numPr>
          <w:ilvl w:val="0"/>
          <w:numId w:val="2"/>
        </w:numPr>
        <w:spacing w:after="90" w:before="0"/>
      </w:pPr>
      <w:r>
        <w:rPr>
          <w:rFonts w:ascii="Arial" w:cs="Arial" w:eastAsia="Arial" w:hAnsi="Arial"/>
          <w:color w:val="C62828"/>
          <w:sz w:val="22"/>
          <w:szCs w:val="22"/>
        </w:rPr>
        <w:t xml:space="preserve">At 108 beds, this is the smallest scheme in this report — FF&amp;E contract value is modest (~£460k). Flagstaffe should calibrate relationship investment accordingly.</w:t>
      </w:r>
    </w:p>
    <w:p>
      <w:pPr>
        <w:pStyle w:val="ListParagraph"/>
        <w:numPr>
          <w:ilvl w:val="0"/>
          <w:numId w:val="2"/>
        </w:numPr>
        <w:spacing w:after="90" w:before="0"/>
      </w:pPr>
      <w:r>
        <w:rPr>
          <w:rFonts w:ascii="Arial" w:cs="Arial" w:eastAsia="Arial" w:hAnsi="Arial"/>
          <w:color w:val="C62828"/>
          <w:sz w:val="22"/>
          <w:szCs w:val="22"/>
        </w:rPr>
        <w:t xml:space="preserve">The scheme has been through multiple iterations since 2017 — this suggests a developer that moves carefully. The programme may not be as imminent as the consent date implies.</w:t>
      </w:r>
    </w:p>
    <w:p>
      <w:pPr>
        <w:pStyle w:val="ListParagraph"/>
        <w:numPr>
          <w:ilvl w:val="0"/>
          <w:numId w:val="2"/>
        </w:numPr>
        <w:spacing w:after="90" w:before="0"/>
      </w:pPr>
      <w:r>
        <w:rPr>
          <w:rFonts w:ascii="Arial" w:cs="Arial" w:eastAsia="Arial" w:hAnsi="Arial"/>
          <w:color w:val="C62828"/>
          <w:sz w:val="22"/>
          <w:szCs w:val="22"/>
        </w:rPr>
        <w:t xml:space="preserve">The St James ward area has been cited by Exeter City Council as having concentration of PBSA concerns — future schemes in this area may face policy headwinds.</w:t>
      </w:r>
    </w:p>
    <w:p>
      <w:pPr>
        <w:spacing w:after="100" w:before="0"/>
      </w:pPr>
      <w:r>
        <w:rPr>
          <w:rFonts w:ascii="Arial" w:cs="Arial" w:eastAsia="Arial" w:hAnsi="Arial"/>
          <w:color w:val="333333"/>
          <w:sz w:val="22"/>
          <w:szCs w:val="22"/>
        </w:rPr>
        <w:t xml:space="preserve"/>
      </w:r>
    </w:p>
    <w:p>
      <w:pPr>
        <w:pStyle w:val="Heading2"/>
        <w:spacing w:after="80" w:before="280"/>
      </w:pPr>
      <w:r>
        <w:rPr>
          <w:rFonts w:ascii="Arial" w:cs="Arial" w:eastAsia="Arial" w:hAnsi="Arial"/>
          <w:b/>
          <w:bCs/>
          <w:color w:val="1A1A2E"/>
          <w:sz w:val="24"/>
          <w:szCs w:val="24"/>
        </w:rPr>
        <w:t xml:space="preserve">Recommended action</w:t>
      </w:r>
    </w:p>
    <w:p>
      <w:pPr>
        <w:pBdr>
          <w:top w:val="single" w:color="E65100" w:sz="2"/>
          <w:left w:val="single" w:color="E65100" w:sz="16"/>
          <w:bottom w:val="single" w:color="E65100" w:sz="2"/>
          <w:right w:val="none" w:color="FFFFFF" w:sz="0"/>
        </w:pBdr>
        <w:shd w:fill="FFF9C4" w:val="clear"/>
        <w:spacing w:after="160" w:before="160"/>
        <w:ind w:left="360"/>
      </w:pPr>
      <w:r>
        <w:rPr>
          <w:rFonts w:ascii="Arial" w:cs="Arial" w:eastAsia="Arial" w:hAnsi="Arial"/>
          <w:b/>
          <w:bCs/>
          <w:color w:val="E65100"/>
          <w:sz w:val="22"/>
          <w:szCs w:val="22"/>
        </w:rPr>
        <w:t xml:space="preserve">Contact Rok Prop Co directly. The small scale of this project makes it a lower-investment relationship opportunity, but it is a confirmed consent in a good Exeter university location. Approach alongside the larger Exeter schemes (Heavitree Road and Clarendon House) in the same outreach campaign.</w:t>
      </w:r>
    </w:p>
    <w:p>
      <w:pPr>
        <w:spacing w:after="120" w:before="0"/>
      </w:pPr>
      <w:r>
        <w:rPr>
          <w:rFonts w:ascii="Arial" w:cs="Arial" w:eastAsia="Arial" w:hAnsi="Arial"/>
          <w:color w:val="333333"/>
          <w:sz w:val="22"/>
          <w:szCs w:val="22"/>
        </w:rPr>
        <w:t xml:space="preserve"/>
      </w:r>
    </w:p>
    <w:p>
      <w:pPr>
        <w:pStyle w:val="Heading2"/>
        <w:spacing w:after="80" w:before="280"/>
      </w:pPr>
      <w:r>
        <w:rPr>
          <w:rFonts w:ascii="Arial" w:cs="Arial" w:eastAsia="Arial" w:hAnsi="Arial"/>
          <w:b/>
          <w:bCs/>
          <w:color w:val="1A1A2E"/>
          <w:sz w:val="24"/>
          <w:szCs w:val="24"/>
        </w:rPr>
        <w:t xml:space="preserve">Indicative FF&amp;E budget</w:t>
      </w:r>
    </w:p>
    <w:p>
      <w:pPr>
        <w:pBdr>
          <w:top w:val="single" w:color="E65100" w:sz="2"/>
          <w:left w:val="single" w:color="E65100" w:sz="16"/>
          <w:bottom w:val="single" w:color="E65100" w:sz="2"/>
          <w:right w:val="none" w:color="FFFFFF" w:sz="0"/>
        </w:pBdr>
        <w:shd w:fill="FFF9C4" w:val="clear"/>
        <w:spacing w:after="160" w:before="160"/>
        <w:ind w:left="360"/>
      </w:pPr>
      <w:r>
        <w:rPr>
          <w:rFonts w:ascii="Arial" w:cs="Arial" w:eastAsia="Arial" w:hAnsi="Arial"/>
          <w:b/>
          <w:bCs/>
          <w:color w:val="E65100"/>
          <w:sz w:val="22"/>
          <w:szCs w:val="22"/>
        </w:rPr>
        <w:t xml:space="preserve">Room counts are ASSUMED from planning documents. Update the Excel pricing tool (Flagstaffe_Manchester_Pricing_Tool.xlsx) with confirmed room counts when drawings are available.</w:t>
      </w:r>
    </w:p>
    <w:p>
      <w:pPr>
        <w:spacing w:after="80" w:before="0"/>
      </w:pPr>
      <w:r>
        <w:rPr>
          <w:rFonts w:ascii="Arial" w:cs="Arial" w:eastAsia="Arial" w:hAnsi="Arial"/>
          <w:color w:val="333333"/>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29"/>
        <w:gridCol w:w="1173"/>
        <w:gridCol w:w="1444"/>
        <w:gridCol w:w="1624"/>
        <w:gridCol w:w="1356"/>
      </w:tblGrid>
      <w:tr>
        <w:tc>
          <w:tcPr>
            <w:tcW w:type="dxa" w:w="3429"/>
            <w:tcBorders>
              <w:top w:val="single" w:color="DDDDDD" w:sz="1"/>
              <w:left w:val="single" w:color="DDDDDD" w:sz="1"/>
              <w:bottom w:val="single" w:color="DDDDDD" w:sz="1"/>
              <w:right w:val="single" w:color="DDDDDD" w:sz="1"/>
            </w:tcBorders>
            <w:shd w:fill="1A1A2E" w:val="clear"/>
            <w:tcMar>
              <w:top w:type="dxa" w:w="80"/>
              <w:left w:type="dxa" w:w="160"/>
              <w:bottom w:type="dxa" w:w="80"/>
              <w:right w:type="dxa" w:w="160"/>
            </w:tcMar>
          </w:tcPr>
          <w:p>
            <w:pPr>
              <w:spacing w:after="0" w:before="0"/>
              <w:jc w:val="left"/>
            </w:pPr>
            <w:r>
              <w:rPr>
                <w:rFonts w:ascii="Arial" w:cs="Arial" w:eastAsia="Arial" w:hAnsi="Arial"/>
                <w:b/>
                <w:bCs/>
                <w:color w:val="FFFFFF"/>
                <w:sz w:val="20"/>
                <w:szCs w:val="20"/>
              </w:rPr>
              <w:t xml:space="preserve">Room / Unit Type</w:t>
            </w:r>
          </w:p>
        </w:tc>
        <w:tc>
          <w:tcPr>
            <w:tcW w:type="dxa" w:w="1173"/>
            <w:tcBorders>
              <w:top w:val="single" w:color="DDDDDD" w:sz="1"/>
              <w:left w:val="single" w:color="DDDDDD" w:sz="1"/>
              <w:bottom w:val="single" w:color="DDDDDD" w:sz="1"/>
              <w:right w:val="single" w:color="DDDDDD" w:sz="1"/>
            </w:tcBorders>
            <w:shd w:fill="1A1A2E" w:val="clear"/>
            <w:tcMar>
              <w:top w:type="dxa" w:w="80"/>
              <w:left w:type="dxa" w:w="160"/>
              <w:bottom w:type="dxa" w:w="80"/>
              <w:right w:type="dxa" w:w="160"/>
            </w:tcMar>
          </w:tcPr>
          <w:p>
            <w:pPr>
              <w:spacing w:after="0" w:before="0"/>
              <w:jc w:val="right"/>
            </w:pPr>
            <w:r>
              <w:rPr>
                <w:rFonts w:ascii="Arial" w:cs="Arial" w:eastAsia="Arial" w:hAnsi="Arial"/>
                <w:b/>
                <w:bCs/>
                <w:color w:val="FFFFFF"/>
                <w:sz w:val="20"/>
                <w:szCs w:val="20"/>
              </w:rPr>
              <w:t xml:space="preserve">Count</w:t>
            </w:r>
          </w:p>
        </w:tc>
        <w:tc>
          <w:tcPr>
            <w:tcW w:type="dxa" w:w="1444"/>
            <w:tcBorders>
              <w:top w:val="single" w:color="DDDDDD" w:sz="1"/>
              <w:left w:val="single" w:color="DDDDDD" w:sz="1"/>
              <w:bottom w:val="single" w:color="DDDDDD" w:sz="1"/>
              <w:right w:val="single" w:color="DDDDDD" w:sz="1"/>
            </w:tcBorders>
            <w:shd w:fill="1A1A2E" w:val="clear"/>
            <w:tcMar>
              <w:top w:type="dxa" w:w="80"/>
              <w:left w:type="dxa" w:w="160"/>
              <w:bottom w:type="dxa" w:w="80"/>
              <w:right w:type="dxa" w:w="160"/>
            </w:tcMar>
          </w:tcPr>
          <w:p>
            <w:pPr>
              <w:spacing w:after="0" w:before="0"/>
              <w:jc w:val="right"/>
            </w:pPr>
            <w:r>
              <w:rPr>
                <w:rFonts w:ascii="Arial" w:cs="Arial" w:eastAsia="Arial" w:hAnsi="Arial"/>
                <w:b/>
                <w:bCs/>
                <w:color w:val="FFFFFF"/>
                <w:sz w:val="20"/>
                <w:szCs w:val="20"/>
              </w:rPr>
              <w:t xml:space="preserve">Unit Rate</w:t>
            </w:r>
          </w:p>
        </w:tc>
        <w:tc>
          <w:tcPr>
            <w:tcW w:type="dxa" w:w="1624"/>
            <w:tcBorders>
              <w:top w:val="single" w:color="DDDDDD" w:sz="1"/>
              <w:left w:val="single" w:color="DDDDDD" w:sz="1"/>
              <w:bottom w:val="single" w:color="DDDDDD" w:sz="1"/>
              <w:right w:val="single" w:color="DDDDDD" w:sz="1"/>
            </w:tcBorders>
            <w:shd w:fill="1A1A2E" w:val="clear"/>
            <w:tcMar>
              <w:top w:type="dxa" w:w="80"/>
              <w:left w:type="dxa" w:w="160"/>
              <w:bottom w:type="dxa" w:w="80"/>
              <w:right w:type="dxa" w:w="160"/>
            </w:tcMar>
          </w:tcPr>
          <w:p>
            <w:pPr>
              <w:spacing w:after="0" w:before="0"/>
              <w:jc w:val="right"/>
            </w:pPr>
            <w:r>
              <w:rPr>
                <w:rFonts w:ascii="Arial" w:cs="Arial" w:eastAsia="Arial" w:hAnsi="Arial"/>
                <w:b/>
                <w:bCs/>
                <w:color w:val="FFFFFF"/>
                <w:sz w:val="20"/>
                <w:szCs w:val="20"/>
              </w:rPr>
              <w:t xml:space="preserve">Sub-total</w:t>
            </w:r>
          </w:p>
        </w:tc>
        <w:tc>
          <w:tcPr>
            <w:tcW w:type="dxa" w:w="1356"/>
            <w:tcBorders>
              <w:top w:val="single" w:color="DDDDDD" w:sz="1"/>
              <w:left w:val="single" w:color="DDDDDD" w:sz="1"/>
              <w:bottom w:val="single" w:color="DDDDDD" w:sz="1"/>
              <w:right w:val="single" w:color="DDDDDD" w:sz="1"/>
            </w:tcBorders>
            <w:shd w:fill="1A1A2E" w:val="clear"/>
            <w:tcMar>
              <w:top w:type="dxa" w:w="80"/>
              <w:left w:type="dxa" w:w="160"/>
              <w:bottom w:type="dxa" w:w="80"/>
              <w:right w:type="dxa" w:w="160"/>
            </w:tcMar>
          </w:tcPr>
          <w:p>
            <w:pPr>
              <w:spacing w:after="0" w:before="0"/>
              <w:jc w:val="left"/>
            </w:pPr>
            <w:r>
              <w:rPr>
                <w:rFonts w:ascii="Arial" w:cs="Arial" w:eastAsia="Arial" w:hAnsi="Arial"/>
                <w:b/>
                <w:bCs/>
                <w:color w:val="FFFFFF"/>
                <w:sz w:val="20"/>
                <w:szCs w:val="20"/>
              </w:rPr>
              <w:t xml:space="preserve"/>
            </w:r>
          </w:p>
        </w:tc>
      </w:tr>
      <w:tr>
        <w:tc>
          <w:tcPr>
            <w:tcW w:type="dxa" w:w="3429"/>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spacing w:after="0" w:before="0"/>
              <w:jc w:val="left"/>
            </w:pPr>
            <w:r>
              <w:rPr>
                <w:rFonts w:ascii="Arial" w:cs="Arial" w:eastAsia="Arial" w:hAnsi="Arial"/>
                <w:b w:val="false"/>
                <w:bCs w:val="false"/>
                <w:color w:val="333333"/>
                <w:sz w:val="20"/>
                <w:szCs w:val="20"/>
              </w:rPr>
              <w:t xml:space="preserve">Standard Studios</w:t>
            </w:r>
          </w:p>
        </w:tc>
        <w:tc>
          <w:tcPr>
            <w:tcW w:type="dxa" w:w="1173"/>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spacing w:after="0" w:before="0"/>
              <w:jc w:val="right"/>
            </w:pPr>
            <w:r>
              <w:rPr>
                <w:rFonts w:ascii="Arial" w:cs="Arial" w:eastAsia="Arial" w:hAnsi="Arial"/>
                <w:b w:val="false"/>
                <w:bCs w:val="false"/>
                <w:color w:val="333333"/>
                <w:sz w:val="20"/>
                <w:szCs w:val="20"/>
              </w:rPr>
              <w:t xml:space="preserve">108</w:t>
            </w:r>
          </w:p>
        </w:tc>
        <w:tc>
          <w:tcPr>
            <w:tcW w:type="dxa" w:w="1444"/>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spacing w:after="0" w:before="0"/>
              <w:jc w:val="right"/>
            </w:pPr>
            <w:r>
              <w:rPr>
                <w:rFonts w:ascii="Arial" w:cs="Arial" w:eastAsia="Arial" w:hAnsi="Arial"/>
                <w:b w:val="false"/>
                <w:bCs w:val="false"/>
                <w:color w:val="333333"/>
                <w:sz w:val="20"/>
                <w:szCs w:val="20"/>
              </w:rPr>
              <w:t xml:space="preserve">£4,290.50</w:t>
            </w:r>
          </w:p>
        </w:tc>
        <w:tc>
          <w:tcPr>
            <w:tcW w:type="dxa" w:w="1624"/>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spacing w:after="0" w:before="0"/>
              <w:jc w:val="right"/>
            </w:pPr>
            <w:r>
              <w:rPr>
                <w:rFonts w:ascii="Arial" w:cs="Arial" w:eastAsia="Arial" w:hAnsi="Arial"/>
                <w:b w:val="false"/>
                <w:bCs w:val="false"/>
                <w:color w:val="333333"/>
                <w:sz w:val="20"/>
                <w:szCs w:val="20"/>
              </w:rPr>
              <w:t xml:space="preserve">£463,374.00</w:t>
            </w:r>
          </w:p>
        </w:tc>
        <w:tc>
          <w:tcPr>
            <w:tcW w:type="dxa" w:w="1356"/>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spacing w:after="0" w:before="0"/>
              <w:jc w:val="left"/>
            </w:pPr>
            <w:r>
              <w:rPr>
                <w:rFonts w:ascii="Arial" w:cs="Arial" w:eastAsia="Arial" w:hAnsi="Arial"/>
                <w:b w:val="false"/>
                <w:bCs w:val="false"/>
                <w:color w:val="333333"/>
                <w:sz w:val="20"/>
                <w:szCs w:val="20"/>
              </w:rPr>
              <w:t xml:space="preserve"/>
            </w:r>
          </w:p>
        </w:tc>
      </w:tr>
      <w:tr>
        <w:tc>
          <w:tcPr>
            <w:tcW w:type="dxa" w:w="3429"/>
            <w:tcBorders>
              <w:top w:val="single" w:color="DDDDDD" w:sz="1"/>
              <w:left w:val="single" w:color="DDDDDD" w:sz="1"/>
              <w:bottom w:val="single" w:color="DDDDDD" w:sz="1"/>
              <w:right w:val="single" w:color="DDDDDD" w:sz="1"/>
            </w:tcBorders>
            <w:shd w:fill="FFF9E0" w:val="clear"/>
            <w:tcMar>
              <w:top w:type="dxa" w:w="80"/>
              <w:left w:type="dxa" w:w="160"/>
              <w:bottom w:type="dxa" w:w="80"/>
              <w:right w:type="dxa" w:w="160"/>
            </w:tcMar>
          </w:tcPr>
          <w:p>
            <w:pPr>
              <w:spacing w:after="0" w:before="0"/>
              <w:jc w:val="left"/>
            </w:pPr>
            <w:r>
              <w:rPr>
                <w:rFonts w:ascii="Arial" w:cs="Arial" w:eastAsia="Arial" w:hAnsi="Arial"/>
                <w:b w:val="false"/>
                <w:bCs w:val="false"/>
                <w:color w:val="333333"/>
                <w:sz w:val="20"/>
                <w:szCs w:val="20"/>
              </w:rPr>
              <w:t xml:space="preserve">Bedrooms &amp; Studios sub-total</w:t>
            </w:r>
          </w:p>
        </w:tc>
        <w:tc>
          <w:tcPr>
            <w:tcW w:type="dxa" w:w="1173"/>
            <w:tcBorders>
              <w:top w:val="single" w:color="DDDDDD" w:sz="1"/>
              <w:left w:val="single" w:color="DDDDDD" w:sz="1"/>
              <w:bottom w:val="single" w:color="DDDDDD" w:sz="1"/>
              <w:right w:val="single" w:color="DDDDDD" w:sz="1"/>
            </w:tcBorders>
            <w:shd w:fill="FFF9E0" w:val="clear"/>
            <w:tcMar>
              <w:top w:type="dxa" w:w="80"/>
              <w:left w:type="dxa" w:w="160"/>
              <w:bottom w:type="dxa" w:w="80"/>
              <w:right w:type="dxa" w:w="160"/>
            </w:tcMar>
          </w:tcPr>
          <w:p>
            <w:pPr>
              <w:spacing w:after="0" w:before="0"/>
              <w:jc w:val="right"/>
            </w:pPr>
            <w:r>
              <w:rPr>
                <w:rFonts w:ascii="Arial" w:cs="Arial" w:eastAsia="Arial" w:hAnsi="Arial"/>
                <w:b w:val="false"/>
                <w:bCs w:val="false"/>
                <w:color w:val="333333"/>
                <w:sz w:val="20"/>
                <w:szCs w:val="20"/>
              </w:rPr>
              <w:t xml:space="preserve"/>
            </w:r>
          </w:p>
        </w:tc>
        <w:tc>
          <w:tcPr>
            <w:tcW w:type="dxa" w:w="1444"/>
            <w:tcBorders>
              <w:top w:val="single" w:color="DDDDDD" w:sz="1"/>
              <w:left w:val="single" w:color="DDDDDD" w:sz="1"/>
              <w:bottom w:val="single" w:color="DDDDDD" w:sz="1"/>
              <w:right w:val="single" w:color="DDDDDD" w:sz="1"/>
            </w:tcBorders>
            <w:shd w:fill="FFF9E0" w:val="clear"/>
            <w:tcMar>
              <w:top w:type="dxa" w:w="80"/>
              <w:left w:type="dxa" w:w="160"/>
              <w:bottom w:type="dxa" w:w="80"/>
              <w:right w:type="dxa" w:w="160"/>
            </w:tcMar>
          </w:tcPr>
          <w:p>
            <w:pPr>
              <w:spacing w:after="0" w:before="0"/>
              <w:jc w:val="right"/>
            </w:pPr>
            <w:r>
              <w:rPr>
                <w:rFonts w:ascii="Arial" w:cs="Arial" w:eastAsia="Arial" w:hAnsi="Arial"/>
                <w:b w:val="false"/>
                <w:bCs w:val="false"/>
                <w:color w:val="333333"/>
                <w:sz w:val="20"/>
                <w:szCs w:val="20"/>
              </w:rPr>
              <w:t xml:space="preserve"/>
            </w:r>
          </w:p>
        </w:tc>
        <w:tc>
          <w:tcPr>
            <w:tcW w:type="dxa" w:w="1624"/>
            <w:tcBorders>
              <w:top w:val="single" w:color="DDDDDD" w:sz="1"/>
              <w:left w:val="single" w:color="DDDDDD" w:sz="1"/>
              <w:bottom w:val="single" w:color="DDDDDD" w:sz="1"/>
              <w:right w:val="single" w:color="DDDDDD" w:sz="1"/>
            </w:tcBorders>
            <w:shd w:fill="FFF9E0" w:val="clear"/>
            <w:tcMar>
              <w:top w:type="dxa" w:w="80"/>
              <w:left w:type="dxa" w:w="160"/>
              <w:bottom w:type="dxa" w:w="80"/>
              <w:right w:type="dxa" w:w="160"/>
            </w:tcMar>
          </w:tcPr>
          <w:p>
            <w:pPr>
              <w:spacing w:after="0" w:before="0"/>
              <w:jc w:val="right"/>
            </w:pPr>
            <w:r>
              <w:rPr>
                <w:rFonts w:ascii="Arial" w:cs="Arial" w:eastAsia="Arial" w:hAnsi="Arial"/>
                <w:b w:val="false"/>
                <w:bCs w:val="false"/>
                <w:color w:val="333333"/>
                <w:sz w:val="20"/>
                <w:szCs w:val="20"/>
              </w:rPr>
              <w:t xml:space="preserve">£463,374.00</w:t>
            </w:r>
          </w:p>
        </w:tc>
        <w:tc>
          <w:tcPr>
            <w:tcW w:type="dxa" w:w="1356"/>
            <w:tcBorders>
              <w:top w:val="single" w:color="DDDDDD" w:sz="1"/>
              <w:left w:val="single" w:color="DDDDDD" w:sz="1"/>
              <w:bottom w:val="single" w:color="DDDDDD" w:sz="1"/>
              <w:right w:val="single" w:color="DDDDDD" w:sz="1"/>
            </w:tcBorders>
            <w:shd w:fill="FFF9E0" w:val="clear"/>
            <w:tcMar>
              <w:top w:type="dxa" w:w="80"/>
              <w:left w:type="dxa" w:w="160"/>
              <w:bottom w:type="dxa" w:w="80"/>
              <w:right w:type="dxa" w:w="160"/>
            </w:tcMar>
          </w:tcPr>
          <w:p>
            <w:pPr>
              <w:spacing w:after="0" w:before="0"/>
              <w:jc w:val="left"/>
            </w:pPr>
            <w:r>
              <w:rPr>
                <w:rFonts w:ascii="Arial" w:cs="Arial" w:eastAsia="Arial" w:hAnsi="Arial"/>
                <w:b w:val="false"/>
                <w:bCs w:val="false"/>
                <w:color w:val="333333"/>
                <w:sz w:val="20"/>
                <w:szCs w:val="20"/>
              </w:rPr>
              <w:t xml:space="preserve"/>
            </w:r>
          </w:p>
        </w:tc>
      </w:tr>
      <w:tr>
        <w:tc>
          <w:tcPr>
            <w:tcW w:type="dxa" w:w="3429"/>
            <w:tcBorders>
              <w:top w:val="single" w:color="DDDDDD" w:sz="1"/>
              <w:left w:val="single" w:color="DDDDDD" w:sz="1"/>
              <w:bottom w:val="single" w:color="DDDDDD" w:sz="1"/>
              <w:right w:val="single" w:color="DDDDDD" w:sz="1"/>
            </w:tcBorders>
            <w:shd w:fill="FFF9E0" w:val="clear"/>
            <w:tcMar>
              <w:top w:type="dxa" w:w="80"/>
              <w:left w:type="dxa" w:w="160"/>
              <w:bottom w:type="dxa" w:w="80"/>
              <w:right w:type="dxa" w:w="160"/>
            </w:tcMar>
          </w:tcPr>
          <w:p>
            <w:pPr>
              <w:spacing w:after="0" w:before="0"/>
              <w:jc w:val="left"/>
            </w:pPr>
            <w:r>
              <w:rPr>
                <w:rFonts w:ascii="Arial" w:cs="Arial" w:eastAsia="Arial" w:hAnsi="Arial"/>
                <w:b w:val="false"/>
                <w:bCs w:val="false"/>
                <w:color w:val="333333"/>
                <w:sz w:val="20"/>
                <w:szCs w:val="20"/>
              </w:rPr>
              <w:t xml:space="preserve">Project Management / Prelims fee</w:t>
            </w:r>
          </w:p>
        </w:tc>
        <w:tc>
          <w:tcPr>
            <w:tcW w:type="dxa" w:w="1173"/>
            <w:tcBorders>
              <w:top w:val="single" w:color="DDDDDD" w:sz="1"/>
              <w:left w:val="single" w:color="DDDDDD" w:sz="1"/>
              <w:bottom w:val="single" w:color="DDDDDD" w:sz="1"/>
              <w:right w:val="single" w:color="DDDDDD" w:sz="1"/>
            </w:tcBorders>
            <w:shd w:fill="FFF9E0" w:val="clear"/>
            <w:tcMar>
              <w:top w:type="dxa" w:w="80"/>
              <w:left w:type="dxa" w:w="160"/>
              <w:bottom w:type="dxa" w:w="80"/>
              <w:right w:type="dxa" w:w="160"/>
            </w:tcMar>
          </w:tcPr>
          <w:p>
            <w:pPr>
              <w:spacing w:after="0" w:before="0"/>
              <w:jc w:val="right"/>
            </w:pPr>
            <w:r>
              <w:rPr>
                <w:rFonts w:ascii="Arial" w:cs="Arial" w:eastAsia="Arial" w:hAnsi="Arial"/>
                <w:b w:val="false"/>
                <w:bCs w:val="false"/>
                <w:color w:val="333333"/>
                <w:sz w:val="20"/>
                <w:szCs w:val="20"/>
              </w:rPr>
              <w:t xml:space="preserve">108 units</w:t>
            </w:r>
          </w:p>
        </w:tc>
        <w:tc>
          <w:tcPr>
            <w:tcW w:type="dxa" w:w="1444"/>
            <w:tcBorders>
              <w:top w:val="single" w:color="DDDDDD" w:sz="1"/>
              <w:left w:val="single" w:color="DDDDDD" w:sz="1"/>
              <w:bottom w:val="single" w:color="DDDDDD" w:sz="1"/>
              <w:right w:val="single" w:color="DDDDDD" w:sz="1"/>
            </w:tcBorders>
            <w:shd w:fill="FFF9E0" w:val="clear"/>
            <w:tcMar>
              <w:top w:type="dxa" w:w="80"/>
              <w:left w:type="dxa" w:w="160"/>
              <w:bottom w:type="dxa" w:w="80"/>
              <w:right w:type="dxa" w:w="160"/>
            </w:tcMar>
          </w:tcPr>
          <w:p>
            <w:pPr>
              <w:spacing w:after="0" w:before="0"/>
              <w:jc w:val="right"/>
            </w:pPr>
            <w:r>
              <w:rPr>
                <w:rFonts w:ascii="Arial" w:cs="Arial" w:eastAsia="Arial" w:hAnsi="Arial"/>
                <w:b w:val="false"/>
                <w:bCs w:val="false"/>
                <w:color w:val="333333"/>
                <w:sz w:val="20"/>
                <w:szCs w:val="20"/>
              </w:rPr>
              <w:t xml:space="preserve">£68.43</w:t>
            </w:r>
          </w:p>
        </w:tc>
        <w:tc>
          <w:tcPr>
            <w:tcW w:type="dxa" w:w="1624"/>
            <w:tcBorders>
              <w:top w:val="single" w:color="DDDDDD" w:sz="1"/>
              <w:left w:val="single" w:color="DDDDDD" w:sz="1"/>
              <w:bottom w:val="single" w:color="DDDDDD" w:sz="1"/>
              <w:right w:val="single" w:color="DDDDDD" w:sz="1"/>
            </w:tcBorders>
            <w:shd w:fill="FFF9E0" w:val="clear"/>
            <w:tcMar>
              <w:top w:type="dxa" w:w="80"/>
              <w:left w:type="dxa" w:w="160"/>
              <w:bottom w:type="dxa" w:w="80"/>
              <w:right w:type="dxa" w:w="160"/>
            </w:tcMar>
          </w:tcPr>
          <w:p>
            <w:pPr>
              <w:spacing w:after="0" w:before="0"/>
              <w:jc w:val="right"/>
            </w:pPr>
            <w:r>
              <w:rPr>
                <w:rFonts w:ascii="Arial" w:cs="Arial" w:eastAsia="Arial" w:hAnsi="Arial"/>
                <w:b w:val="false"/>
                <w:bCs w:val="false"/>
                <w:color w:val="333333"/>
                <w:sz w:val="20"/>
                <w:szCs w:val="20"/>
              </w:rPr>
              <w:t xml:space="preserve">£7,390.44</w:t>
            </w:r>
          </w:p>
        </w:tc>
        <w:tc>
          <w:tcPr>
            <w:tcW w:type="dxa" w:w="1356"/>
            <w:tcBorders>
              <w:top w:val="single" w:color="DDDDDD" w:sz="1"/>
              <w:left w:val="single" w:color="DDDDDD" w:sz="1"/>
              <w:bottom w:val="single" w:color="DDDDDD" w:sz="1"/>
              <w:right w:val="single" w:color="DDDDDD" w:sz="1"/>
            </w:tcBorders>
            <w:shd w:fill="FFF9E0" w:val="clear"/>
            <w:tcMar>
              <w:top w:type="dxa" w:w="80"/>
              <w:left w:type="dxa" w:w="160"/>
              <w:bottom w:type="dxa" w:w="80"/>
              <w:right w:type="dxa" w:w="160"/>
            </w:tcMar>
          </w:tcPr>
          <w:p>
            <w:pPr>
              <w:spacing w:after="0" w:before="0"/>
              <w:jc w:val="left"/>
            </w:pPr>
            <w:r>
              <w:rPr>
                <w:rFonts w:ascii="Arial" w:cs="Arial" w:eastAsia="Arial" w:hAnsi="Arial"/>
                <w:b w:val="false"/>
                <w:bCs w:val="false"/>
                <w:color w:val="333333"/>
                <w:sz w:val="20"/>
                <w:szCs w:val="20"/>
              </w:rPr>
              <w:t xml:space="preserve"/>
            </w:r>
          </w:p>
        </w:tc>
      </w:tr>
      <w:tr>
        <w:tc>
          <w:tcPr>
            <w:tcW w:type="dxa" w:w="3429"/>
            <w:tcBorders>
              <w:top w:val="single" w:color="DDDDDD" w:sz="1"/>
              <w:left w:val="single" w:color="DDDDDD" w:sz="1"/>
              <w:bottom w:val="single" w:color="DDDDDD" w:sz="1"/>
              <w:right w:val="single" w:color="DDDDDD" w:sz="1"/>
            </w:tcBorders>
            <w:shd w:fill="FFF9E0" w:val="clear"/>
            <w:tcMar>
              <w:top w:type="dxa" w:w="80"/>
              <w:left w:type="dxa" w:w="160"/>
              <w:bottom w:type="dxa" w:w="80"/>
              <w:right w:type="dxa" w:w="160"/>
            </w:tcMar>
          </w:tcPr>
          <w:p>
            <w:pPr>
              <w:spacing w:after="0" w:before="0"/>
              <w:jc w:val="left"/>
            </w:pPr>
            <w:r>
              <w:rPr>
                <w:rFonts w:ascii="Arial" w:cs="Arial" w:eastAsia="Arial" w:hAnsi="Arial"/>
                <w:b w:val="false"/>
                <w:bCs w:val="false"/>
                <w:color w:val="333333"/>
                <w:sz w:val="20"/>
                <w:szCs w:val="20"/>
              </w:rPr>
              <w:t xml:space="preserve">SUB-TOTAL</w:t>
            </w:r>
          </w:p>
        </w:tc>
        <w:tc>
          <w:tcPr>
            <w:tcW w:type="dxa" w:w="1173"/>
            <w:tcBorders>
              <w:top w:val="single" w:color="DDDDDD" w:sz="1"/>
              <w:left w:val="single" w:color="DDDDDD" w:sz="1"/>
              <w:bottom w:val="single" w:color="DDDDDD" w:sz="1"/>
              <w:right w:val="single" w:color="DDDDDD" w:sz="1"/>
            </w:tcBorders>
            <w:shd w:fill="FFF9E0" w:val="clear"/>
            <w:tcMar>
              <w:top w:type="dxa" w:w="80"/>
              <w:left w:type="dxa" w:w="160"/>
              <w:bottom w:type="dxa" w:w="80"/>
              <w:right w:type="dxa" w:w="160"/>
            </w:tcMar>
          </w:tcPr>
          <w:p>
            <w:pPr>
              <w:spacing w:after="0" w:before="0"/>
              <w:jc w:val="right"/>
            </w:pPr>
            <w:r>
              <w:rPr>
                <w:rFonts w:ascii="Arial" w:cs="Arial" w:eastAsia="Arial" w:hAnsi="Arial"/>
                <w:b w:val="false"/>
                <w:bCs w:val="false"/>
                <w:color w:val="333333"/>
                <w:sz w:val="20"/>
                <w:szCs w:val="20"/>
              </w:rPr>
              <w:t xml:space="preserve"/>
            </w:r>
          </w:p>
        </w:tc>
        <w:tc>
          <w:tcPr>
            <w:tcW w:type="dxa" w:w="1444"/>
            <w:tcBorders>
              <w:top w:val="single" w:color="DDDDDD" w:sz="1"/>
              <w:left w:val="single" w:color="DDDDDD" w:sz="1"/>
              <w:bottom w:val="single" w:color="DDDDDD" w:sz="1"/>
              <w:right w:val="single" w:color="DDDDDD" w:sz="1"/>
            </w:tcBorders>
            <w:shd w:fill="FFF9E0" w:val="clear"/>
            <w:tcMar>
              <w:top w:type="dxa" w:w="80"/>
              <w:left w:type="dxa" w:w="160"/>
              <w:bottom w:type="dxa" w:w="80"/>
              <w:right w:type="dxa" w:w="160"/>
            </w:tcMar>
          </w:tcPr>
          <w:p>
            <w:pPr>
              <w:spacing w:after="0" w:before="0"/>
              <w:jc w:val="right"/>
            </w:pPr>
            <w:r>
              <w:rPr>
                <w:rFonts w:ascii="Arial" w:cs="Arial" w:eastAsia="Arial" w:hAnsi="Arial"/>
                <w:b w:val="false"/>
                <w:bCs w:val="false"/>
                <w:color w:val="333333"/>
                <w:sz w:val="20"/>
                <w:szCs w:val="20"/>
              </w:rPr>
              <w:t xml:space="preserve"/>
            </w:r>
          </w:p>
        </w:tc>
        <w:tc>
          <w:tcPr>
            <w:tcW w:type="dxa" w:w="1624"/>
            <w:tcBorders>
              <w:top w:val="single" w:color="DDDDDD" w:sz="1"/>
              <w:left w:val="single" w:color="DDDDDD" w:sz="1"/>
              <w:bottom w:val="single" w:color="DDDDDD" w:sz="1"/>
              <w:right w:val="single" w:color="DDDDDD" w:sz="1"/>
            </w:tcBorders>
            <w:shd w:fill="FFF9E0" w:val="clear"/>
            <w:tcMar>
              <w:top w:type="dxa" w:w="80"/>
              <w:left w:type="dxa" w:w="160"/>
              <w:bottom w:type="dxa" w:w="80"/>
              <w:right w:type="dxa" w:w="160"/>
            </w:tcMar>
          </w:tcPr>
          <w:p>
            <w:pPr>
              <w:spacing w:after="0" w:before="0"/>
              <w:jc w:val="right"/>
            </w:pPr>
            <w:r>
              <w:rPr>
                <w:rFonts w:ascii="Arial" w:cs="Arial" w:eastAsia="Arial" w:hAnsi="Arial"/>
                <w:b w:val="false"/>
                <w:bCs w:val="false"/>
                <w:color w:val="333333"/>
                <w:sz w:val="20"/>
                <w:szCs w:val="20"/>
              </w:rPr>
              <w:t xml:space="preserve">£470,764.44</w:t>
            </w:r>
          </w:p>
        </w:tc>
        <w:tc>
          <w:tcPr>
            <w:tcW w:type="dxa" w:w="1356"/>
            <w:tcBorders>
              <w:top w:val="single" w:color="DDDDDD" w:sz="1"/>
              <w:left w:val="single" w:color="DDDDDD" w:sz="1"/>
              <w:bottom w:val="single" w:color="DDDDDD" w:sz="1"/>
              <w:right w:val="single" w:color="DDDDDD" w:sz="1"/>
            </w:tcBorders>
            <w:shd w:fill="FFF9E0" w:val="clear"/>
            <w:tcMar>
              <w:top w:type="dxa" w:w="80"/>
              <w:left w:type="dxa" w:w="160"/>
              <w:bottom w:type="dxa" w:w="80"/>
              <w:right w:type="dxa" w:w="160"/>
            </w:tcMar>
          </w:tcPr>
          <w:p>
            <w:pPr>
              <w:spacing w:after="0" w:before="0"/>
              <w:jc w:val="left"/>
            </w:pPr>
            <w:r>
              <w:rPr>
                <w:rFonts w:ascii="Arial" w:cs="Arial" w:eastAsia="Arial" w:hAnsi="Arial"/>
                <w:b w:val="false"/>
                <w:bCs w:val="false"/>
                <w:color w:val="333333"/>
                <w:sz w:val="20"/>
                <w:szCs w:val="20"/>
              </w:rPr>
              <w:t xml:space="preserve"/>
            </w:r>
          </w:p>
        </w:tc>
      </w:tr>
      <w:tr>
        <w:tc>
          <w:tcPr>
            <w:tcW w:type="dxa" w:w="3429"/>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spacing w:after="0" w:before="0"/>
              <w:jc w:val="left"/>
            </w:pPr>
            <w:r>
              <w:rPr>
                <w:rFonts w:ascii="Arial" w:cs="Arial" w:eastAsia="Arial" w:hAnsi="Arial"/>
                <w:b w:val="false"/>
                <w:bCs w:val="false"/>
                <w:color w:val="333333"/>
                <w:sz w:val="20"/>
                <w:szCs w:val="20"/>
              </w:rPr>
              <w:t xml:space="preserve">2.5% MCD Discount</w:t>
            </w:r>
          </w:p>
        </w:tc>
        <w:tc>
          <w:tcPr>
            <w:tcW w:type="dxa" w:w="1173"/>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spacing w:after="0" w:before="0"/>
              <w:jc w:val="right"/>
            </w:pPr>
            <w:r>
              <w:rPr>
                <w:rFonts w:ascii="Arial" w:cs="Arial" w:eastAsia="Arial" w:hAnsi="Arial"/>
                <w:b w:val="false"/>
                <w:bCs w:val="false"/>
                <w:color w:val="333333"/>
                <w:sz w:val="20"/>
                <w:szCs w:val="20"/>
              </w:rPr>
              <w:t xml:space="preserve"/>
            </w:r>
          </w:p>
        </w:tc>
        <w:tc>
          <w:tcPr>
            <w:tcW w:type="dxa" w:w="1444"/>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spacing w:after="0" w:before="0"/>
              <w:jc w:val="right"/>
            </w:pPr>
            <w:r>
              <w:rPr>
                <w:rFonts w:ascii="Arial" w:cs="Arial" w:eastAsia="Arial" w:hAnsi="Arial"/>
                <w:b w:val="false"/>
                <w:bCs w:val="false"/>
                <w:color w:val="333333"/>
                <w:sz w:val="20"/>
                <w:szCs w:val="20"/>
              </w:rPr>
              <w:t xml:space="preserve"/>
            </w:r>
          </w:p>
        </w:tc>
        <w:tc>
          <w:tcPr>
            <w:tcW w:type="dxa" w:w="1624"/>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spacing w:after="0" w:before="0"/>
              <w:jc w:val="right"/>
            </w:pPr>
            <w:r>
              <w:rPr>
                <w:rFonts w:ascii="Arial" w:cs="Arial" w:eastAsia="Arial" w:hAnsi="Arial"/>
                <w:b w:val="false"/>
                <w:bCs w:val="false"/>
                <w:color w:val="333333"/>
                <w:sz w:val="20"/>
                <w:szCs w:val="20"/>
              </w:rPr>
              <w:t xml:space="preserve">-£11,769.11</w:t>
            </w:r>
          </w:p>
        </w:tc>
        <w:tc>
          <w:tcPr>
            <w:tcW w:type="dxa" w:w="1356"/>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spacing w:after="0" w:before="0"/>
              <w:jc w:val="left"/>
            </w:pPr>
            <w:r>
              <w:rPr>
                <w:rFonts w:ascii="Arial" w:cs="Arial" w:eastAsia="Arial" w:hAnsi="Arial"/>
                <w:b w:val="false"/>
                <w:bCs w:val="false"/>
                <w:color w:val="333333"/>
                <w:sz w:val="20"/>
                <w:szCs w:val="20"/>
              </w:rPr>
              <w:t xml:space="preserve"/>
            </w:r>
          </w:p>
        </w:tc>
      </w:tr>
      <w:tr>
        <w:tc>
          <w:tcPr>
            <w:tcW w:type="dxa" w:w="6046"/>
            <w:gridSpan w:val="3"/>
            <w:tcBorders>
              <w:top w:val="single" w:color="1A1A2E" w:sz="1"/>
              <w:left w:val="single" w:color="1A1A2E" w:sz="1"/>
              <w:bottom w:val="single" w:color="1A1A2E" w:sz="1"/>
              <w:right w:val="single" w:color="1A1A2E" w:sz="1"/>
            </w:tcBorders>
            <w:shd w:fill="1A1A2E" w:val="clear"/>
            <w:tcMar>
              <w:top w:type="dxa" w:w="100"/>
              <w:left w:type="dxa" w:w="160"/>
              <w:bottom w:type="dxa" w:w="100"/>
              <w:right w:type="dxa" w:w="160"/>
            </w:tcMar>
          </w:tcPr>
          <w:p>
            <w:pPr>
              <w:spacing w:after="0" w:before="0"/>
            </w:pPr>
            <w:r>
              <w:rPr>
                <w:rFonts w:ascii="Arial" w:cs="Arial" w:eastAsia="Arial" w:hAnsi="Arial"/>
                <w:b/>
                <w:bCs/>
                <w:color w:val="FFFFFF"/>
                <w:sz w:val="22"/>
                <w:szCs w:val="22"/>
              </w:rPr>
              <w:t xml:space="preserve">INDICATIVE TOTAL (excl. VAT)</w:t>
            </w:r>
          </w:p>
        </w:tc>
        <w:tc>
          <w:tcPr>
            <w:tcW w:type="dxa" w:w="2980"/>
            <w:gridSpan w:val="2"/>
            <w:tcBorders>
              <w:top w:val="single" w:color="1A1A2E" w:sz="1"/>
              <w:left w:val="single" w:color="1A1A2E" w:sz="1"/>
              <w:bottom w:val="single" w:color="1A1A2E" w:sz="1"/>
              <w:right w:val="single" w:color="1A1A2E" w:sz="1"/>
            </w:tcBorders>
            <w:shd w:fill="E8C547" w:val="clear"/>
            <w:tcMar>
              <w:top w:type="dxa" w:w="100"/>
              <w:left w:type="dxa" w:w="160"/>
              <w:bottom w:type="dxa" w:w="100"/>
              <w:right w:type="dxa" w:w="160"/>
            </w:tcMar>
          </w:tcPr>
          <w:p>
            <w:pPr>
              <w:spacing w:after="0" w:before="0"/>
              <w:jc w:val="right"/>
            </w:pPr>
            <w:r>
              <w:rPr>
                <w:rFonts w:ascii="Arial" w:cs="Arial" w:eastAsia="Arial" w:hAnsi="Arial"/>
                <w:b/>
                <w:bCs/>
                <w:color w:val="1A1A2E"/>
                <w:sz w:val="22"/>
                <w:szCs w:val="22"/>
              </w:rPr>
              <w:t xml:space="preserve">£458,995.33</w:t>
            </w:r>
          </w:p>
        </w:tc>
      </w:tr>
      <w:tr>
        <w:tc>
          <w:tcPr>
            <w:tcW w:type="dxa" w:w="3429"/>
            <w:tcBorders>
              <w:top w:val="single" w:color="DDDDDD" w:sz="1"/>
              <w:left w:val="single" w:color="DDDDDD" w:sz="1"/>
              <w:bottom w:val="single" w:color="DDDDDD" w:sz="1"/>
              <w:right w:val="single" w:color="DDDDDD" w:sz="1"/>
            </w:tcBorders>
            <w:shd w:fill="F7F5F0" w:val="clear"/>
            <w:tcMar>
              <w:top w:type="dxa" w:w="80"/>
              <w:left w:type="dxa" w:w="160"/>
              <w:bottom w:type="dxa" w:w="80"/>
              <w:right w:type="dxa" w:w="160"/>
            </w:tcMar>
          </w:tcPr>
          <w:p>
            <w:pPr>
              <w:spacing w:after="0" w:before="0"/>
              <w:jc w:val="left"/>
            </w:pPr>
            <w:r>
              <w:rPr>
                <w:rFonts w:ascii="Arial" w:cs="Arial" w:eastAsia="Arial" w:hAnsi="Arial"/>
                <w:b w:val="false"/>
                <w:bCs w:val="false"/>
                <w:color w:val="333333"/>
                <w:sz w:val="20"/>
                <w:szCs w:val="20"/>
              </w:rPr>
              <w:t xml:space="preserve">Indicative cost per bedroom</w:t>
            </w:r>
          </w:p>
        </w:tc>
        <w:tc>
          <w:tcPr>
            <w:tcW w:type="dxa" w:w="1173"/>
            <w:tcBorders>
              <w:top w:val="single" w:color="DDDDDD" w:sz="1"/>
              <w:left w:val="single" w:color="DDDDDD" w:sz="1"/>
              <w:bottom w:val="single" w:color="DDDDDD" w:sz="1"/>
              <w:right w:val="single" w:color="DDDDDD" w:sz="1"/>
            </w:tcBorders>
            <w:shd w:fill="F7F5F0" w:val="clear"/>
            <w:tcMar>
              <w:top w:type="dxa" w:w="80"/>
              <w:left w:type="dxa" w:w="160"/>
              <w:bottom w:type="dxa" w:w="80"/>
              <w:right w:type="dxa" w:w="160"/>
            </w:tcMar>
          </w:tcPr>
          <w:p>
            <w:pPr>
              <w:spacing w:after="0" w:before="0"/>
              <w:jc w:val="right"/>
            </w:pPr>
            <w:r>
              <w:rPr>
                <w:rFonts w:ascii="Arial" w:cs="Arial" w:eastAsia="Arial" w:hAnsi="Arial"/>
                <w:b w:val="false"/>
                <w:bCs w:val="false"/>
                <w:color w:val="333333"/>
                <w:sz w:val="20"/>
                <w:szCs w:val="20"/>
              </w:rPr>
              <w:t xml:space="preserve"/>
            </w:r>
          </w:p>
        </w:tc>
        <w:tc>
          <w:tcPr>
            <w:tcW w:type="dxa" w:w="1444"/>
            <w:tcBorders>
              <w:top w:val="single" w:color="DDDDDD" w:sz="1"/>
              <w:left w:val="single" w:color="DDDDDD" w:sz="1"/>
              <w:bottom w:val="single" w:color="DDDDDD" w:sz="1"/>
              <w:right w:val="single" w:color="DDDDDD" w:sz="1"/>
            </w:tcBorders>
            <w:shd w:fill="F7F5F0" w:val="clear"/>
            <w:tcMar>
              <w:top w:type="dxa" w:w="80"/>
              <w:left w:type="dxa" w:w="160"/>
              <w:bottom w:type="dxa" w:w="80"/>
              <w:right w:type="dxa" w:w="160"/>
            </w:tcMar>
          </w:tcPr>
          <w:p>
            <w:pPr>
              <w:spacing w:after="0" w:before="0"/>
              <w:jc w:val="right"/>
            </w:pPr>
            <w:r>
              <w:rPr>
                <w:rFonts w:ascii="Arial" w:cs="Arial" w:eastAsia="Arial" w:hAnsi="Arial"/>
                <w:b w:val="false"/>
                <w:bCs w:val="false"/>
                <w:color w:val="333333"/>
                <w:sz w:val="20"/>
                <w:szCs w:val="20"/>
              </w:rPr>
              <w:t xml:space="preserve"/>
            </w:r>
          </w:p>
        </w:tc>
        <w:tc>
          <w:tcPr>
            <w:tcW w:type="dxa" w:w="1624"/>
            <w:tcBorders>
              <w:top w:val="single" w:color="DDDDDD" w:sz="1"/>
              <w:left w:val="single" w:color="DDDDDD" w:sz="1"/>
              <w:bottom w:val="single" w:color="DDDDDD" w:sz="1"/>
              <w:right w:val="single" w:color="DDDDDD" w:sz="1"/>
            </w:tcBorders>
            <w:shd w:fill="F7F5F0" w:val="clear"/>
            <w:tcMar>
              <w:top w:type="dxa" w:w="80"/>
              <w:left w:type="dxa" w:w="160"/>
              <w:bottom w:type="dxa" w:w="80"/>
              <w:right w:type="dxa" w:w="160"/>
            </w:tcMar>
          </w:tcPr>
          <w:p>
            <w:pPr>
              <w:spacing w:after="0" w:before="0"/>
              <w:jc w:val="right"/>
            </w:pPr>
            <w:r>
              <w:rPr>
                <w:rFonts w:ascii="Arial" w:cs="Arial" w:eastAsia="Arial" w:hAnsi="Arial"/>
                <w:b w:val="false"/>
                <w:bCs w:val="false"/>
                <w:color w:val="333333"/>
                <w:sz w:val="20"/>
                <w:szCs w:val="20"/>
              </w:rPr>
              <w:t xml:space="preserve">£4,290.50</w:t>
            </w:r>
          </w:p>
        </w:tc>
        <w:tc>
          <w:tcPr>
            <w:tcW w:type="dxa" w:w="1356"/>
            <w:tcBorders>
              <w:top w:val="single" w:color="DDDDDD" w:sz="1"/>
              <w:left w:val="single" w:color="DDDDDD" w:sz="1"/>
              <w:bottom w:val="single" w:color="DDDDDD" w:sz="1"/>
              <w:right w:val="single" w:color="DDDDDD" w:sz="1"/>
            </w:tcBorders>
            <w:shd w:fill="F7F5F0" w:val="clear"/>
            <w:tcMar>
              <w:top w:type="dxa" w:w="80"/>
              <w:left w:type="dxa" w:w="160"/>
              <w:bottom w:type="dxa" w:w="80"/>
              <w:right w:type="dxa" w:w="160"/>
            </w:tcMar>
          </w:tcPr>
          <w:p>
            <w:pPr>
              <w:spacing w:after="0" w:before="0"/>
              <w:jc w:val="left"/>
            </w:pPr>
            <w:r>
              <w:rPr>
                <w:rFonts w:ascii="Arial" w:cs="Arial" w:eastAsia="Arial" w:hAnsi="Arial"/>
                <w:b w:val="false"/>
                <w:bCs w:val="false"/>
                <w:color w:val="333333"/>
                <w:sz w:val="20"/>
                <w:szCs w:val="20"/>
              </w:rPr>
              <w:t xml:space="preserve"/>
            </w:r>
          </w:p>
        </w:tc>
      </w:tr>
    </w:tbl>
    <w:p>
      <w:pPr>
        <w:spacing w:after="80" w:before="0"/>
      </w:pPr>
      <w:r>
        <w:rPr>
          <w:rFonts w:ascii="Arial" w:cs="Arial" w:eastAsia="Arial" w:hAnsi="Arial"/>
          <w:color w:val="333333"/>
          <w:sz w:val="22"/>
          <w:szCs w:val="22"/>
        </w:rPr>
        <w:t xml:space="preserve"/>
      </w:r>
    </w:p>
    <w:p>
      <w:pPr>
        <w:pStyle w:val="Heading2"/>
        <w:spacing w:after="80" w:before="280"/>
      </w:pPr>
      <w:r>
        <w:rPr>
          <w:rFonts w:ascii="Arial" w:cs="Arial" w:eastAsia="Arial" w:hAnsi="Arial"/>
          <w:b/>
          <w:bCs/>
          <w:color w:val="1A1A2E"/>
          <w:sz w:val="24"/>
          <w:szCs w:val="24"/>
        </w:rPr>
        <w:t xml:space="preserve">Assumed room split (basis of estimate)</w:t>
      </w:r>
    </w:p>
    <w:p>
      <w:pPr>
        <w:tabs>
          <w:tab w:val="left" w:pos="2800"/>
        </w:tabs>
        <w:spacing w:after="80" w:before="0"/>
      </w:pPr>
      <w:r>
        <w:rPr>
          <w:rFonts w:ascii="Arial" w:cs="Arial" w:eastAsia="Arial" w:hAnsi="Arial"/>
          <w:b/>
          <w:bCs/>
          <w:color w:val="1A1A2E"/>
          <w:sz w:val="22"/>
          <w:szCs w:val="22"/>
        </w:rPr>
        <w:t xml:space="preserve">Standard Studios (assumed)</w:t>
      </w:r>
      <w:r>
        <w:rPr>
          <w:rFonts w:ascii="Arial" w:cs="Arial" w:eastAsia="Arial" w:hAnsi="Arial"/>
        </w:rPr>
        <w:t xml:space="preserve">	</w:t>
      </w:r>
      <w:r>
        <w:rPr>
          <w:rFonts w:ascii="Arial" w:cs="Arial" w:eastAsia="Arial" w:hAnsi="Arial"/>
          <w:b w:val="false"/>
          <w:bCs w:val="false"/>
          <w:color w:val="333333"/>
          <w:sz w:val="22"/>
          <w:szCs w:val="22"/>
        </w:rPr>
        <w:t xml:space="preserve">108</w:t>
      </w:r>
    </w:p>
    <w:p>
      <w:pPr>
        <w:spacing w:after="80" w:before="0"/>
      </w:pPr>
      <w:r>
        <w:rPr>
          <w:rFonts w:ascii="Arial" w:cs="Arial" w:eastAsia="Arial" w:hAnsi="Arial"/>
          <w:color w:val="333333"/>
          <w:sz w:val="22"/>
          <w:szCs w:val="22"/>
        </w:rPr>
        <w:t xml:space="preserve"/>
      </w:r>
    </w:p>
    <w:p>
      <w:pPr>
        <w:spacing w:after="150" w:before="0"/>
      </w:pPr>
      <w:r>
        <w:rPr>
          <w:rFonts w:ascii="Arial" w:cs="Arial" w:eastAsia="Arial" w:hAnsi="Arial"/>
          <w:color w:val="333333"/>
          <w:sz w:val="22"/>
          <w:szCs w:val="22"/>
        </w:rPr>
        <w:t xml:space="preserve">108 self-contained studios (Sui Generis). No cluster KLDs. Ground floor cafe/restaurant (Class E(b)) — FF&amp;E scope is purely bedrooms and studios.</w:t>
      </w:r>
    </w:p>
    <w:p>
      <w:pPr>
        <w:spacing w:after="120" w:before="0"/>
      </w:pPr>
      <w:r>
        <w:rPr>
          <w:rFonts w:ascii="Arial" w:cs="Arial" w:eastAsia="Arial" w:hAnsi="Arial"/>
          <w:color w:val="333333"/>
          <w:sz w:val="22"/>
          <w:szCs w:val="22"/>
        </w:rPr>
        <w:t xml:space="preserve"/>
      </w:r>
    </w:p>
    <w:p>
      <w:pPr>
        <w:pBdr>
          <w:bottom w:val="single" w:color="E8C547" w:sz="4"/>
        </w:pBdr>
        <w:spacing w:after="80" w:before="80"/>
      </w:pPr>
      <w:r>
        <w:rPr>
          <w:rFonts w:ascii="Arial" w:cs="Arial" w:eastAsia="Arial" w:hAnsi="Arial"/>
          <w:color w:val="333333"/>
          <w:sz w:val="22"/>
          <w:szCs w:val="22"/>
        </w:rPr>
        <w:t xml:space="preserve"/>
      </w:r>
    </w:p>
    <w:p>
      <w:r>
        <w:br w:type="page"/>
      </w:r>
    </w:p>
    <w:p>
      <w:pPr>
        <w:pStyle w:val="Heading1"/>
        <w:pBdr>
          <w:bottom w:val="single" w:color="E8C547" w:sz="10" w:space="4"/>
        </w:pBdr>
        <w:spacing w:after="160" w:before="400"/>
      </w:pPr>
      <w:r>
        <w:rPr>
          <w:rFonts w:ascii="Arial" w:cs="Arial" w:eastAsia="Arial" w:hAnsi="Arial"/>
          <w:b/>
          <w:bCs/>
          <w:color w:val="1A1A2E"/>
          <w:sz w:val="32"/>
          <w:szCs w:val="32"/>
        </w:rPr>
        <w:t xml:space="preserve">Terms, Conditions &amp; Basis of Estimate</w:t>
      </w:r>
    </w:p>
    <w:p>
      <w:pPr>
        <w:tabs>
          <w:tab w:val="left" w:pos="2800"/>
        </w:tabs>
        <w:spacing w:after="80" w:before="0"/>
      </w:pPr>
      <w:r>
        <w:rPr>
          <w:rFonts w:ascii="Arial" w:cs="Arial" w:eastAsia="Arial" w:hAnsi="Arial"/>
          <w:b/>
          <w:bCs/>
          <w:color w:val="1A1A2E"/>
          <w:sz w:val="22"/>
          <w:szCs w:val="22"/>
        </w:rPr>
        <w:t xml:space="preserve">Validity</w:t>
      </w:r>
      <w:r>
        <w:rPr>
          <w:rFonts w:ascii="Arial" w:cs="Arial" w:eastAsia="Arial" w:hAnsi="Arial"/>
        </w:rPr>
        <w:t xml:space="preserve">	</w:t>
      </w:r>
      <w:r>
        <w:rPr>
          <w:rFonts w:ascii="Arial" w:cs="Arial" w:eastAsia="Arial" w:hAnsi="Arial"/>
          <w:b w:val="false"/>
          <w:bCs w:val="false"/>
          <w:color w:val="333333"/>
          <w:sz w:val="22"/>
          <w:szCs w:val="22"/>
        </w:rPr>
        <w:t xml:space="preserve">Indicative budget valid for 60 days for internal planning purposes only. Not a formal quotation. Must not be presented to clients or third parties without updating from confirmed drawings.</w:t>
      </w:r>
    </w:p>
    <w:p>
      <w:pPr>
        <w:spacing w:after="60" w:before="0"/>
      </w:pPr>
      <w:r>
        <w:rPr>
          <w:rFonts w:ascii="Arial" w:cs="Arial" w:eastAsia="Arial" w:hAnsi="Arial"/>
          <w:color w:val="333333"/>
          <w:sz w:val="22"/>
          <w:szCs w:val="22"/>
        </w:rPr>
        <w:t xml:space="preserve"/>
      </w:r>
    </w:p>
    <w:p>
      <w:pPr>
        <w:tabs>
          <w:tab w:val="left" w:pos="2800"/>
        </w:tabs>
        <w:spacing w:after="80" w:before="0"/>
      </w:pPr>
      <w:r>
        <w:rPr>
          <w:rFonts w:ascii="Arial" w:cs="Arial" w:eastAsia="Arial" w:hAnsi="Arial"/>
          <w:b/>
          <w:bCs/>
          <w:color w:val="1A1A2E"/>
          <w:sz w:val="22"/>
          <w:szCs w:val="22"/>
        </w:rPr>
        <w:t xml:space="preserve">Rate source</w:t>
      </w:r>
      <w:r>
        <w:rPr>
          <w:rFonts w:ascii="Arial" w:cs="Arial" w:eastAsia="Arial" w:hAnsi="Arial"/>
        </w:rPr>
        <w:t xml:space="preserve">	</w:t>
      </w:r>
      <w:r>
        <w:rPr>
          <w:rFonts w:ascii="Arial" w:cs="Arial" w:eastAsia="Arial" w:hAnsi="Arial"/>
          <w:b w:val="false"/>
          <w:bCs w:val="false"/>
          <w:color w:val="333333"/>
          <w:sz w:val="22"/>
          <w:szCs w:val="22"/>
        </w:rPr>
        <w:t xml:space="preserve">Flag22167 Rev1, Stafford Street, Wolverhampton (Winvic), 13 April 2026. Kronospan Band A specification.</w:t>
      </w:r>
    </w:p>
    <w:p>
      <w:pPr>
        <w:spacing w:after="60" w:before="0"/>
      </w:pPr>
      <w:r>
        <w:rPr>
          <w:rFonts w:ascii="Arial" w:cs="Arial" w:eastAsia="Arial" w:hAnsi="Arial"/>
          <w:color w:val="333333"/>
          <w:sz w:val="22"/>
          <w:szCs w:val="22"/>
        </w:rPr>
        <w:t xml:space="preserve"/>
      </w:r>
    </w:p>
    <w:p>
      <w:pPr>
        <w:tabs>
          <w:tab w:val="left" w:pos="2800"/>
        </w:tabs>
        <w:spacing w:after="80" w:before="0"/>
      </w:pPr>
      <w:r>
        <w:rPr>
          <w:rFonts w:ascii="Arial" w:cs="Arial" w:eastAsia="Arial" w:hAnsi="Arial"/>
          <w:b/>
          <w:bCs/>
          <w:color w:val="1A1A2E"/>
          <w:sz w:val="22"/>
          <w:szCs w:val="22"/>
        </w:rPr>
        <w:t xml:space="preserve">Inflation</w:t>
      </w:r>
      <w:r>
        <w:rPr>
          <w:rFonts w:ascii="Arial" w:cs="Arial" w:eastAsia="Arial" w:hAnsi="Arial"/>
        </w:rPr>
        <w:t xml:space="preserve">	</w:t>
      </w:r>
      <w:r>
        <w:rPr>
          <w:rFonts w:ascii="Arial" w:cs="Arial" w:eastAsia="Arial" w:hAnsi="Arial"/>
          <w:b w:val="false"/>
          <w:bCs w:val="false"/>
          <w:color w:val="333333"/>
          <w:sz w:val="22"/>
          <w:szCs w:val="22"/>
        </w:rPr>
        <w:t xml:space="preserve">Rates include inflation to Jan-27 start. Schemes starting after Jan-27 require an inflation adjustment.</w:t>
      </w:r>
    </w:p>
    <w:p>
      <w:pPr>
        <w:spacing w:after="60" w:before="0"/>
      </w:pPr>
      <w:r>
        <w:rPr>
          <w:rFonts w:ascii="Arial" w:cs="Arial" w:eastAsia="Arial" w:hAnsi="Arial"/>
          <w:color w:val="333333"/>
          <w:sz w:val="22"/>
          <w:szCs w:val="22"/>
        </w:rPr>
        <w:t xml:space="preserve"/>
      </w:r>
    </w:p>
    <w:p>
      <w:pPr>
        <w:tabs>
          <w:tab w:val="left" w:pos="2800"/>
        </w:tabs>
        <w:spacing w:after="80" w:before="0"/>
      </w:pPr>
      <w:r>
        <w:rPr>
          <w:rFonts w:ascii="Arial" w:cs="Arial" w:eastAsia="Arial" w:hAnsi="Arial"/>
          <w:b/>
          <w:bCs/>
          <w:color w:val="1A1A2E"/>
          <w:sz w:val="22"/>
          <w:szCs w:val="22"/>
        </w:rPr>
        <w:t xml:space="preserve">Room counts</w:t>
      </w:r>
      <w:r>
        <w:rPr>
          <w:rFonts w:ascii="Arial" w:cs="Arial" w:eastAsia="Arial" w:hAnsi="Arial"/>
        </w:rPr>
        <w:t xml:space="preserve">	</w:t>
      </w:r>
      <w:r>
        <w:rPr>
          <w:rFonts w:ascii="Arial" w:cs="Arial" w:eastAsia="Arial" w:hAnsi="Arial"/>
          <w:b w:val="false"/>
          <w:bCs w:val="false"/>
          <w:color w:val="333333"/>
          <w:sz w:val="22"/>
          <w:szCs w:val="22"/>
        </w:rPr>
        <w:t xml:space="preserve">All room counts are assumed from planning documents and typical scheme profiles. Final pricing requires confirmed room type splits and drawings for all schemes.</w:t>
      </w:r>
    </w:p>
    <w:p>
      <w:pPr>
        <w:spacing w:after="60" w:before="0"/>
      </w:pPr>
      <w:r>
        <w:rPr>
          <w:rFonts w:ascii="Arial" w:cs="Arial" w:eastAsia="Arial" w:hAnsi="Arial"/>
          <w:color w:val="333333"/>
          <w:sz w:val="22"/>
          <w:szCs w:val="22"/>
        </w:rPr>
        <w:t xml:space="preserve"/>
      </w:r>
    </w:p>
    <w:p>
      <w:pPr>
        <w:tabs>
          <w:tab w:val="left" w:pos="2800"/>
        </w:tabs>
        <w:spacing w:after="80" w:before="0"/>
      </w:pPr>
      <w:r>
        <w:rPr>
          <w:rFonts w:ascii="Arial" w:cs="Arial" w:eastAsia="Arial" w:hAnsi="Arial"/>
          <w:b/>
          <w:bCs/>
          <w:color w:val="1A1A2E"/>
          <w:sz w:val="22"/>
          <w:szCs w:val="22"/>
        </w:rPr>
        <w:t xml:space="preserve">Scope</w:t>
      </w:r>
      <w:r>
        <w:rPr>
          <w:rFonts w:ascii="Arial" w:cs="Arial" w:eastAsia="Arial" w:hAnsi="Arial"/>
        </w:rPr>
        <w:t xml:space="preserve">	</w:t>
      </w:r>
      <w:r>
        <w:rPr>
          <w:rFonts w:ascii="Arial" w:cs="Arial" w:eastAsia="Arial" w:hAnsi="Arial"/>
          <w:b w:val="false"/>
          <w:bCs w:val="false"/>
          <w:color w:val="333333"/>
          <w:sz w:val="22"/>
          <w:szCs w:val="22"/>
        </w:rPr>
        <w:t xml:space="preserve">All rates include supply, delivery, distribution and installation. Standard Flagstaffe exclusions apply: VAT; skips; electrical/wet connections; sink traps; scribing; sparkle clean.</w:t>
      </w:r>
    </w:p>
    <w:p>
      <w:pPr>
        <w:spacing w:after="60" w:before="0"/>
      </w:pPr>
      <w:r>
        <w:rPr>
          <w:rFonts w:ascii="Arial" w:cs="Arial" w:eastAsia="Arial" w:hAnsi="Arial"/>
          <w:color w:val="333333"/>
          <w:sz w:val="22"/>
          <w:szCs w:val="22"/>
        </w:rPr>
        <w:t xml:space="preserve"/>
      </w:r>
    </w:p>
    <w:p>
      <w:pPr>
        <w:tabs>
          <w:tab w:val="left" w:pos="2800"/>
        </w:tabs>
        <w:spacing w:after="80" w:before="0"/>
      </w:pPr>
      <w:r>
        <w:rPr>
          <w:rFonts w:ascii="Arial" w:cs="Arial" w:eastAsia="Arial" w:hAnsi="Arial"/>
          <w:b/>
          <w:bCs/>
          <w:color w:val="1A1A2E"/>
          <w:sz w:val="22"/>
          <w:szCs w:val="22"/>
        </w:rPr>
        <w:t xml:space="preserve">PM fee</w:t>
      </w:r>
      <w:r>
        <w:rPr>
          <w:rFonts w:ascii="Arial" w:cs="Arial" w:eastAsia="Arial" w:hAnsi="Arial"/>
        </w:rPr>
        <w:t xml:space="preserve">	</w:t>
      </w:r>
      <w:r>
        <w:rPr>
          <w:rFonts w:ascii="Arial" w:cs="Arial" w:eastAsia="Arial" w:hAnsi="Arial"/>
          <w:b w:val="false"/>
          <w:bCs w:val="false"/>
          <w:color w:val="333333"/>
          <w:sz w:val="22"/>
          <w:szCs w:val="22"/>
        </w:rPr>
        <w:t xml:space="preserve">£68.43 per unit (£65.00 x 1.0527 inflation) applied to total beds + KLDs.</w:t>
      </w:r>
    </w:p>
    <w:p>
      <w:pPr>
        <w:spacing w:after="60" w:before="0"/>
      </w:pPr>
      <w:r>
        <w:rPr>
          <w:rFonts w:ascii="Arial" w:cs="Arial" w:eastAsia="Arial" w:hAnsi="Arial"/>
          <w:color w:val="333333"/>
          <w:sz w:val="22"/>
          <w:szCs w:val="22"/>
        </w:rPr>
        <w:t xml:space="preserve"/>
      </w:r>
    </w:p>
    <w:p>
      <w:pPr>
        <w:tabs>
          <w:tab w:val="left" w:pos="2800"/>
        </w:tabs>
        <w:spacing w:after="80" w:before="0"/>
      </w:pPr>
      <w:r>
        <w:rPr>
          <w:rFonts w:ascii="Arial" w:cs="Arial" w:eastAsia="Arial" w:hAnsi="Arial"/>
          <w:b/>
          <w:bCs/>
          <w:color w:val="1A1A2E"/>
          <w:sz w:val="22"/>
          <w:szCs w:val="22"/>
        </w:rPr>
        <w:t xml:space="preserve">MCD</w:t>
      </w:r>
      <w:r>
        <w:rPr>
          <w:rFonts w:ascii="Arial" w:cs="Arial" w:eastAsia="Arial" w:hAnsi="Arial"/>
        </w:rPr>
        <w:t xml:space="preserve">	</w:t>
      </w:r>
      <w:r>
        <w:rPr>
          <w:rFonts w:ascii="Arial" w:cs="Arial" w:eastAsia="Arial" w:hAnsi="Arial"/>
          <w:b w:val="false"/>
          <w:bCs w:val="false"/>
          <w:color w:val="333333"/>
          <w:sz w:val="22"/>
          <w:szCs w:val="22"/>
        </w:rPr>
        <w:t xml:space="preserve">2.5% multi-contract discount applied as a rebate on sub-total.</w:t>
      </w:r>
    </w:p>
    <w:p>
      <w:pPr>
        <w:spacing w:after="60" w:before="0"/>
      </w:pPr>
      <w:r>
        <w:rPr>
          <w:rFonts w:ascii="Arial" w:cs="Arial" w:eastAsia="Arial" w:hAnsi="Arial"/>
          <w:color w:val="333333"/>
          <w:sz w:val="22"/>
          <w:szCs w:val="22"/>
        </w:rPr>
        <w:t xml:space="preserve"/>
      </w:r>
    </w:p>
    <w:p>
      <w:pPr>
        <w:tabs>
          <w:tab w:val="left" w:pos="2800"/>
        </w:tabs>
        <w:spacing w:after="80" w:before="0"/>
      </w:pPr>
      <w:r>
        <w:rPr>
          <w:rFonts w:ascii="Arial" w:cs="Arial" w:eastAsia="Arial" w:hAnsi="Arial"/>
          <w:b/>
          <w:bCs/>
          <w:color w:val="1A1A2E"/>
          <w:sz w:val="22"/>
          <w:szCs w:val="22"/>
        </w:rPr>
        <w:t xml:space="preserve">KLD scope</w:t>
      </w:r>
      <w:r>
        <w:rPr>
          <w:rFonts w:ascii="Arial" w:cs="Arial" w:eastAsia="Arial" w:hAnsi="Arial"/>
        </w:rPr>
        <w:t xml:space="preserve">	</w:t>
      </w:r>
      <w:r>
        <w:rPr>
          <w:rFonts w:ascii="Arial" w:cs="Arial" w:eastAsia="Arial" w:hAnsi="Arial"/>
          <w:b w:val="false"/>
          <w:bCs w:val="false"/>
          <w:color w:val="333333"/>
          <w:sz w:val="22"/>
          <w:szCs w:val="22"/>
        </w:rPr>
        <w:t xml:space="preserve">KLD rates include: fitted cluster kitchen, communal furniture, loose goods, appliances, and installation. Studio kitchen, loose goods and appliances are included in the per-studio rate.</w:t>
      </w:r>
    </w:p>
    <w:p>
      <w:pPr>
        <w:spacing w:after="60" w:before="0"/>
      </w:pPr>
      <w:r>
        <w:rPr>
          <w:rFonts w:ascii="Arial" w:cs="Arial" w:eastAsia="Arial" w:hAnsi="Arial"/>
          <w:color w:val="333333"/>
          <w:sz w:val="22"/>
          <w:szCs w:val="22"/>
        </w:rPr>
        <w:t xml:space="preserve"/>
      </w:r>
    </w:p>
    <w:p>
      <w:pPr>
        <w:spacing w:after="200" w:before="0"/>
      </w:pPr>
      <w:r>
        <w:rPr>
          <w:rFonts w:ascii="Arial" w:cs="Arial" w:eastAsia="Arial" w:hAnsi="Arial"/>
          <w:color w:val="333333"/>
          <w:sz w:val="22"/>
          <w:szCs w:val="22"/>
        </w:rPr>
        <w:t xml:space="preserve"/>
      </w:r>
    </w:p>
    <w:p>
      <w:pPr>
        <w:pBdr>
          <w:bottom w:val="single" w:color="E8C547" w:sz="4"/>
        </w:pBdr>
        <w:spacing w:after="80" w:before="80"/>
      </w:pPr>
      <w:r>
        <w:rPr>
          <w:rFonts w:ascii="Arial" w:cs="Arial" w:eastAsia="Arial" w:hAnsi="Arial"/>
          <w:color w:val="333333"/>
          <w:sz w:val="22"/>
          <w:szCs w:val="22"/>
        </w:rPr>
        <w:t xml:space="preserve"/>
      </w:r>
    </w:p>
    <w:p>
      <w:pPr>
        <w:spacing w:after="100" w:before="0"/>
      </w:pPr>
      <w:r>
        <w:rPr>
          <w:rFonts w:ascii="Arial" w:cs="Arial" w:eastAsia="Arial" w:hAnsi="Arial"/>
          <w:color w:val="333333"/>
          <w:sz w:val="22"/>
          <w:szCs w:val="22"/>
        </w:rPr>
        <w:t xml:space="preserve"/>
      </w:r>
    </w:p>
    <w:p>
      <w:pPr>
        <w:spacing w:after="60" w:before="0"/>
        <w:jc w:val="center"/>
      </w:pPr>
      <w:r>
        <w:rPr>
          <w:rFonts w:ascii="Arial" w:cs="Arial" w:eastAsia="Arial" w:hAnsi="Arial"/>
          <w:color w:val="7F8C8D"/>
          <w:sz w:val="18"/>
          <w:szCs w:val="18"/>
        </w:rPr>
        <w:t xml:space="preserve">FLAGSTAFFE  -  enquiries@flagstaffe.com  -  01260 460 003  -  flagstaffe.com</w:t>
      </w:r>
    </w:p>
    <w:p>
      <w:pPr>
        <w:spacing w:after="0" w:before="0"/>
        <w:jc w:val="center"/>
      </w:pPr>
      <w:r>
        <w:rPr>
          <w:rFonts w:ascii="Arial" w:cs="Arial" w:eastAsia="Arial" w:hAnsi="Arial"/>
          <w:color w:val="7F8C8D"/>
          <w:sz w:val="18"/>
          <w:szCs w:val="18"/>
        </w:rPr>
        <w:t xml:space="preserve">The Granary Business Centre, Cranage, CW4 8GE  -  CRN: 14154708  -  VAT: 421442927</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1A2E"/>
      <w:sz w:val="32"/>
      <w:szCs w:val="32"/>
    </w:rPr>
  </w:style>
  <w:style w:type="paragraph" w:styleId="Heading2">
    <w:name w:val="Heading 2"/>
    <w:basedOn w:val="Normal"/>
    <w:next w:val="Normal"/>
    <w:qFormat/>
    <w:pPr>
      <w:spacing w:after="80" w:before="280"/>
      <w:outlineLvl w:val="1"/>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2026-06-02T19:54:26.476Z</dcterms:created>
  <dcterms:modified xsi:type="dcterms:W3CDTF">2026-06-02T19:54:26.477Z</dcterms:modified>
</cp:coreProperties>
</file>

<file path=docProps/custom.xml><?xml version="1.0" encoding="utf-8"?>
<Properties xmlns="http://schemas.openxmlformats.org/officeDocument/2006/custom-properties" xmlns:vt="http://schemas.openxmlformats.org/officeDocument/2006/docPropsVTypes"/>
</file>