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r>
        <w:rPr>
          <w:rFonts w:ascii="Arial" w:cs="Arial" w:eastAsia="Arial" w:hAnsi="Arial"/>
          <w:color w:val="333333"/>
          <w:sz w:val="20"/>
          <w:szCs w:val="20"/>
        </w:rPr>
        <w:t xml:space="preserve"/>
      </w:r>
    </w:p>
    <w:p>
      <w:pPr>
        <w:spacing w:after="60" w:before="0"/>
        <w:jc w:val="center"/>
      </w:pPr>
      <w:r>
        <w:rPr>
          <w:rFonts w:ascii="Arial" w:cs="Arial" w:eastAsia="Arial" w:hAnsi="Arial"/>
          <w:b/>
          <w:bCs/>
          <w:caps/>
          <w:color w:val="1A1A2E"/>
          <w:sz w:val="56"/>
          <w:szCs w:val="56"/>
        </w:rPr>
        <w:t xml:space="preserve">FLAGSTAFFE</w:t>
      </w:r>
    </w:p>
    <w:p>
      <w:pPr>
        <w:spacing w:after="30" w:before="0"/>
        <w:jc w:val="center"/>
      </w:pPr>
      <w:r>
        <w:rPr>
          <w:rFonts w:ascii="Arial" w:cs="Arial" w:eastAsia="Arial" w:hAnsi="Arial"/>
          <w:color w:val="7F8C8D"/>
          <w:sz w:val="22"/>
          <w:szCs w:val="22"/>
        </w:rPr>
        <w:t xml:space="preserve">FF&amp;E Supply &amp; Installation  -  Nationwide</w:t>
      </w:r>
    </w:p>
    <w:p>
      <w:pPr>
        <w:pBdr>
          <w:bottom w:val="single" w:color="E8C547" w:sz="4"/>
        </w:pBdr>
        <w:spacing w:after="80" w:before="80"/>
      </w:pPr>
      <w:r>
        <w:rPr>
          <w:rFonts w:ascii="Arial" w:cs="Arial" w:eastAsia="Arial" w:hAnsi="Arial"/>
          <w:color w:val="333333"/>
          <w:sz w:val="20"/>
          <w:szCs w:val="20"/>
        </w:rPr>
        <w:t xml:space="preserve"/>
      </w:r>
    </w:p>
    <w:p>
      <w:pPr>
        <w:spacing w:after="140" w:before="0"/>
      </w:pPr>
      <w:r>
        <w:rPr>
          <w:rFonts w:ascii="Arial" w:cs="Arial" w:eastAsia="Arial" w:hAnsi="Arial"/>
          <w:color w:val="333333"/>
          <w:sz w:val="20"/>
          <w:szCs w:val="20"/>
        </w:rPr>
        <w:t xml:space="preserve"/>
      </w:r>
    </w:p>
    <w:p>
      <w:pPr>
        <w:spacing w:after="60" w:before="0"/>
        <w:jc w:val="center"/>
      </w:pPr>
      <w:r>
        <w:rPr>
          <w:rFonts w:ascii="Arial" w:cs="Arial" w:eastAsia="Arial" w:hAnsi="Arial"/>
          <w:b/>
          <w:bCs/>
          <w:color w:val="1A1A2E"/>
          <w:sz w:val="32"/>
          <w:szCs w:val="32"/>
        </w:rPr>
        <w:t xml:space="preserve">Wales Planning Intelligence Report</w:t>
      </w:r>
    </w:p>
    <w:p>
      <w:pPr>
        <w:spacing w:after="40" w:before="0"/>
        <w:jc w:val="center"/>
      </w:pPr>
      <w:r>
        <w:rPr>
          <w:rFonts w:ascii="Arial" w:cs="Arial" w:eastAsia="Arial" w:hAnsi="Arial"/>
          <w:color w:val="333333"/>
          <w:sz w:val="24"/>
          <w:szCs w:val="24"/>
        </w:rPr>
        <w:t xml:space="preserve">PBSA &amp; Co-Living Pipeline — June 2026</w:t>
      </w:r>
    </w:p>
    <w:p>
      <w:pPr>
        <w:spacing w:after="30" w:before="0"/>
        <w:jc w:val="center"/>
      </w:pPr>
      <w:r>
        <w:rPr>
          <w:rFonts w:ascii="Arial" w:cs="Arial" w:eastAsia="Arial" w:hAnsi="Arial"/>
          <w:color w:val="7F8C8D"/>
          <w:sz w:val="18"/>
          <w:szCs w:val="18"/>
        </w:rPr>
        <w:t xml:space="preserve">LPAs searched: Cardiff, Swansea, Denbighshire + wider Welsh portal sweep</w:t>
      </w:r>
    </w:p>
    <w:p>
      <w:pPr>
        <w:spacing w:after="120" w:before="0"/>
      </w:pPr>
      <w:r>
        <w:rPr>
          <w:rFonts w:ascii="Arial" w:cs="Arial" w:eastAsia="Arial" w:hAnsi="Arial"/>
          <w:color w:val="333333"/>
          <w:sz w:val="20"/>
          <w:szCs w:val="20"/>
        </w:rPr>
        <w:t xml:space="preserve"/>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INDICATIVE BUDGET ESTIMATES ONLY. All pricing based on Flag22167 unit rates (Kronospan Band A, April 2026). Room counts assumed from planning documents — not confirmed drawings. Not for external distribution without updating from confirmed drawings.</w:t>
      </w:r>
    </w:p>
    <w:p>
      <w:pPr>
        <w:spacing w:after="220" w:before="0"/>
      </w:pPr>
      <w:r>
        <w:rPr>
          <w:rFonts w:ascii="Arial" w:cs="Arial" w:eastAsia="Arial" w:hAnsi="Arial"/>
          <w:color w:val="333333"/>
          <w:sz w:val="20"/>
          <w:szCs w:val="20"/>
        </w:rPr>
        <w:t xml:space="preserve"/>
      </w:r>
    </w:p>
    <w:p>
      <w:pPr>
        <w:pBdr>
          <w:bottom w:val="single" w:color="E8C547" w:sz="4"/>
        </w:pBdr>
        <w:spacing w:after="80" w:before="8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50" w:before="0"/>
        <w:jc w:val="center"/>
      </w:pPr>
      <w:r>
        <w:rPr>
          <w:rFonts w:ascii="Arial" w:cs="Arial" w:eastAsia="Arial" w:hAnsi="Arial"/>
          <w:color w:val="7F8C8D"/>
          <w:sz w:val="18"/>
          <w:szCs w:val="18"/>
        </w:rPr>
        <w:t xml:space="preserve">Dan Brownsword &amp; Kam Krupinski  |  enquiries@flagstaffe.com  |  01260 460 003</w:t>
      </w:r>
    </w:p>
    <w:p>
      <w:r>
        <w:br w:type="page"/>
      </w:r>
    </w:p>
    <w:p>
      <w:pPr>
        <w:pStyle w:val="Heading1"/>
        <w:pBdr>
          <w:bottom w:val="single" w:color="E8C547" w:sz="8" w:space="4"/>
        </w:pBdr>
        <w:spacing w:after="120" w:before="300"/>
      </w:pPr>
      <w:r>
        <w:rPr>
          <w:rFonts w:ascii="Arial" w:cs="Arial" w:eastAsia="Arial" w:hAnsi="Arial"/>
          <w:b/>
          <w:bCs/>
          <w:color w:val="1A1A2E"/>
          <w:sz w:val="28"/>
          <w:szCs w:val="28"/>
        </w:rPr>
        <w:t xml:space="preserve">Wales Pipeline Summary</w:t>
      </w:r>
    </w:p>
    <w:p>
      <w:pPr>
        <w:spacing w:after="120" w:before="0"/>
      </w:pPr>
      <w:r>
        <w:rPr>
          <w:rFonts w:ascii="Arial" w:cs="Arial" w:eastAsia="Arial" w:hAnsi="Arial"/>
          <w:color w:val="333333"/>
          <w:sz w:val="20"/>
          <w:szCs w:val="20"/>
        </w:rPr>
        <w:t xml:space="preserve">The Wales scrape identified three actionable PBSA and student accommodation schemes. All Welsh PBSA development is concentrated in Cardiff — the only other Welsh city with a notable pipeline. Swansea's only recent PBSA news is a negative indicator: an 80-bed scheme being converted to homelessness accommodation, suggesting oversupply in that city. Newport and North Wales produce only very small or FE-college schemes.</w:t>
      </w:r>
    </w:p>
    <w:p>
      <w:pPr>
        <w:spacing w:after="120" w:before="0"/>
      </w:pPr>
      <w:r>
        <w:rPr>
          <w:rFonts w:ascii="Arial" w:cs="Arial" w:eastAsia="Arial" w:hAnsi="Arial"/>
          <w:color w:val="333333"/>
          <w:sz w:val="20"/>
          <w:szCs w:val="20"/>
        </w:rPr>
        <w:t xml:space="preserve">Cardiff's market is undersupplied relative to its student population (~46,000+ full-time students across Cardiff University, Cardiff Met, and USW). No new PBSA has been delivered since 2022, and the city's two major consented schemes (Longcross Court and Friary House) will together add 1,291 beds when complete. Combined indicative FF&amp;E pipeline value for Wales is approximately £5.3m.</w:t>
      </w:r>
    </w:p>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867"/>
        <w:gridCol w:w="963"/>
        <w:gridCol w:w="1542"/>
        <w:gridCol w:w="1252"/>
        <w:gridCol w:w="2123"/>
      </w:tblGrid>
      <w:tr>
        <w:tc>
          <w:tcPr>
            <w:tcW w:type="dxa" w:w="2891"/>
            <w:tcBorders>
              <w:top w:val="single" w:color="DDDDDD" w:sz="1"/>
              <w:left w:val="single" w:color="DDDDDD" w:sz="1"/>
              <w:bottom w:val="single" w:color="DDDDDD" w:sz="1"/>
              <w:right w:val="single" w:color="DDDDDD" w:sz="1"/>
            </w:tcBorders>
            <w:shd w:fill="1A1A2E" w:val="clear"/>
            <w:tcMar>
              <w:top w:type="dxa" w:w="70"/>
              <w:left w:type="dxa" w:w="140"/>
              <w:bottom w:type="dxa" w:w="70"/>
              <w:right w:type="dxa" w:w="140"/>
            </w:tcMar>
          </w:tcPr>
          <w:p>
            <w:pPr>
              <w:spacing w:after="0" w:before="0"/>
              <w:jc w:val="left"/>
            </w:pPr>
            <w:r>
              <w:rPr>
                <w:rFonts w:ascii="Arial" w:cs="Arial" w:eastAsia="Arial" w:hAnsi="Arial"/>
                <w:b/>
                <w:bCs/>
                <w:color w:val="FFFFFF"/>
                <w:sz w:val="18"/>
                <w:szCs w:val="18"/>
              </w:rPr>
              <w:t xml:space="preserve">Scheme</w:t>
            </w:r>
          </w:p>
        </w:tc>
        <w:tc>
          <w:tcPr>
            <w:tcW w:type="dxa" w:w="867"/>
            <w:tcBorders>
              <w:top w:val="single" w:color="DDDDDD" w:sz="1"/>
              <w:left w:val="single" w:color="DDDDDD" w:sz="1"/>
              <w:bottom w:val="single" w:color="DDDDDD" w:sz="1"/>
              <w:right w:val="single" w:color="DDDDDD" w:sz="1"/>
            </w:tcBorders>
            <w:shd w:fill="1A1A2E" w:val="clear"/>
            <w:tcMar>
              <w:top w:type="dxa" w:w="70"/>
              <w:left w:type="dxa" w:w="140"/>
              <w:bottom w:type="dxa" w:w="70"/>
              <w:right w:type="dxa" w:w="140"/>
            </w:tcMar>
          </w:tcPr>
          <w:p>
            <w:pPr>
              <w:spacing w:after="0" w:before="0"/>
              <w:jc w:val="left"/>
            </w:pPr>
            <w:r>
              <w:rPr>
                <w:rFonts w:ascii="Arial" w:cs="Arial" w:eastAsia="Arial" w:hAnsi="Arial"/>
                <w:b/>
                <w:bCs/>
                <w:color w:val="FFFFFF"/>
                <w:sz w:val="18"/>
                <w:szCs w:val="18"/>
              </w:rPr>
              <w:t xml:space="preserve">Beds</w:t>
            </w:r>
          </w:p>
        </w:tc>
        <w:tc>
          <w:tcPr>
            <w:tcW w:type="dxa" w:w="963"/>
            <w:tcBorders>
              <w:top w:val="single" w:color="DDDDDD" w:sz="1"/>
              <w:left w:val="single" w:color="DDDDDD" w:sz="1"/>
              <w:bottom w:val="single" w:color="DDDDDD" w:sz="1"/>
              <w:right w:val="single" w:color="DDDDDD" w:sz="1"/>
            </w:tcBorders>
            <w:shd w:fill="1A1A2E" w:val="clear"/>
            <w:tcMar>
              <w:top w:type="dxa" w:w="70"/>
              <w:left w:type="dxa" w:w="140"/>
              <w:bottom w:type="dxa" w:w="70"/>
              <w:right w:type="dxa" w:w="140"/>
            </w:tcMar>
          </w:tcPr>
          <w:p>
            <w:pPr>
              <w:spacing w:after="0" w:before="0"/>
              <w:jc w:val="right"/>
            </w:pPr>
            <w:r>
              <w:rPr>
                <w:rFonts w:ascii="Arial" w:cs="Arial" w:eastAsia="Arial" w:hAnsi="Arial"/>
                <w:b/>
                <w:bCs/>
                <w:color w:val="FFFFFF"/>
                <w:sz w:val="18"/>
                <w:szCs w:val="18"/>
              </w:rPr>
              <w:t xml:space="preserve">KLDs</w:t>
            </w:r>
          </w:p>
        </w:tc>
        <w:tc>
          <w:tcPr>
            <w:tcW w:type="dxa" w:w="1542"/>
            <w:tcBorders>
              <w:top w:val="single" w:color="DDDDDD" w:sz="1"/>
              <w:left w:val="single" w:color="DDDDDD" w:sz="1"/>
              <w:bottom w:val="single" w:color="DDDDDD" w:sz="1"/>
              <w:right w:val="single" w:color="DDDDDD" w:sz="1"/>
            </w:tcBorders>
            <w:shd w:fill="1A1A2E" w:val="clear"/>
            <w:tcMar>
              <w:top w:type="dxa" w:w="70"/>
              <w:left w:type="dxa" w:w="140"/>
              <w:bottom w:type="dxa" w:w="70"/>
              <w:right w:type="dxa" w:w="140"/>
            </w:tcMar>
          </w:tcPr>
          <w:p>
            <w:pPr>
              <w:spacing w:after="0" w:before="0"/>
              <w:jc w:val="right"/>
            </w:pPr>
            <w:r>
              <w:rPr>
                <w:rFonts w:ascii="Arial" w:cs="Arial" w:eastAsia="Arial" w:hAnsi="Arial"/>
                <w:b/>
                <w:bCs/>
                <w:color w:val="FFFFFF"/>
                <w:sz w:val="18"/>
                <w:szCs w:val="18"/>
              </w:rPr>
              <w:t xml:space="preserve">Status</w:t>
            </w:r>
          </w:p>
        </w:tc>
        <w:tc>
          <w:tcPr>
            <w:tcW w:type="dxa" w:w="1252"/>
            <w:tcBorders>
              <w:top w:val="single" w:color="DDDDDD" w:sz="1"/>
              <w:left w:val="single" w:color="DDDDDD" w:sz="1"/>
              <w:bottom w:val="single" w:color="DDDDDD" w:sz="1"/>
              <w:right w:val="single" w:color="DDDDDD" w:sz="1"/>
            </w:tcBorders>
            <w:shd w:fill="1A1A2E" w:val="clear"/>
            <w:tcMar>
              <w:top w:type="dxa" w:w="70"/>
              <w:left w:type="dxa" w:w="140"/>
              <w:bottom w:type="dxa" w:w="70"/>
              <w:right w:type="dxa" w:w="140"/>
            </w:tcMar>
          </w:tcPr>
          <w:p>
            <w:pPr>
              <w:spacing w:after="0" w:before="0"/>
              <w:jc w:val="right"/>
            </w:pPr>
            <w:r>
              <w:rPr>
                <w:rFonts w:ascii="Arial" w:cs="Arial" w:eastAsia="Arial" w:hAnsi="Arial"/>
                <w:b/>
                <w:bCs/>
                <w:color w:val="FFFFFF"/>
                <w:sz w:val="18"/>
                <w:szCs w:val="18"/>
              </w:rPr>
              <w:t xml:space="preserve">Priority</w:t>
            </w:r>
          </w:p>
        </w:tc>
        <w:tc>
          <w:tcPr>
            <w:tcW w:type="dxa" w:w="2123"/>
            <w:tcBorders>
              <w:top w:val="single" w:color="DDDDDD" w:sz="1"/>
              <w:left w:val="single" w:color="DDDDDD" w:sz="1"/>
              <w:bottom w:val="single" w:color="DDDDDD" w:sz="1"/>
              <w:right w:val="single" w:color="DDDDDD" w:sz="1"/>
            </w:tcBorders>
            <w:shd w:fill="1A1A2E" w:val="clear"/>
            <w:tcMar>
              <w:top w:type="dxa" w:w="70"/>
              <w:left w:type="dxa" w:w="140"/>
              <w:bottom w:type="dxa" w:w="70"/>
              <w:right w:type="dxa" w:w="140"/>
            </w:tcMar>
          </w:tcPr>
          <w:p>
            <w:pPr>
              <w:spacing w:after="0" w:before="0"/>
              <w:jc w:val="right"/>
            </w:pPr>
            <w:r>
              <w:rPr>
                <w:rFonts w:ascii="Arial" w:cs="Arial" w:eastAsia="Arial" w:hAnsi="Arial"/>
                <w:b/>
                <w:bCs/>
                <w:color w:val="FFFFFF"/>
                <w:sz w:val="18"/>
                <w:szCs w:val="18"/>
              </w:rPr>
              <w:t xml:space="preserve">Indicative FF&amp;E</w:t>
            </w:r>
          </w:p>
        </w:tc>
      </w:tr>
      <w:tr>
        <w:tc>
          <w:tcPr>
            <w:tcW w:type="dxa" w:w="2891"/>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left"/>
            </w:pPr>
            <w:r>
              <w:rPr>
                <w:rFonts w:ascii="Arial" w:cs="Arial" w:eastAsia="Arial" w:hAnsi="Arial"/>
                <w:color w:val="333333"/>
                <w:sz w:val="18"/>
                <w:szCs w:val="18"/>
              </w:rPr>
              <w:t xml:space="preserve">Longcross Court, Newport Road, Cardiff</w:t>
            </w:r>
          </w:p>
        </w:tc>
        <w:tc>
          <w:tcPr>
            <w:tcW w:type="dxa" w:w="867"/>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left"/>
            </w:pPr>
            <w:r>
              <w:rPr>
                <w:rFonts w:ascii="Arial" w:cs="Arial" w:eastAsia="Arial" w:hAnsi="Arial"/>
                <w:color w:val="333333"/>
                <w:sz w:val="18"/>
                <w:szCs w:val="18"/>
              </w:rPr>
              <w:t xml:space="preserve">706</w:t>
            </w:r>
          </w:p>
        </w:tc>
        <w:tc>
          <w:tcPr>
            <w:tcW w:type="dxa" w:w="963"/>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59</w:t>
            </w:r>
          </w:p>
        </w:tc>
        <w:tc>
          <w:tcPr>
            <w:tcW w:type="dxa" w:w="1542"/>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Approved 6 September 2024</w:t>
            </w:r>
          </w:p>
        </w:tc>
        <w:tc>
          <w:tcPr>
            <w:tcW w:type="dxa" w:w="1252"/>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Priority 1</w:t>
            </w:r>
          </w:p>
        </w:tc>
        <w:tc>
          <w:tcPr>
            <w:tcW w:type="dxa" w:w="2123"/>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£2,496,917.93</w:t>
            </w:r>
          </w:p>
        </w:tc>
      </w:tr>
      <w:tr>
        <w:tc>
          <w:tcPr>
            <w:tcW w:type="dxa" w:w="2891"/>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left"/>
            </w:pPr>
            <w:r>
              <w:rPr>
                <w:rFonts w:ascii="Arial" w:cs="Arial" w:eastAsia="Arial" w:hAnsi="Arial"/>
                <w:color w:val="333333"/>
                <w:sz w:val="18"/>
                <w:szCs w:val="18"/>
              </w:rPr>
              <w:t xml:space="preserve">Friary House, Greyfriars Road, Cardiff</w:t>
            </w:r>
          </w:p>
        </w:tc>
        <w:tc>
          <w:tcPr>
            <w:tcW w:type="dxa" w:w="867"/>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left"/>
            </w:pPr>
            <w:r>
              <w:rPr>
                <w:rFonts w:ascii="Arial" w:cs="Arial" w:eastAsia="Arial" w:hAnsi="Arial"/>
                <w:color w:val="333333"/>
                <w:sz w:val="18"/>
                <w:szCs w:val="18"/>
              </w:rPr>
              <w:t xml:space="preserve">585</w:t>
            </w:r>
          </w:p>
        </w:tc>
        <w:tc>
          <w:tcPr>
            <w:tcW w:type="dxa" w:w="963"/>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48</w:t>
            </w:r>
          </w:p>
        </w:tc>
        <w:tc>
          <w:tcPr>
            <w:tcW w:type="dxa" w:w="1542"/>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Approved 11 April 2024</w:t>
            </w:r>
          </w:p>
        </w:tc>
        <w:tc>
          <w:tcPr>
            <w:tcW w:type="dxa" w:w="1252"/>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Priority 2</w:t>
            </w:r>
          </w:p>
        </w:tc>
        <w:tc>
          <w:tcPr>
            <w:tcW w:type="dxa" w:w="2123"/>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£2,188,269.24</w:t>
            </w:r>
          </w:p>
        </w:tc>
      </w:tr>
      <w:tr>
        <w:tc>
          <w:tcPr>
            <w:tcW w:type="dxa" w:w="2891"/>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left"/>
            </w:pPr>
            <w:r>
              <w:rPr>
                <w:rFonts w:ascii="Arial" w:cs="Arial" w:eastAsia="Arial" w:hAnsi="Arial"/>
                <w:color w:val="333333"/>
                <w:sz w:val="18"/>
                <w:szCs w:val="18"/>
              </w:rPr>
              <w:t xml:space="preserve">Llysfasi Campus Student Accommodation, Ruthin, Denbighshire</w:t>
            </w:r>
          </w:p>
        </w:tc>
        <w:tc>
          <w:tcPr>
            <w:tcW w:type="dxa" w:w="867"/>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left"/>
            </w:pPr>
            <w:r>
              <w:rPr>
                <w:rFonts w:ascii="Arial" w:cs="Arial" w:eastAsia="Arial" w:hAnsi="Arial"/>
                <w:color w:val="333333"/>
                <w:sz w:val="18"/>
                <w:szCs w:val="18"/>
              </w:rPr>
              <w:t xml:space="preserve">50</w:t>
            </w:r>
          </w:p>
        </w:tc>
        <w:tc>
          <w:tcPr>
            <w:tcW w:type="dxa" w:w="963"/>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8</w:t>
            </w:r>
          </w:p>
        </w:tc>
        <w:tc>
          <w:tcPr>
            <w:tcW w:type="dxa" w:w="1542"/>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Planning approved 2024/25</w:t>
            </w:r>
          </w:p>
        </w:tc>
        <w:tc>
          <w:tcPr>
            <w:tcW w:type="dxa" w:w="1252"/>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Priority 3</w:t>
            </w:r>
          </w:p>
        </w:tc>
        <w:tc>
          <w:tcPr>
            <w:tcW w:type="dxa" w:w="2123"/>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spacing w:after="0" w:before="0"/>
              <w:jc w:val="right"/>
            </w:pPr>
            <w:r>
              <w:rPr>
                <w:rFonts w:ascii="Arial" w:cs="Arial" w:eastAsia="Arial" w:hAnsi="Arial"/>
                <w:color w:val="333333"/>
                <w:sz w:val="18"/>
                <w:szCs w:val="18"/>
              </w:rPr>
              <w:t xml:space="preserve">£134,225.70</w:t>
            </w:r>
          </w:p>
        </w:tc>
      </w:tr>
      <w:tr>
        <w:tc>
          <w:tcPr>
            <w:tcW w:type="dxa" w:w="2891"/>
            <w:tcBorders>
              <w:top w:val="single" w:color="DDDDDD" w:sz="1"/>
              <w:left w:val="single" w:color="DDDDDD" w:sz="1"/>
              <w:bottom w:val="single" w:color="DDDDDD" w:sz="1"/>
              <w:right w:val="single" w:color="DDDDDD" w:sz="1"/>
            </w:tcBorders>
            <w:shd w:fill="E8C547" w:val="clear"/>
            <w:tcMar>
              <w:top w:type="dxa" w:w="70"/>
              <w:left w:type="dxa" w:w="140"/>
              <w:bottom w:type="dxa" w:w="70"/>
              <w:right w:type="dxa" w:w="140"/>
            </w:tcMar>
          </w:tcPr>
          <w:p>
            <w:pPr>
              <w:spacing w:after="0" w:before="0"/>
              <w:jc w:val="left"/>
            </w:pPr>
            <w:r>
              <w:rPr>
                <w:rFonts w:ascii="Arial" w:cs="Arial" w:eastAsia="Arial" w:hAnsi="Arial"/>
                <w:b/>
                <w:bCs/>
                <w:color w:val="1A1A2E"/>
                <w:sz w:val="18"/>
                <w:szCs w:val="18"/>
              </w:rPr>
              <w:t xml:space="preserve">COMBINED PIPELINE</w:t>
            </w:r>
          </w:p>
        </w:tc>
        <w:tc>
          <w:tcPr>
            <w:tcW w:type="dxa" w:w="867"/>
            <w:tcBorders>
              <w:top w:val="single" w:color="DDDDDD" w:sz="1"/>
              <w:left w:val="single" w:color="DDDDDD" w:sz="1"/>
              <w:bottom w:val="single" w:color="DDDDDD" w:sz="1"/>
              <w:right w:val="single" w:color="DDDDDD" w:sz="1"/>
            </w:tcBorders>
            <w:shd w:fill="E8C547" w:val="clear"/>
            <w:tcMar>
              <w:top w:type="dxa" w:w="70"/>
              <w:left w:type="dxa" w:w="140"/>
              <w:bottom w:type="dxa" w:w="70"/>
              <w:right w:type="dxa" w:w="140"/>
            </w:tcMar>
          </w:tcPr>
          <w:p>
            <w:pPr>
              <w:spacing w:after="0" w:before="0"/>
              <w:jc w:val="left"/>
            </w:pPr>
            <w:r>
              <w:rPr>
                <w:rFonts w:ascii="Arial" w:cs="Arial" w:eastAsia="Arial" w:hAnsi="Arial"/>
                <w:b/>
                <w:bCs/>
                <w:color w:val="1A1A2E"/>
                <w:sz w:val="18"/>
                <w:szCs w:val="18"/>
              </w:rPr>
              <w:t xml:space="preserve">1,341</w:t>
            </w:r>
          </w:p>
        </w:tc>
        <w:tc>
          <w:tcPr>
            <w:tcW w:type="dxa" w:w="963"/>
            <w:tcBorders>
              <w:top w:val="single" w:color="DDDDDD" w:sz="1"/>
              <w:left w:val="single" w:color="DDDDDD" w:sz="1"/>
              <w:bottom w:val="single" w:color="DDDDDD" w:sz="1"/>
              <w:right w:val="single" w:color="DDDDDD" w:sz="1"/>
            </w:tcBorders>
            <w:shd w:fill="E8C547" w:val="clear"/>
            <w:tcMar>
              <w:top w:type="dxa" w:w="70"/>
              <w:left w:type="dxa" w:w="140"/>
              <w:bottom w:type="dxa" w:w="70"/>
              <w:right w:type="dxa" w:w="140"/>
            </w:tcMar>
          </w:tcPr>
          <w:p>
            <w:pPr>
              <w:spacing w:after="0" w:before="0"/>
              <w:jc w:val="right"/>
            </w:pPr>
            <w:r>
              <w:rPr>
                <w:rFonts w:ascii="Arial" w:cs="Arial" w:eastAsia="Arial" w:hAnsi="Arial"/>
                <w:b/>
                <w:bCs/>
                <w:color w:val="1A1A2E"/>
                <w:sz w:val="18"/>
                <w:szCs w:val="18"/>
              </w:rPr>
              <w:t xml:space="preserve">115</w:t>
            </w:r>
          </w:p>
        </w:tc>
        <w:tc>
          <w:tcPr>
            <w:tcW w:type="dxa" w:w="1542"/>
            <w:tcBorders>
              <w:top w:val="single" w:color="DDDDDD" w:sz="1"/>
              <w:left w:val="single" w:color="DDDDDD" w:sz="1"/>
              <w:bottom w:val="single" w:color="DDDDDD" w:sz="1"/>
              <w:right w:val="single" w:color="DDDDDD" w:sz="1"/>
            </w:tcBorders>
            <w:shd w:fill="E8C547" w:val="clear"/>
            <w:tcMar>
              <w:top w:type="dxa" w:w="70"/>
              <w:left w:type="dxa" w:w="140"/>
              <w:bottom w:type="dxa" w:w="70"/>
              <w:right w:type="dxa" w:w="140"/>
            </w:tcMar>
          </w:tcPr>
          <w:p>
            <w:pPr>
              <w:spacing w:after="0" w:before="0"/>
              <w:jc w:val="right"/>
            </w:pPr>
            <w:r>
              <w:rPr>
                <w:rFonts w:ascii="Arial" w:cs="Arial" w:eastAsia="Arial" w:hAnsi="Arial"/>
                <w:b/>
                <w:bCs/>
                <w:color w:val="1A1A2E"/>
                <w:sz w:val="18"/>
                <w:szCs w:val="18"/>
              </w:rPr>
              <w:t xml:space="preserve"/>
            </w:r>
          </w:p>
        </w:tc>
        <w:tc>
          <w:tcPr>
            <w:tcW w:type="dxa" w:w="1252"/>
            <w:tcBorders>
              <w:top w:val="single" w:color="DDDDDD" w:sz="1"/>
              <w:left w:val="single" w:color="DDDDDD" w:sz="1"/>
              <w:bottom w:val="single" w:color="DDDDDD" w:sz="1"/>
              <w:right w:val="single" w:color="DDDDDD" w:sz="1"/>
            </w:tcBorders>
            <w:shd w:fill="E8C547" w:val="clear"/>
            <w:tcMar>
              <w:top w:type="dxa" w:w="70"/>
              <w:left w:type="dxa" w:w="140"/>
              <w:bottom w:type="dxa" w:w="70"/>
              <w:right w:type="dxa" w:w="140"/>
            </w:tcMar>
          </w:tcPr>
          <w:p>
            <w:pPr>
              <w:spacing w:after="0" w:before="0"/>
              <w:jc w:val="right"/>
            </w:pPr>
            <w:r>
              <w:rPr>
                <w:rFonts w:ascii="Arial" w:cs="Arial" w:eastAsia="Arial" w:hAnsi="Arial"/>
                <w:b/>
                <w:bCs/>
                <w:color w:val="1A1A2E"/>
                <w:sz w:val="18"/>
                <w:szCs w:val="18"/>
              </w:rPr>
              <w:t xml:space="preserve"/>
            </w:r>
          </w:p>
        </w:tc>
        <w:tc>
          <w:tcPr>
            <w:tcW w:type="dxa" w:w="2123"/>
            <w:tcBorders>
              <w:top w:val="single" w:color="DDDDDD" w:sz="1"/>
              <w:left w:val="single" w:color="DDDDDD" w:sz="1"/>
              <w:bottom w:val="single" w:color="DDDDDD" w:sz="1"/>
              <w:right w:val="single" w:color="DDDDDD" w:sz="1"/>
            </w:tcBorders>
            <w:shd w:fill="E8C547" w:val="clear"/>
            <w:tcMar>
              <w:top w:type="dxa" w:w="70"/>
              <w:left w:type="dxa" w:w="140"/>
              <w:bottom w:type="dxa" w:w="70"/>
              <w:right w:type="dxa" w:w="140"/>
            </w:tcMar>
          </w:tcPr>
          <w:p>
            <w:pPr>
              <w:spacing w:after="0" w:before="0"/>
              <w:jc w:val="right"/>
            </w:pPr>
            <w:r>
              <w:rPr>
                <w:rFonts w:ascii="Arial" w:cs="Arial" w:eastAsia="Arial" w:hAnsi="Arial"/>
                <w:b/>
                <w:bCs/>
                <w:color w:val="1A1A2E"/>
                <w:sz w:val="18"/>
                <w:szCs w:val="18"/>
              </w:rPr>
              <w:t xml:space="preserve">£4,819,412.87</w:t>
            </w:r>
          </w:p>
        </w:tc>
      </w:tr>
    </w:tbl>
    <w:p>
      <w:pPr>
        <w:spacing w:after="80" w:before="0"/>
      </w:pPr>
      <w:r>
        <w:rPr>
          <w:rFonts w:ascii="Arial" w:cs="Arial" w:eastAsia="Arial" w:hAnsi="Arial"/>
          <w:color w:val="333333"/>
          <w:sz w:val="20"/>
          <w:szCs w:val="20"/>
        </w:rPr>
        <w:t xml:space="preserve"/>
      </w:r>
    </w:p>
    <w:p>
      <w:pPr>
        <w:spacing w:after="60" w:before="0"/>
      </w:pPr>
      <w:r>
        <w:rPr>
          <w:rFonts w:ascii="Arial" w:cs="Arial" w:eastAsia="Arial" w:hAnsi="Arial"/>
          <w:color w:val="7F8C8D"/>
          <w:sz w:val="17"/>
          <w:szCs w:val="17"/>
        </w:rPr>
        <w:t xml:space="preserve">* Room counts assumed from planning documents. See individual sections for assumptions.</w:t>
      </w:r>
    </w:p>
    <w:p>
      <w:r>
        <w:br w:type="page"/>
      </w:r>
    </w:p>
    <w:p>
      <w:pPr>
        <w:pStyle w:val="Heading1"/>
        <w:pBdr>
          <w:bottom w:val="single" w:color="E8C547" w:sz="8" w:space="4"/>
        </w:pBdr>
        <w:spacing w:after="120" w:before="300"/>
      </w:pPr>
      <w:r>
        <w:rPr>
          <w:rFonts w:ascii="Arial" w:cs="Arial" w:eastAsia="Arial" w:hAnsi="Arial"/>
          <w:b/>
          <w:bCs/>
          <w:color w:val="1A1A2E"/>
          <w:sz w:val="28"/>
          <w:szCs w:val="28"/>
        </w:rPr>
        <w:t xml:space="preserve">Scrape Summary</w:t>
      </w:r>
    </w:p>
    <w:p>
      <w:pPr>
        <w:tabs>
          <w:tab w:val="left" w:pos="2600"/>
        </w:tabs>
        <w:spacing w:after="70" w:before="0"/>
      </w:pPr>
      <w:r>
        <w:rPr>
          <w:rFonts w:ascii="Arial" w:cs="Arial" w:eastAsia="Arial" w:hAnsi="Arial"/>
          <w:b/>
          <w:bCs/>
          <w:color w:val="1A1A2E"/>
          <w:sz w:val="20"/>
          <w:szCs w:val="20"/>
        </w:rPr>
        <w:t xml:space="preserve">Scrape date</w:t>
      </w:r>
      <w:r>
        <w:rPr>
          <w:rFonts w:ascii="Arial" w:cs="Arial" w:eastAsia="Arial" w:hAnsi="Arial"/>
        </w:rPr>
        <w:t xml:space="preserve">	</w:t>
      </w:r>
      <w:r>
        <w:rPr>
          <w:rFonts w:ascii="Arial" w:cs="Arial" w:eastAsia="Arial" w:hAnsi="Arial"/>
          <w:color w:val="333333"/>
          <w:sz w:val="20"/>
          <w:szCs w:val="20"/>
        </w:rPr>
        <w:t xml:space="preserve">2 June 2026</w:t>
      </w:r>
    </w:p>
    <w:p>
      <w:pPr>
        <w:tabs>
          <w:tab w:val="left" w:pos="2600"/>
        </w:tabs>
        <w:spacing w:after="70" w:before="0"/>
      </w:pPr>
      <w:r>
        <w:rPr>
          <w:rFonts w:ascii="Arial" w:cs="Arial" w:eastAsia="Arial" w:hAnsi="Arial"/>
          <w:b/>
          <w:bCs/>
          <w:color w:val="1A1A2E"/>
          <w:sz w:val="20"/>
          <w:szCs w:val="20"/>
        </w:rPr>
        <w:t xml:space="preserve">LPAs searched</w:t>
      </w:r>
      <w:r>
        <w:rPr>
          <w:rFonts w:ascii="Arial" w:cs="Arial" w:eastAsia="Arial" w:hAnsi="Arial"/>
        </w:rPr>
        <w:t xml:space="preserve">	</w:t>
      </w:r>
      <w:r>
        <w:rPr>
          <w:rFonts w:ascii="Arial" w:cs="Arial" w:eastAsia="Arial" w:hAnsi="Arial"/>
          <w:color w:val="333333"/>
          <w:sz w:val="20"/>
          <w:szCs w:val="20"/>
        </w:rPr>
        <w:t xml:space="preserve">Cardiff Council (Idox), Swansea Council (web search), Denbighshire (web search), Vale of Glamorgan, Newport (web search), Wrexham (web search), Powys (web search)</w:t>
      </w:r>
    </w:p>
    <w:p>
      <w:pPr>
        <w:tabs>
          <w:tab w:val="left" w:pos="2600"/>
        </w:tabs>
        <w:spacing w:after="70" w:before="0"/>
      </w:pPr>
      <w:r>
        <w:rPr>
          <w:rFonts w:ascii="Arial" w:cs="Arial" w:eastAsia="Arial" w:hAnsi="Arial"/>
          <w:b/>
          <w:bCs/>
          <w:color w:val="1A1A2E"/>
          <w:sz w:val="20"/>
          <w:szCs w:val="20"/>
        </w:rPr>
        <w:t xml:space="preserve">Search terms</w:t>
      </w:r>
      <w:r>
        <w:rPr>
          <w:rFonts w:ascii="Arial" w:cs="Arial" w:eastAsia="Arial" w:hAnsi="Arial"/>
        </w:rPr>
        <w:t xml:space="preserve">	</w:t>
      </w:r>
      <w:r>
        <w:rPr>
          <w:rFonts w:ascii="Arial" w:cs="Arial" w:eastAsia="Arial" w:hAnsi="Arial"/>
          <w:color w:val="333333"/>
          <w:sz w:val="20"/>
          <w:szCs w:val="20"/>
        </w:rPr>
        <w:t xml:space="preserve">Student accommodation, PBSA, purpose-built, co-living</w:t>
      </w:r>
    </w:p>
    <w:p>
      <w:pPr>
        <w:tabs>
          <w:tab w:val="left" w:pos="2600"/>
        </w:tabs>
        <w:spacing w:after="70" w:before="0"/>
      </w:pPr>
      <w:r>
        <w:rPr>
          <w:rFonts w:ascii="Arial" w:cs="Arial" w:eastAsia="Arial" w:hAnsi="Arial"/>
          <w:b/>
          <w:bCs/>
          <w:color w:val="1A1A2E"/>
          <w:sz w:val="20"/>
          <w:szCs w:val="20"/>
        </w:rPr>
        <w:t xml:space="preserve">Applications found</w:t>
      </w:r>
      <w:r>
        <w:rPr>
          <w:rFonts w:ascii="Arial" w:cs="Arial" w:eastAsia="Arial" w:hAnsi="Arial"/>
        </w:rPr>
        <w:t xml:space="preserve">	</w:t>
      </w:r>
      <w:r>
        <w:rPr>
          <w:rFonts w:ascii="Arial" w:cs="Arial" w:eastAsia="Arial" w:hAnsi="Arial"/>
          <w:color w:val="333333"/>
          <w:sz w:val="20"/>
          <w:szCs w:val="20"/>
        </w:rPr>
        <w:t xml:space="preserve">6 (including older schemes still in pipeline + 3 new/active)</w:t>
      </w:r>
    </w:p>
    <w:p>
      <w:pPr>
        <w:tabs>
          <w:tab w:val="left" w:pos="2600"/>
        </w:tabs>
        <w:spacing w:after="70" w:before="0"/>
      </w:pPr>
      <w:r>
        <w:rPr>
          <w:rFonts w:ascii="Arial" w:cs="Arial" w:eastAsia="Arial" w:hAnsi="Arial"/>
          <w:b/>
          <w:bCs/>
          <w:color w:val="1A1A2E"/>
          <w:sz w:val="20"/>
          <w:szCs w:val="20"/>
        </w:rPr>
        <w:t xml:space="preserve">Relevant (PBSA or co-living)</w:t>
      </w:r>
      <w:r>
        <w:rPr>
          <w:rFonts w:ascii="Arial" w:cs="Arial" w:eastAsia="Arial" w:hAnsi="Arial"/>
        </w:rPr>
        <w:t xml:space="preserve">	</w:t>
      </w:r>
      <w:r>
        <w:rPr>
          <w:rFonts w:ascii="Arial" w:cs="Arial" w:eastAsia="Arial" w:hAnsi="Arial"/>
          <w:color w:val="333333"/>
          <w:sz w:val="20"/>
          <w:szCs w:val="20"/>
        </w:rPr>
        <w:t xml:space="preserve">3 — all in Cardiff/North Wales</w:t>
      </w:r>
    </w:p>
    <w:p>
      <w:pPr>
        <w:tabs>
          <w:tab w:val="left" w:pos="2600"/>
        </w:tabs>
        <w:spacing w:after="70" w:before="0"/>
      </w:pPr>
      <w:r>
        <w:rPr>
          <w:rFonts w:ascii="Arial" w:cs="Arial" w:eastAsia="Arial" w:hAnsi="Arial"/>
          <w:b/>
          <w:bCs/>
          <w:color w:val="1A1A2E"/>
          <w:sz w:val="20"/>
          <w:szCs w:val="20"/>
        </w:rPr>
        <w:t xml:space="preserve">Excluded</w:t>
      </w:r>
      <w:r>
        <w:rPr>
          <w:rFonts w:ascii="Arial" w:cs="Arial" w:eastAsia="Arial" w:hAnsi="Arial"/>
        </w:rPr>
        <w:t xml:space="preserve">	</w:t>
      </w:r>
      <w:r>
        <w:rPr>
          <w:rFonts w:ascii="Arial" w:cs="Arial" w:eastAsia="Arial" w:hAnsi="Arial"/>
          <w:color w:val="333333"/>
          <w:sz w:val="20"/>
          <w:szCs w:val="20"/>
        </w:rPr>
        <w:t xml:space="preserve">Swansea 80-bed conversion to homelessness (negative), 3 small residential schemes, 1 co-working conversion</w:t>
      </w:r>
    </w:p>
    <w:p>
      <w:pPr>
        <w:tabs>
          <w:tab w:val="left" w:pos="2600"/>
        </w:tabs>
        <w:spacing w:after="70" w:before="0"/>
      </w:pPr>
      <w:r>
        <w:rPr>
          <w:rFonts w:ascii="Arial" w:cs="Arial" w:eastAsia="Arial" w:hAnsi="Arial"/>
          <w:b/>
          <w:bCs/>
          <w:color w:val="1A1A2E"/>
          <w:sz w:val="20"/>
          <w:szCs w:val="20"/>
        </w:rPr>
        <w:t xml:space="preserve">Market observation</w:t>
      </w:r>
      <w:r>
        <w:rPr>
          <w:rFonts w:ascii="Arial" w:cs="Arial" w:eastAsia="Arial" w:hAnsi="Arial"/>
        </w:rPr>
        <w:t xml:space="preserve">	</w:t>
      </w:r>
      <w:r>
        <w:rPr>
          <w:rFonts w:ascii="Arial" w:cs="Arial" w:eastAsia="Arial" w:hAnsi="Arial"/>
          <w:color w:val="333333"/>
          <w:sz w:val="20"/>
          <w:szCs w:val="20"/>
        </w:rPr>
        <w:t xml:space="preserve">Swansea: no new PBSA pipeline. Newport: no PBSA pipeline. North Wales: FE college schemes only.</w:t>
      </w:r>
    </w:p>
    <w:p>
      <w:pPr>
        <w:tabs>
          <w:tab w:val="left" w:pos="2600"/>
        </w:tabs>
        <w:spacing w:after="70" w:before="0"/>
      </w:pPr>
      <w:r>
        <w:rPr>
          <w:rFonts w:ascii="Arial" w:cs="Arial" w:eastAsia="Arial" w:hAnsi="Arial"/>
          <w:b/>
          <w:bCs/>
          <w:color w:val="1A1A2E"/>
          <w:sz w:val="20"/>
          <w:szCs w:val="20"/>
        </w:rPr>
        <w:t xml:space="preserve">Recommendation</w:t>
      </w:r>
      <w:r>
        <w:rPr>
          <w:rFonts w:ascii="Arial" w:cs="Arial" w:eastAsia="Arial" w:hAnsi="Arial"/>
        </w:rPr>
        <w:t xml:space="preserve">	</w:t>
      </w:r>
      <w:r>
        <w:rPr>
          <w:rFonts w:ascii="Arial" w:cs="Arial" w:eastAsia="Arial" w:hAnsi="Arial"/>
          <w:color w:val="333333"/>
          <w:sz w:val="20"/>
          <w:szCs w:val="20"/>
        </w:rPr>
        <w:t xml:space="preserve">Focus effort on Cardiff for Wales. Both Longcross Court and Friary House require immediate engagement.</w:t>
      </w:r>
    </w:p>
    <w:p>
      <w:r>
        <w:br w:type="page"/>
      </w:r>
    </w:p>
    <w:p>
      <w:pPr>
        <w:spacing w:after="50" w:before="0"/>
      </w:pPr>
      <w:r>
        <w:rPr>
          <w:rFonts w:ascii="Arial" w:cs="Arial" w:eastAsia="Arial" w:hAnsi="Arial"/>
          <w:b/>
          <w:bCs/>
          <w:color w:val="7F8C8D"/>
          <w:sz w:val="18"/>
          <w:szCs w:val="18"/>
        </w:rPr>
        <w:t xml:space="preserve">Priority 1</w:t>
      </w:r>
    </w:p>
    <w:p>
      <w:pPr>
        <w:spacing w:after="60" w:before="0"/>
      </w:pPr>
      <w:r>
        <w:rPr>
          <w:rFonts w:ascii="Arial" w:cs="Arial" w:eastAsia="Arial" w:hAnsi="Arial"/>
          <w:b/>
          <w:bCs/>
          <w:color w:val="1A1A2E"/>
          <w:sz w:val="22"/>
          <w:szCs w:val="22"/>
        </w:rPr>
        <w:t xml:space="preserve">PBSA — UNDER CONSTRUCTION </w:t>
      </w:r>
    </w:p>
    <w:p>
      <w:pPr>
        <w:spacing w:after="80" w:before="0"/>
      </w:pPr>
      <w:r>
        <w:rPr>
          <w:rFonts w:ascii="Arial" w:cs="Arial" w:eastAsia="Arial" w:hAnsi="Arial"/>
          <w:b/>
          <w:bCs/>
          <w:color w:val="1A1A2E"/>
          <w:sz w:val="34"/>
          <w:szCs w:val="34"/>
        </w:rPr>
        <w:t xml:space="preserve">Longcross Court, Newport Road, Cardiff</w:t>
      </w:r>
    </w:p>
    <w:p>
      <w:pPr>
        <w:pBdr>
          <w:bottom w:val="single" w:color="E8C547" w:sz="6"/>
        </w:pBdr>
        <w:spacing w:after="120" w:before="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Application details</w:t>
      </w:r>
    </w:p>
    <w:p>
      <w:pPr>
        <w:tabs>
          <w:tab w:val="left" w:pos="2600"/>
        </w:tabs>
        <w:spacing w:after="70" w:before="0"/>
      </w:pPr>
      <w:r>
        <w:rPr>
          <w:rFonts w:ascii="Arial" w:cs="Arial" w:eastAsia="Arial" w:hAnsi="Arial"/>
          <w:b/>
          <w:bCs/>
          <w:color w:val="1A1A2E"/>
          <w:sz w:val="20"/>
          <w:szCs w:val="20"/>
        </w:rPr>
        <w:t xml:space="preserve">Planning reference</w:t>
      </w:r>
      <w:r>
        <w:rPr>
          <w:rFonts w:ascii="Arial" w:cs="Arial" w:eastAsia="Arial" w:hAnsi="Arial"/>
        </w:rPr>
        <w:t xml:space="preserve">	</w:t>
      </w:r>
      <w:r>
        <w:rPr>
          <w:rFonts w:ascii="Arial" w:cs="Arial" w:eastAsia="Arial" w:hAnsi="Arial"/>
          <w:color w:val="333333"/>
          <w:sz w:val="20"/>
          <w:szCs w:val="20"/>
        </w:rPr>
        <w:t xml:space="preserve">24/01238/FUL</w:t>
      </w:r>
    </w:p>
    <w:p>
      <w:pPr>
        <w:tabs>
          <w:tab w:val="left" w:pos="2600"/>
        </w:tabs>
        <w:spacing w:after="70" w:before="0"/>
      </w:pPr>
      <w:r>
        <w:rPr>
          <w:rFonts w:ascii="Arial" w:cs="Arial" w:eastAsia="Arial" w:hAnsi="Arial"/>
          <w:b/>
          <w:bCs/>
          <w:color w:val="1A1A2E"/>
          <w:sz w:val="20"/>
          <w:szCs w:val="20"/>
        </w:rPr>
        <w:t xml:space="preserve">LPA</w:t>
      </w:r>
      <w:r>
        <w:rPr>
          <w:rFonts w:ascii="Arial" w:cs="Arial" w:eastAsia="Arial" w:hAnsi="Arial"/>
        </w:rPr>
        <w:t xml:space="preserve">	</w:t>
      </w:r>
      <w:r>
        <w:rPr>
          <w:rFonts w:ascii="Arial" w:cs="Arial" w:eastAsia="Arial" w:hAnsi="Arial"/>
          <w:color w:val="333333"/>
          <w:sz w:val="20"/>
          <w:szCs w:val="20"/>
        </w:rPr>
        <w:t xml:space="preserve">Cardiff Council</w:t>
      </w:r>
    </w:p>
    <w:p>
      <w:pPr>
        <w:tabs>
          <w:tab w:val="left" w:pos="2600"/>
        </w:tabs>
        <w:spacing w:after="70" w:before="0"/>
      </w:pPr>
      <w:r>
        <w:rPr>
          <w:rFonts w:ascii="Arial" w:cs="Arial" w:eastAsia="Arial" w:hAnsi="Arial"/>
          <w:b/>
          <w:bCs/>
          <w:color w:val="1A1A2E"/>
          <w:sz w:val="20"/>
          <w:szCs w:val="20"/>
        </w:rPr>
        <w:t xml:space="preserve">Address</w:t>
      </w:r>
      <w:r>
        <w:rPr>
          <w:rFonts w:ascii="Arial" w:cs="Arial" w:eastAsia="Arial" w:hAnsi="Arial"/>
        </w:rPr>
        <w:t xml:space="preserve">	</w:t>
      </w:r>
      <w:r>
        <w:rPr>
          <w:rFonts w:ascii="Arial" w:cs="Arial" w:eastAsia="Arial" w:hAnsi="Arial"/>
          <w:color w:val="333333"/>
          <w:sz w:val="20"/>
          <w:szCs w:val="20"/>
        </w:rPr>
        <w:t xml:space="preserve">47 Newport Road (Longcross Court), Roath, Cardiff CF24 0AD</w:t>
      </w:r>
    </w:p>
    <w:p>
      <w:pPr>
        <w:tabs>
          <w:tab w:val="left" w:pos="2600"/>
        </w:tabs>
        <w:spacing w:after="70" w:before="0"/>
      </w:pPr>
      <w:r>
        <w:rPr>
          <w:rFonts w:ascii="Arial" w:cs="Arial" w:eastAsia="Arial" w:hAnsi="Arial"/>
          <w:b/>
          <w:bCs/>
          <w:color w:val="1A1A2E"/>
          <w:sz w:val="20"/>
          <w:szCs w:val="20"/>
        </w:rPr>
        <w:t xml:space="preserve">Developer</w:t>
      </w:r>
      <w:r>
        <w:rPr>
          <w:rFonts w:ascii="Arial" w:cs="Arial" w:eastAsia="Arial" w:hAnsi="Arial"/>
        </w:rPr>
        <w:t xml:space="preserve">	</w:t>
      </w:r>
      <w:r>
        <w:rPr>
          <w:rFonts w:ascii="Arial" w:cs="Arial" w:eastAsia="Arial" w:hAnsi="Arial"/>
          <w:color w:val="333333"/>
          <w:sz w:val="20"/>
          <w:szCs w:val="20"/>
        </w:rPr>
        <w:t xml:space="preserve">Fusion Group (development) + Picton Property Income (forward purchase REIT)</w:t>
      </w:r>
    </w:p>
    <w:p>
      <w:pPr>
        <w:tabs>
          <w:tab w:val="left" w:pos="2600"/>
        </w:tabs>
        <w:spacing w:after="70" w:before="0"/>
      </w:pPr>
      <w:r>
        <w:rPr>
          <w:rFonts w:ascii="Arial" w:cs="Arial" w:eastAsia="Arial" w:hAnsi="Arial"/>
          <w:b/>
          <w:bCs/>
          <w:color w:val="1A1A2E"/>
          <w:sz w:val="20"/>
          <w:szCs w:val="20"/>
        </w:rPr>
        <w:t xml:space="preserve">Architect</w:t>
      </w:r>
      <w:r>
        <w:rPr>
          <w:rFonts w:ascii="Arial" w:cs="Arial" w:eastAsia="Arial" w:hAnsi="Arial"/>
        </w:rPr>
        <w:t xml:space="preserve">	</w:t>
      </w:r>
      <w:r>
        <w:rPr>
          <w:rFonts w:ascii="Arial" w:cs="Arial" w:eastAsia="Arial" w:hAnsi="Arial"/>
          <w:color w:val="333333"/>
          <w:sz w:val="20"/>
          <w:szCs w:val="20"/>
        </w:rPr>
        <w:t xml:space="preserve">Corstorphine &amp; Wright</w:t>
      </w:r>
    </w:p>
    <w:p>
      <w:pPr>
        <w:tabs>
          <w:tab w:val="left" w:pos="2600"/>
        </w:tabs>
        <w:spacing w:after="70" w:before="0"/>
      </w:pPr>
      <w:r>
        <w:rPr>
          <w:rFonts w:ascii="Arial" w:cs="Arial" w:eastAsia="Arial" w:hAnsi="Arial"/>
          <w:b/>
          <w:bCs/>
          <w:color w:val="1A1A2E"/>
          <w:sz w:val="20"/>
          <w:szCs w:val="20"/>
        </w:rPr>
        <w:t xml:space="preserve">Status</w:t>
      </w:r>
      <w:r>
        <w:rPr>
          <w:rFonts w:ascii="Arial" w:cs="Arial" w:eastAsia="Arial" w:hAnsi="Arial"/>
        </w:rPr>
        <w:t xml:space="preserve">	</w:t>
      </w:r>
      <w:r>
        <w:rPr>
          <w:rFonts w:ascii="Arial" w:cs="Arial" w:eastAsia="Arial" w:hAnsi="Arial"/>
          <w:color w:val="333333"/>
          <w:sz w:val="20"/>
          <w:szCs w:val="20"/>
        </w:rPr>
        <w:t xml:space="preserve">Approved 6 September 2024 — construction underway since Q1 2025</w:t>
      </w:r>
    </w:p>
    <w:p>
      <w:pPr>
        <w:tabs>
          <w:tab w:val="left" w:pos="2600"/>
        </w:tabs>
        <w:spacing w:after="70" w:before="0"/>
      </w:pPr>
      <w:r>
        <w:rPr>
          <w:rFonts w:ascii="Arial" w:cs="Arial" w:eastAsia="Arial" w:hAnsi="Arial"/>
          <w:b/>
          <w:bCs/>
          <w:color w:val="1A1A2E"/>
          <w:sz w:val="20"/>
          <w:szCs w:val="20"/>
        </w:rPr>
        <w:t xml:space="preserve">FF&amp;E window</w:t>
      </w:r>
      <w:r>
        <w:rPr>
          <w:rFonts w:ascii="Arial" w:cs="Arial" w:eastAsia="Arial" w:hAnsi="Arial"/>
        </w:rPr>
        <w:t xml:space="preserve">	</w:t>
      </w:r>
      <w:r>
        <w:rPr>
          <w:rFonts w:ascii="Arial" w:cs="Arial" w:eastAsia="Arial" w:hAnsi="Arial"/>
          <w:color w:val="333333"/>
          <w:sz w:val="20"/>
          <w:szCs w:val="20"/>
        </w:rPr>
        <w:t xml:space="preserve">Late 2026 – mid 2027 (approaching now)</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Classification</w:t>
      </w:r>
    </w:p>
    <w:p>
      <w:pPr>
        <w:spacing w:after="120" w:before="0"/>
      </w:pPr>
      <w:r>
        <w:rPr>
          <w:rFonts w:ascii="Arial" w:cs="Arial" w:eastAsia="Arial" w:hAnsi="Arial"/>
          <w:color w:val="333333"/>
          <w:sz w:val="20"/>
          <w:szCs w:val="20"/>
        </w:rPr>
        <w:t xml:space="preserve">PBSA — HIGH VALUE. Fusion Group is the UK's largest privately-owned PBSA developer and operator. Longcross Court is their 4th Cardiff scheme and 5th in Wales. The development delivers 706 beds across 488 units in several linked blocks (tallest 18 storeys), replacing a 1970s/80s office building. Approved unanimously September 2024 with a forward purchase agreement already in place with Picton Property Income. Construction commenced Q1 2025 — development certainty is extremely high. Fusion's completion target is the 2028/29 academic year, placing FF&amp;E procurement in the late 2026 to mid-2027 window.</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Opportunities for Flagstaffe</w:t>
      </w:r>
    </w:p>
    <w:p>
      <w:pPr>
        <w:pStyle w:val="ListParagraph"/>
        <w:numPr>
          <w:ilvl w:val="0"/>
          <w:numId w:val="2"/>
        </w:numPr>
        <w:spacing w:after="90" w:before="0"/>
      </w:pPr>
      <w:r>
        <w:rPr>
          <w:rFonts w:ascii="Arial" w:cs="Arial" w:eastAsia="Arial" w:hAnsi="Arial"/>
          <w:color w:val="333333"/>
          <w:sz w:val="20"/>
          <w:szCs w:val="20"/>
        </w:rPr>
        <w:t xml:space="preserve">Fusion Group is a national operator with 10+ UK cities including multiple Welsh schemes. A successful Longcross Court contract opens their entire future pipeline.</w:t>
      </w:r>
    </w:p>
    <w:p>
      <w:pPr>
        <w:pStyle w:val="ListParagraph"/>
        <w:numPr>
          <w:ilvl w:val="0"/>
          <w:numId w:val="2"/>
        </w:numPr>
        <w:spacing w:after="90" w:before="0"/>
      </w:pPr>
      <w:r>
        <w:rPr>
          <w:rFonts w:ascii="Arial" w:cs="Arial" w:eastAsia="Arial" w:hAnsi="Arial"/>
          <w:color w:val="333333"/>
          <w:sz w:val="20"/>
          <w:szCs w:val="20"/>
        </w:rPr>
        <w:t xml:space="preserve">706 beds across multiple linked blocks is one of the largest single FF&amp;E contracts in Wales. The scale alone commands attention.</w:t>
      </w:r>
    </w:p>
    <w:p>
      <w:pPr>
        <w:pStyle w:val="ListParagraph"/>
        <w:numPr>
          <w:ilvl w:val="0"/>
          <w:numId w:val="2"/>
        </w:numPr>
        <w:spacing w:after="90" w:before="0"/>
      </w:pPr>
      <w:r>
        <w:rPr>
          <w:rFonts w:ascii="Arial" w:cs="Arial" w:eastAsia="Arial" w:hAnsi="Arial"/>
          <w:color w:val="333333"/>
          <w:sz w:val="20"/>
          <w:szCs w:val="20"/>
        </w:rPr>
        <w:t xml:space="preserve">Construction started Q1 2025 — the scheme is real, funded, and on programme. This is not a speculative opportunity.</w:t>
      </w:r>
    </w:p>
    <w:p>
      <w:pPr>
        <w:pStyle w:val="ListParagraph"/>
        <w:numPr>
          <w:ilvl w:val="0"/>
          <w:numId w:val="2"/>
        </w:numPr>
        <w:spacing w:after="90" w:before="0"/>
      </w:pPr>
      <w:r>
        <w:rPr>
          <w:rFonts w:ascii="Arial" w:cs="Arial" w:eastAsia="Arial" w:hAnsi="Arial"/>
          <w:color w:val="333333"/>
          <w:sz w:val="20"/>
          <w:szCs w:val="20"/>
        </w:rPr>
        <w:t xml:space="preserve">Corstorphine &amp; Wright are the architects — the same firm working on Exeter Clarendon House (25/1082/FUL), where Flagstaffe is already engaging. A shared architect reference is a strong introduction.</w:t>
      </w:r>
    </w:p>
    <w:p>
      <w:pPr>
        <w:pStyle w:val="ListParagraph"/>
        <w:numPr>
          <w:ilvl w:val="0"/>
          <w:numId w:val="2"/>
        </w:numPr>
        <w:spacing w:after="90" w:before="0"/>
      </w:pPr>
      <w:r>
        <w:rPr>
          <w:rFonts w:ascii="Arial" w:cs="Arial" w:eastAsia="Arial" w:hAnsi="Arial"/>
          <w:color w:val="333333"/>
          <w:sz w:val="20"/>
          <w:szCs w:val="20"/>
        </w:rPr>
        <w:t xml:space="preserve">FF&amp;E procurement window (late 2026) is approximately 12-18 months away — ideal time to engage Fusion's procurement team before specifications are locked in.</w:t>
      </w:r>
    </w:p>
    <w:p>
      <w:pPr>
        <w:pStyle w:val="ListParagraph"/>
        <w:numPr>
          <w:ilvl w:val="0"/>
          <w:numId w:val="2"/>
        </w:numPr>
        <w:spacing w:after="90" w:before="0"/>
      </w:pPr>
      <w:r>
        <w:rPr>
          <w:rFonts w:ascii="Arial" w:cs="Arial" w:eastAsia="Arial" w:hAnsi="Arial"/>
          <w:color w:val="333333"/>
          <w:sz w:val="20"/>
          <w:szCs w:val="20"/>
        </w:rPr>
        <w:t xml:space="preserve">Fusion's Cardiff schemes are well-regarded — they will want a high-quality supplier with a proven Cardiff track record.</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Red flags</w:t>
      </w:r>
    </w:p>
    <w:p>
      <w:pPr>
        <w:pStyle w:val="ListParagraph"/>
        <w:numPr>
          <w:ilvl w:val="0"/>
          <w:numId w:val="2"/>
        </w:numPr>
        <w:spacing w:after="80" w:before="0"/>
      </w:pPr>
      <w:r>
        <w:rPr>
          <w:rFonts w:ascii="Arial" w:cs="Arial" w:eastAsia="Arial" w:hAnsi="Arial"/>
          <w:color w:val="C62828"/>
          <w:sz w:val="20"/>
          <w:szCs w:val="20"/>
        </w:rPr>
        <w:t xml:space="preserve">Construction is already underway — a main contractor has been appointed. Flagstaffe would need to work with or through the main contractor for logistics and programme.</w:t>
      </w:r>
    </w:p>
    <w:p>
      <w:pPr>
        <w:pStyle w:val="ListParagraph"/>
        <w:numPr>
          <w:ilvl w:val="0"/>
          <w:numId w:val="2"/>
        </w:numPr>
        <w:spacing w:after="80" w:before="0"/>
      </w:pPr>
      <w:r>
        <w:rPr>
          <w:rFonts w:ascii="Arial" w:cs="Arial" w:eastAsia="Arial" w:hAnsi="Arial"/>
          <w:color w:val="C62828"/>
          <w:sz w:val="20"/>
          <w:szCs w:val="20"/>
        </w:rPr>
        <w:t xml:space="preserve">Fusion is a sophisticated, experienced developer who will likely run a competitive FF&amp;E tender. A relationship must be established now to be invited to that tender.</w:t>
      </w:r>
    </w:p>
    <w:p>
      <w:pPr>
        <w:pStyle w:val="ListParagraph"/>
        <w:numPr>
          <w:ilvl w:val="0"/>
          <w:numId w:val="2"/>
        </w:numPr>
        <w:spacing w:after="80" w:before="0"/>
      </w:pPr>
      <w:r>
        <w:rPr>
          <w:rFonts w:ascii="Arial" w:cs="Arial" w:eastAsia="Arial" w:hAnsi="Arial"/>
          <w:color w:val="C62828"/>
          <w:sz w:val="20"/>
          <w:szCs w:val="20"/>
        </w:rPr>
        <w:t xml:space="preserve">The 706/488 bed/unit split suggests a mix of studio and cluster formats that is yet to be confirmed from drawings. The bid assumptions below may need updating.</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Recommended action</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Contact Julian Evans (Land &amp; Planning Director, Fusion Group) and the Picton Property Income team immediately. Reference the Corstorphine &amp; Wright relationship from Exeter. Request early engagement on FF&amp;E specification and programme to ensure Flagstaffe is included in the tender process.</w:t>
      </w:r>
    </w:p>
    <w:p>
      <w:pPr>
        <w:spacing w:after="12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Indicative FF&amp;E budget</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Room counts are ASSUMED from planning documents. Rates: Flag22167, Kronospan Band A, Jan-27 inflation.</w:t>
      </w:r>
    </w:p>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Cost Category</w:t>
            </w:r>
          </w:p>
        </w:tc>
        <w:tc>
          <w:tcPr>
            <w:tcW w:type="dxa" w:w="4338"/>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jc w:val="right"/>
            </w:pPr>
            <w:r>
              <w:rPr>
                <w:rFonts w:ascii="Arial" w:cs="Arial" w:eastAsia="Arial" w:hAnsi="Arial"/>
                <w:b/>
                <w:bCs/>
                <w:color w:val="E8C547"/>
                <w:sz w:val="18"/>
                <w:szCs w:val="18"/>
              </w:rPr>
              <w:t xml:space="preserve">Indicative Sub-total</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Cluster Bedrooms (336)</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£428,366.40</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Standard Studios (350)</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£1,501,675.00</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Accessible Studios (20)</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£104,977.80</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KLDs — 59 cluster kitchens</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£473,573.32</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Project Management Fee</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£52,348.95</w:t>
            </w:r>
          </w:p>
        </w:tc>
      </w:tr>
      <w:tr>
        <w:tc>
          <w:tcPr>
            <w:tcW w:type="dxa" w:w="5300"/>
            <w:tcBorders>
              <w:top w:val="single" w:color="DDDDDD" w:sz="1"/>
              <w:left w:val="single" w:color="DDDDDD" w:sz="1"/>
              <w:bottom w:val="single" w:color="DDDDDD" w:sz="1"/>
              <w:right w:val="single" w:color="DDDDDD" w:sz="1"/>
            </w:tcBorders>
            <w:shd w:fill="E8C547"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Sub-total</w:t>
            </w:r>
          </w:p>
        </w:tc>
        <w:tc>
          <w:tcPr>
            <w:tcW w:type="dxa" w:w="4338"/>
            <w:tcBorders>
              <w:top w:val="single" w:color="DDDDDD" w:sz="1"/>
              <w:left w:val="single" w:color="DDDDDD" w:sz="1"/>
              <w:bottom w:val="single" w:color="DDDDDD" w:sz="1"/>
              <w:right w:val="single" w:color="DDDDDD" w:sz="1"/>
            </w:tcBorders>
            <w:shd w:fill="E8C547" w:val="clear"/>
            <w:tcMar>
              <w:top w:type="dxa" w:w="60"/>
              <w:left w:type="dxa" w:w="140"/>
              <w:bottom w:type="dxa" w:w="60"/>
              <w:right w:type="dxa" w:w="140"/>
            </w:tcMar>
          </w:tcPr>
          <w:p>
            <w:pPr>
              <w:spacing w:after="0" w:before="0"/>
              <w:jc w:val="right"/>
            </w:pPr>
            <w:r>
              <w:rPr>
                <w:rFonts w:ascii="Arial" w:cs="Arial" w:eastAsia="Arial" w:hAnsi="Arial"/>
                <w:b/>
                <w:bCs/>
                <w:color w:val="1A1A2E"/>
                <w:sz w:val="18"/>
                <w:szCs w:val="18"/>
              </w:rPr>
              <w:t xml:space="preserve">£2,560,941.47</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2.5% MCD Discount</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C62828"/>
                <w:sz w:val="18"/>
                <w:szCs w:val="18"/>
              </w:rPr>
              <w:t xml:space="preserve">-£64,023.54</w:t>
            </w:r>
          </w:p>
        </w:tc>
      </w:tr>
      <w:tr>
        <w:tc>
          <w:tcPr>
            <w:tcW w:type="dxa" w:w="5300"/>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INDICATIVE TOTAL (excl. VAT)</w:t>
            </w:r>
          </w:p>
        </w:tc>
        <w:tc>
          <w:tcPr>
            <w:tcW w:type="dxa" w:w="4338"/>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jc w:val="right"/>
            </w:pPr>
            <w:r>
              <w:rPr>
                <w:rFonts w:ascii="Arial" w:cs="Arial" w:eastAsia="Arial" w:hAnsi="Arial"/>
                <w:b/>
                <w:bCs/>
                <w:color w:val="E8C547"/>
                <w:sz w:val="20"/>
                <w:szCs w:val="20"/>
              </w:rPr>
              <w:t xml:space="preserve">£2,496,917.93</w:t>
            </w:r>
          </w:p>
        </w:tc>
      </w:tr>
    </w:tbl>
    <w:p>
      <w:pPr>
        <w:spacing w:after="80" w:before="0"/>
      </w:pPr>
      <w:r>
        <w:rPr>
          <w:rFonts w:ascii="Arial" w:cs="Arial" w:eastAsia="Arial" w:hAnsi="Arial"/>
          <w:color w:val="333333"/>
          <w:sz w:val="20"/>
          <w:szCs w:val="20"/>
        </w:rPr>
        <w:t xml:space="preserve"/>
      </w:r>
    </w:p>
    <w:p>
      <w:pPr>
        <w:tabs>
          <w:tab w:val="left" w:pos="2600"/>
        </w:tabs>
        <w:spacing w:after="70" w:before="0"/>
      </w:pPr>
      <w:r>
        <w:rPr>
          <w:rFonts w:ascii="Arial" w:cs="Arial" w:eastAsia="Arial" w:hAnsi="Arial"/>
          <w:b/>
          <w:bCs/>
          <w:color w:val="1A1A2E"/>
          <w:sz w:val="20"/>
          <w:szCs w:val="20"/>
        </w:rPr>
        <w:t xml:space="preserve">Cluster beds (assumed)</w:t>
      </w:r>
      <w:r>
        <w:rPr>
          <w:rFonts w:ascii="Arial" w:cs="Arial" w:eastAsia="Arial" w:hAnsi="Arial"/>
        </w:rPr>
        <w:t xml:space="preserve">	</w:t>
      </w:r>
      <w:r>
        <w:rPr>
          <w:rFonts w:ascii="Arial" w:cs="Arial" w:eastAsia="Arial" w:hAnsi="Arial"/>
          <w:color w:val="333333"/>
          <w:sz w:val="20"/>
          <w:szCs w:val="20"/>
        </w:rPr>
        <w:t xml:space="preserve">336</w:t>
      </w:r>
    </w:p>
    <w:p>
      <w:pPr>
        <w:tabs>
          <w:tab w:val="left" w:pos="2600"/>
        </w:tabs>
        <w:spacing w:after="70" w:before="0"/>
      </w:pPr>
      <w:r>
        <w:rPr>
          <w:rFonts w:ascii="Arial" w:cs="Arial" w:eastAsia="Arial" w:hAnsi="Arial"/>
          <w:b/>
          <w:bCs/>
          <w:color w:val="1A1A2E"/>
          <w:sz w:val="20"/>
          <w:szCs w:val="20"/>
        </w:rPr>
        <w:t xml:space="preserve">Standard studios (assumed)</w:t>
      </w:r>
      <w:r>
        <w:rPr>
          <w:rFonts w:ascii="Arial" w:cs="Arial" w:eastAsia="Arial" w:hAnsi="Arial"/>
        </w:rPr>
        <w:t xml:space="preserve">	</w:t>
      </w:r>
      <w:r>
        <w:rPr>
          <w:rFonts w:ascii="Arial" w:cs="Arial" w:eastAsia="Arial" w:hAnsi="Arial"/>
          <w:color w:val="333333"/>
          <w:sz w:val="20"/>
          <w:szCs w:val="20"/>
        </w:rPr>
        <w:t xml:space="preserve">350</w:t>
      </w:r>
    </w:p>
    <w:p>
      <w:pPr>
        <w:tabs>
          <w:tab w:val="left" w:pos="2600"/>
        </w:tabs>
        <w:spacing w:after="70" w:before="0"/>
      </w:pPr>
      <w:r>
        <w:rPr>
          <w:rFonts w:ascii="Arial" w:cs="Arial" w:eastAsia="Arial" w:hAnsi="Arial"/>
          <w:b/>
          <w:bCs/>
          <w:color w:val="1A1A2E"/>
          <w:sz w:val="20"/>
          <w:szCs w:val="20"/>
        </w:rPr>
        <w:t xml:space="preserve">ACC/DDA studios (assumed)</w:t>
      </w:r>
      <w:r>
        <w:rPr>
          <w:rFonts w:ascii="Arial" w:cs="Arial" w:eastAsia="Arial" w:hAnsi="Arial"/>
        </w:rPr>
        <w:t xml:space="preserve">	</w:t>
      </w:r>
      <w:r>
        <w:rPr>
          <w:rFonts w:ascii="Arial" w:cs="Arial" w:eastAsia="Arial" w:hAnsi="Arial"/>
          <w:color w:val="333333"/>
          <w:sz w:val="20"/>
          <w:szCs w:val="20"/>
        </w:rPr>
        <w:t xml:space="preserve">20</w:t>
      </w:r>
    </w:p>
    <w:p>
      <w:pPr>
        <w:tabs>
          <w:tab w:val="left" w:pos="2600"/>
        </w:tabs>
        <w:spacing w:after="70" w:before="0"/>
      </w:pPr>
      <w:r>
        <w:rPr>
          <w:rFonts w:ascii="Arial" w:cs="Arial" w:eastAsia="Arial" w:hAnsi="Arial"/>
          <w:b/>
          <w:bCs/>
          <w:color w:val="1A1A2E"/>
          <w:sz w:val="20"/>
          <w:szCs w:val="20"/>
        </w:rPr>
        <w:t xml:space="preserve">KLD 5-person (assumed)</w:t>
      </w:r>
      <w:r>
        <w:rPr>
          <w:rFonts w:ascii="Arial" w:cs="Arial" w:eastAsia="Arial" w:hAnsi="Arial"/>
        </w:rPr>
        <w:t xml:space="preserve">	</w:t>
      </w:r>
      <w:r>
        <w:rPr>
          <w:rFonts w:ascii="Arial" w:cs="Arial" w:eastAsia="Arial" w:hAnsi="Arial"/>
          <w:color w:val="333333"/>
          <w:sz w:val="20"/>
          <w:szCs w:val="20"/>
        </w:rPr>
        <w:t xml:space="preserve">18</w:t>
      </w:r>
    </w:p>
    <w:p>
      <w:pPr>
        <w:tabs>
          <w:tab w:val="left" w:pos="2600"/>
        </w:tabs>
        <w:spacing w:after="70" w:before="0"/>
      </w:pPr>
      <w:r>
        <w:rPr>
          <w:rFonts w:ascii="Arial" w:cs="Arial" w:eastAsia="Arial" w:hAnsi="Arial"/>
          <w:b/>
          <w:bCs/>
          <w:color w:val="1A1A2E"/>
          <w:sz w:val="20"/>
          <w:szCs w:val="20"/>
        </w:rPr>
        <w:t xml:space="preserve">KLD 6-person (assumed)</w:t>
      </w:r>
      <w:r>
        <w:rPr>
          <w:rFonts w:ascii="Arial" w:cs="Arial" w:eastAsia="Arial" w:hAnsi="Arial"/>
        </w:rPr>
        <w:t xml:space="preserve">	</w:t>
      </w:r>
      <w:r>
        <w:rPr>
          <w:rFonts w:ascii="Arial" w:cs="Arial" w:eastAsia="Arial" w:hAnsi="Arial"/>
          <w:color w:val="333333"/>
          <w:sz w:val="20"/>
          <w:szCs w:val="20"/>
        </w:rPr>
        <w:t xml:space="preserve">41</w:t>
      </w:r>
    </w:p>
    <w:p>
      <w:pPr>
        <w:spacing w:after="8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Mix assumed from typical Fusion format: studios + cluster bedrooms. Confirm with Corstorphine &amp; Wright drawings once available.</w:t>
      </w:r>
    </w:p>
    <w:p>
      <w:pPr>
        <w:spacing w:after="120" w:before="0"/>
      </w:pPr>
      <w:r>
        <w:rPr>
          <w:rFonts w:ascii="Arial" w:cs="Arial" w:eastAsia="Arial" w:hAnsi="Arial"/>
          <w:color w:val="333333"/>
          <w:sz w:val="20"/>
          <w:szCs w:val="20"/>
        </w:rPr>
        <w:t xml:space="preserve"/>
      </w:r>
    </w:p>
    <w:p>
      <w:pPr>
        <w:pBdr>
          <w:bottom w:val="single" w:color="E8C547" w:sz="4"/>
        </w:pBdr>
        <w:spacing w:after="80" w:before="80"/>
      </w:pPr>
      <w:r>
        <w:rPr>
          <w:rFonts w:ascii="Arial" w:cs="Arial" w:eastAsia="Arial" w:hAnsi="Arial"/>
          <w:color w:val="333333"/>
          <w:sz w:val="20"/>
          <w:szCs w:val="20"/>
        </w:rPr>
        <w:t xml:space="preserve"/>
      </w:r>
    </w:p>
    <w:p>
      <w:r>
        <w:br w:type="page"/>
      </w:r>
    </w:p>
    <w:p>
      <w:pPr>
        <w:spacing w:after="50" w:before="0"/>
      </w:pPr>
      <w:r>
        <w:rPr>
          <w:rFonts w:ascii="Arial" w:cs="Arial" w:eastAsia="Arial" w:hAnsi="Arial"/>
          <w:b/>
          <w:bCs/>
          <w:color w:val="7F8C8D"/>
          <w:sz w:val="18"/>
          <w:szCs w:val="18"/>
        </w:rPr>
        <w:t xml:space="preserve">Priority 2</w:t>
      </w:r>
    </w:p>
    <w:p>
      <w:pPr>
        <w:spacing w:after="60" w:before="0"/>
      </w:pPr>
      <w:r>
        <w:rPr>
          <w:rFonts w:ascii="Arial" w:cs="Arial" w:eastAsia="Arial" w:hAnsi="Arial"/>
          <w:b/>
          <w:bCs/>
          <w:color w:val="1A1A2E"/>
          <w:sz w:val="22"/>
          <w:szCs w:val="22"/>
        </w:rPr>
        <w:t xml:space="preserve">PBSA — PRE-CONTRACTOR </w:t>
      </w:r>
    </w:p>
    <w:p>
      <w:pPr>
        <w:spacing w:after="80" w:before="0"/>
      </w:pPr>
      <w:r>
        <w:rPr>
          <w:rFonts w:ascii="Arial" w:cs="Arial" w:eastAsia="Arial" w:hAnsi="Arial"/>
          <w:b/>
          <w:bCs/>
          <w:color w:val="1A1A2E"/>
          <w:sz w:val="34"/>
          <w:szCs w:val="34"/>
        </w:rPr>
        <w:t xml:space="preserve">Friary House, Greyfriars Road, Cardiff</w:t>
      </w:r>
    </w:p>
    <w:p>
      <w:pPr>
        <w:pBdr>
          <w:bottom w:val="single" w:color="E8C547" w:sz="6"/>
        </w:pBdr>
        <w:spacing w:after="120" w:before="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Application details</w:t>
      </w:r>
    </w:p>
    <w:p>
      <w:pPr>
        <w:tabs>
          <w:tab w:val="left" w:pos="2600"/>
        </w:tabs>
        <w:spacing w:after="70" w:before="0"/>
      </w:pPr>
      <w:r>
        <w:rPr>
          <w:rFonts w:ascii="Arial" w:cs="Arial" w:eastAsia="Arial" w:hAnsi="Arial"/>
          <w:b/>
          <w:bCs/>
          <w:color w:val="1A1A2E"/>
          <w:sz w:val="20"/>
          <w:szCs w:val="20"/>
        </w:rPr>
        <w:t xml:space="preserve">Planning reference</w:t>
      </w:r>
      <w:r>
        <w:rPr>
          <w:rFonts w:ascii="Arial" w:cs="Arial" w:eastAsia="Arial" w:hAnsi="Arial"/>
        </w:rPr>
        <w:t xml:space="preserve">	</w:t>
      </w:r>
      <w:r>
        <w:rPr>
          <w:rFonts w:ascii="Arial" w:cs="Arial" w:eastAsia="Arial" w:hAnsi="Arial"/>
          <w:color w:val="333333"/>
          <w:sz w:val="20"/>
          <w:szCs w:val="20"/>
        </w:rPr>
        <w:t xml:space="preserve">23/01174/FUL</w:t>
      </w:r>
    </w:p>
    <w:p>
      <w:pPr>
        <w:tabs>
          <w:tab w:val="left" w:pos="2600"/>
        </w:tabs>
        <w:spacing w:after="70" w:before="0"/>
      </w:pPr>
      <w:r>
        <w:rPr>
          <w:rFonts w:ascii="Arial" w:cs="Arial" w:eastAsia="Arial" w:hAnsi="Arial"/>
          <w:b/>
          <w:bCs/>
          <w:color w:val="1A1A2E"/>
          <w:sz w:val="20"/>
          <w:szCs w:val="20"/>
        </w:rPr>
        <w:t xml:space="preserve">LPA</w:t>
      </w:r>
      <w:r>
        <w:rPr>
          <w:rFonts w:ascii="Arial" w:cs="Arial" w:eastAsia="Arial" w:hAnsi="Arial"/>
        </w:rPr>
        <w:t xml:space="preserve">	</w:t>
      </w:r>
      <w:r>
        <w:rPr>
          <w:rFonts w:ascii="Arial" w:cs="Arial" w:eastAsia="Arial" w:hAnsi="Arial"/>
          <w:color w:val="333333"/>
          <w:sz w:val="20"/>
          <w:szCs w:val="20"/>
        </w:rPr>
        <w:t xml:space="preserve">Cardiff Council</w:t>
      </w:r>
    </w:p>
    <w:p>
      <w:pPr>
        <w:tabs>
          <w:tab w:val="left" w:pos="2600"/>
        </w:tabs>
        <w:spacing w:after="70" w:before="0"/>
      </w:pPr>
      <w:r>
        <w:rPr>
          <w:rFonts w:ascii="Arial" w:cs="Arial" w:eastAsia="Arial" w:hAnsi="Arial"/>
          <w:b/>
          <w:bCs/>
          <w:color w:val="1A1A2E"/>
          <w:sz w:val="20"/>
          <w:szCs w:val="20"/>
        </w:rPr>
        <w:t xml:space="preserve">Address</w:t>
      </w:r>
      <w:r>
        <w:rPr>
          <w:rFonts w:ascii="Arial" w:cs="Arial" w:eastAsia="Arial" w:hAnsi="Arial"/>
        </w:rPr>
        <w:t xml:space="preserve">	</w:t>
      </w:r>
      <w:r>
        <w:rPr>
          <w:rFonts w:ascii="Arial" w:cs="Arial" w:eastAsia="Arial" w:hAnsi="Arial"/>
          <w:color w:val="333333"/>
          <w:sz w:val="20"/>
          <w:szCs w:val="20"/>
        </w:rPr>
        <w:t xml:space="preserve">Friary House, Greyfriars Road, Cathays, Cardiff CF10</w:t>
      </w:r>
    </w:p>
    <w:p>
      <w:pPr>
        <w:tabs>
          <w:tab w:val="left" w:pos="2600"/>
        </w:tabs>
        <w:spacing w:after="70" w:before="0"/>
      </w:pPr>
      <w:r>
        <w:rPr>
          <w:rFonts w:ascii="Arial" w:cs="Arial" w:eastAsia="Arial" w:hAnsi="Arial"/>
          <w:b/>
          <w:bCs/>
          <w:color w:val="1A1A2E"/>
          <w:sz w:val="20"/>
          <w:szCs w:val="20"/>
        </w:rPr>
        <w:t xml:space="preserve">Developer</w:t>
      </w:r>
      <w:r>
        <w:rPr>
          <w:rFonts w:ascii="Arial" w:cs="Arial" w:eastAsia="Arial" w:hAnsi="Arial"/>
        </w:rPr>
        <w:t xml:space="preserve">	</w:t>
      </w:r>
      <w:r>
        <w:rPr>
          <w:rFonts w:ascii="Arial" w:cs="Arial" w:eastAsia="Arial" w:hAnsi="Arial"/>
          <w:color w:val="333333"/>
          <w:sz w:val="20"/>
          <w:szCs w:val="20"/>
        </w:rPr>
        <w:t xml:space="preserve">Topland Group (owner) + Colico Living (development &amp; operation)</w:t>
      </w:r>
    </w:p>
    <w:p>
      <w:pPr>
        <w:tabs>
          <w:tab w:val="left" w:pos="2600"/>
        </w:tabs>
        <w:spacing w:after="70" w:before="0"/>
      </w:pPr>
      <w:r>
        <w:rPr>
          <w:rFonts w:ascii="Arial" w:cs="Arial" w:eastAsia="Arial" w:hAnsi="Arial"/>
          <w:b/>
          <w:bCs/>
          <w:color w:val="1A1A2E"/>
          <w:sz w:val="20"/>
          <w:szCs w:val="20"/>
        </w:rPr>
        <w:t xml:space="preserve">Architect</w:t>
      </w:r>
      <w:r>
        <w:rPr>
          <w:rFonts w:ascii="Arial" w:cs="Arial" w:eastAsia="Arial" w:hAnsi="Arial"/>
        </w:rPr>
        <w:t xml:space="preserve">	</w:t>
      </w:r>
      <w:r>
        <w:rPr>
          <w:rFonts w:ascii="Arial" w:cs="Arial" w:eastAsia="Arial" w:hAnsi="Arial"/>
          <w:color w:val="333333"/>
          <w:sz w:val="20"/>
          <w:szCs w:val="20"/>
        </w:rPr>
        <w:t xml:space="preserve">ECE Westworks / Rio Architects (Executive Architect)</w:t>
      </w:r>
    </w:p>
    <w:p>
      <w:pPr>
        <w:tabs>
          <w:tab w:val="left" w:pos="2600"/>
        </w:tabs>
        <w:spacing w:after="70" w:before="0"/>
      </w:pPr>
      <w:r>
        <w:rPr>
          <w:rFonts w:ascii="Arial" w:cs="Arial" w:eastAsia="Arial" w:hAnsi="Arial"/>
          <w:b/>
          <w:bCs/>
          <w:color w:val="1A1A2E"/>
          <w:sz w:val="20"/>
          <w:szCs w:val="20"/>
        </w:rPr>
        <w:t xml:space="preserve">Status</w:t>
      </w:r>
      <w:r>
        <w:rPr>
          <w:rFonts w:ascii="Arial" w:cs="Arial" w:eastAsia="Arial" w:hAnsi="Arial"/>
        </w:rPr>
        <w:t xml:space="preserve">	</w:t>
      </w:r>
      <w:r>
        <w:rPr>
          <w:rFonts w:ascii="Arial" w:cs="Arial" w:eastAsia="Arial" w:hAnsi="Arial"/>
          <w:color w:val="333333"/>
          <w:sz w:val="20"/>
          <w:szCs w:val="20"/>
        </w:rPr>
        <w:t xml:space="preserve">Approved 11 April 2024 — pre-contractor, demolition stage. Proposed opening 2027.</w:t>
      </w:r>
    </w:p>
    <w:p>
      <w:pPr>
        <w:tabs>
          <w:tab w:val="left" w:pos="2600"/>
        </w:tabs>
        <w:spacing w:after="70" w:before="0"/>
      </w:pPr>
      <w:r>
        <w:rPr>
          <w:rFonts w:ascii="Arial" w:cs="Arial" w:eastAsia="Arial" w:hAnsi="Arial"/>
          <w:b/>
          <w:bCs/>
          <w:color w:val="1A1A2E"/>
          <w:sz w:val="20"/>
          <w:szCs w:val="20"/>
        </w:rPr>
        <w:t xml:space="preserve">FF&amp;E window</w:t>
      </w:r>
      <w:r>
        <w:rPr>
          <w:rFonts w:ascii="Arial" w:cs="Arial" w:eastAsia="Arial" w:hAnsi="Arial"/>
        </w:rPr>
        <w:t xml:space="preserve">	</w:t>
      </w:r>
      <w:r>
        <w:rPr>
          <w:rFonts w:ascii="Arial" w:cs="Arial" w:eastAsia="Arial" w:hAnsi="Arial"/>
          <w:color w:val="333333"/>
          <w:sz w:val="20"/>
          <w:szCs w:val="20"/>
        </w:rPr>
        <w:t xml:space="preserve">Late 2026 – early 2027</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Classification</w:t>
      </w:r>
    </w:p>
    <w:p>
      <w:pPr>
        <w:spacing w:after="120" w:before="0"/>
      </w:pPr>
      <w:r>
        <w:rPr>
          <w:rFonts w:ascii="Arial" w:cs="Arial" w:eastAsia="Arial" w:hAnsi="Arial"/>
          <w:color w:val="333333"/>
          <w:sz w:val="20"/>
          <w:szCs w:val="20"/>
        </w:rPr>
        <w:t xml:space="preserve">PBSA — HIGH VALUE. Topland Group has owned Friary House for over 10 years and secured approval for a 585-bed, 28-storey PBSA on the former Tiger Tiger nightclub site. Operating partner Colico Living will manage the building post-completion. The scheme provides a mix of studio flats, en-suite cluster bedrooms, and one-bed apartments with commercial space at ground floor and a roof terrace. Approved unanimously by Cardiff Council in April 2024. Proposed opening 2027 — FF&amp;E procurement likely late 2026.</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Opportunities for Flagstaffe</w:t>
      </w:r>
    </w:p>
    <w:p>
      <w:pPr>
        <w:pStyle w:val="ListParagraph"/>
        <w:numPr>
          <w:ilvl w:val="0"/>
          <w:numId w:val="2"/>
        </w:numPr>
        <w:spacing w:after="90" w:before="0"/>
      </w:pPr>
      <w:r>
        <w:rPr>
          <w:rFonts w:ascii="Arial" w:cs="Arial" w:eastAsia="Arial" w:hAnsi="Arial"/>
          <w:color w:val="333333"/>
          <w:sz w:val="20"/>
          <w:szCs w:val="20"/>
        </w:rPr>
        <w:t xml:space="preserve">585 beds in a premium 28-storey tower on Greyfriars Road — prime city centre location with high specification intent.</w:t>
      </w:r>
    </w:p>
    <w:p>
      <w:pPr>
        <w:pStyle w:val="ListParagraph"/>
        <w:numPr>
          <w:ilvl w:val="0"/>
          <w:numId w:val="2"/>
        </w:numPr>
        <w:spacing w:after="90" w:before="0"/>
      </w:pPr>
      <w:r>
        <w:rPr>
          <w:rFonts w:ascii="Arial" w:cs="Arial" w:eastAsia="Arial" w:hAnsi="Arial"/>
          <w:color w:val="333333"/>
          <w:sz w:val="20"/>
          <w:szCs w:val="20"/>
        </w:rPr>
        <w:t xml:space="preserve">Colico Living is a new operator entering Cardiff with no established Cardiff FF&amp;E supplier — significant relationship opportunity.</w:t>
      </w:r>
    </w:p>
    <w:p>
      <w:pPr>
        <w:pStyle w:val="ListParagraph"/>
        <w:numPr>
          <w:ilvl w:val="0"/>
          <w:numId w:val="2"/>
        </w:numPr>
        <w:spacing w:after="90" w:before="0"/>
      </w:pPr>
      <w:r>
        <w:rPr>
          <w:rFonts w:ascii="Arial" w:cs="Arial" w:eastAsia="Arial" w:hAnsi="Arial"/>
          <w:color w:val="333333"/>
          <w:sz w:val="20"/>
          <w:szCs w:val="20"/>
        </w:rPr>
        <w:t xml:space="preserve">Pre-contractor stage means Flagstaffe can influence the specification before it is locked in.</w:t>
      </w:r>
    </w:p>
    <w:p>
      <w:pPr>
        <w:pStyle w:val="ListParagraph"/>
        <w:numPr>
          <w:ilvl w:val="0"/>
          <w:numId w:val="2"/>
        </w:numPr>
        <w:spacing w:after="90" w:before="0"/>
      </w:pPr>
      <w:r>
        <w:rPr>
          <w:rFonts w:ascii="Arial" w:cs="Arial" w:eastAsia="Arial" w:hAnsi="Arial"/>
          <w:color w:val="333333"/>
          <w:sz w:val="20"/>
          <w:szCs w:val="20"/>
        </w:rPr>
        <w:t xml:space="preserve">Planning approved unanimously with detailed design — no risk of scheme being fundamentally redesigned.</w:t>
      </w:r>
    </w:p>
    <w:p>
      <w:pPr>
        <w:pStyle w:val="ListParagraph"/>
        <w:numPr>
          <w:ilvl w:val="0"/>
          <w:numId w:val="2"/>
        </w:numPr>
        <w:spacing w:after="90" w:before="0"/>
      </w:pPr>
      <w:r>
        <w:rPr>
          <w:rFonts w:ascii="Arial" w:cs="Arial" w:eastAsia="Arial" w:hAnsi="Arial"/>
          <w:color w:val="333333"/>
          <w:sz w:val="20"/>
          <w:szCs w:val="20"/>
        </w:rPr>
        <w:t xml:space="preserve">Opening target of 2027 and FF&amp;E procurement in late 2026 aligns with Flagstaffe's current business development window.</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Red flags</w:t>
      </w:r>
    </w:p>
    <w:p>
      <w:pPr>
        <w:pStyle w:val="ListParagraph"/>
        <w:numPr>
          <w:ilvl w:val="0"/>
          <w:numId w:val="2"/>
        </w:numPr>
        <w:spacing w:after="80" w:before="0"/>
      </w:pPr>
      <w:r>
        <w:rPr>
          <w:rFonts w:ascii="Arial" w:cs="Arial" w:eastAsia="Arial" w:hAnsi="Arial"/>
          <w:color w:val="C62828"/>
          <w:sz w:val="20"/>
          <w:szCs w:val="20"/>
        </w:rPr>
        <w:t xml:space="preserve">26 months post-consent with no public contractor announcement. This may indicate delayed programme or financing complexity — verify with developer.</w:t>
      </w:r>
    </w:p>
    <w:p>
      <w:pPr>
        <w:pStyle w:val="ListParagraph"/>
        <w:numPr>
          <w:ilvl w:val="0"/>
          <w:numId w:val="2"/>
        </w:numPr>
        <w:spacing w:after="80" w:before="0"/>
      </w:pPr>
      <w:r>
        <w:rPr>
          <w:rFonts w:ascii="Arial" w:cs="Arial" w:eastAsia="Arial" w:hAnsi="Arial"/>
          <w:color w:val="C62828"/>
          <w:sz w:val="20"/>
          <w:szCs w:val="20"/>
        </w:rPr>
        <w:t xml:space="preserve">Topland Group is a large London-based investor. Their procurement approach may be London-centric.</w:t>
      </w:r>
    </w:p>
    <w:p>
      <w:pPr>
        <w:pStyle w:val="ListParagraph"/>
        <w:numPr>
          <w:ilvl w:val="0"/>
          <w:numId w:val="2"/>
        </w:numPr>
        <w:spacing w:after="80" w:before="0"/>
      </w:pPr>
      <w:r>
        <w:rPr>
          <w:rFonts w:ascii="Arial" w:cs="Arial" w:eastAsia="Arial" w:hAnsi="Arial"/>
          <w:color w:val="C62828"/>
          <w:sz w:val="20"/>
          <w:szCs w:val="20"/>
        </w:rPr>
        <w:t xml:space="preserve">The 28-storey tower triggers Gateway 2 (Building Safety Act) process — additional regulatory steps may affect programme.</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Recommended action</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Contact Jon Stewart (Director, Colico Living) and William Davies (Director of Asset Management, Topland Group). Lead with Flagstaffe's Cardiff market knowledge, cluster and studio expertise, and delivery track record for premium PBSA.</w:t>
      </w:r>
    </w:p>
    <w:p>
      <w:pPr>
        <w:spacing w:after="12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Indicative FF&amp;E budget</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Room counts are ASSUMED from planning documents. Rates: Flag22167, Kronospan Band A, Jan-27 inflation.</w:t>
      </w:r>
    </w:p>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Cost Category</w:t>
            </w:r>
          </w:p>
        </w:tc>
        <w:tc>
          <w:tcPr>
            <w:tcW w:type="dxa" w:w="4338"/>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jc w:val="right"/>
            </w:pPr>
            <w:r>
              <w:rPr>
                <w:rFonts w:ascii="Arial" w:cs="Arial" w:eastAsia="Arial" w:hAnsi="Arial"/>
                <w:b/>
                <w:bCs/>
                <w:color w:val="E8C547"/>
                <w:sz w:val="18"/>
                <w:szCs w:val="18"/>
              </w:rPr>
              <w:t xml:space="preserve">Indicative Sub-total</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Cluster Bedrooms (240)</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£305,976.00</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Standard Studios (309)</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£1,325,764.50</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Accessible Studios (36)</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£188,960.04</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KLDs — 48 cluster kitchens</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£380,361.98</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Project Management Fee</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£43,316.19</w:t>
            </w:r>
          </w:p>
        </w:tc>
      </w:tr>
      <w:tr>
        <w:tc>
          <w:tcPr>
            <w:tcW w:type="dxa" w:w="5300"/>
            <w:tcBorders>
              <w:top w:val="single" w:color="DDDDDD" w:sz="1"/>
              <w:left w:val="single" w:color="DDDDDD" w:sz="1"/>
              <w:bottom w:val="single" w:color="DDDDDD" w:sz="1"/>
              <w:right w:val="single" w:color="DDDDDD" w:sz="1"/>
            </w:tcBorders>
            <w:shd w:fill="E8C547"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Sub-total</w:t>
            </w:r>
          </w:p>
        </w:tc>
        <w:tc>
          <w:tcPr>
            <w:tcW w:type="dxa" w:w="4338"/>
            <w:tcBorders>
              <w:top w:val="single" w:color="DDDDDD" w:sz="1"/>
              <w:left w:val="single" w:color="DDDDDD" w:sz="1"/>
              <w:bottom w:val="single" w:color="DDDDDD" w:sz="1"/>
              <w:right w:val="single" w:color="DDDDDD" w:sz="1"/>
            </w:tcBorders>
            <w:shd w:fill="E8C547" w:val="clear"/>
            <w:tcMar>
              <w:top w:type="dxa" w:w="60"/>
              <w:left w:type="dxa" w:w="140"/>
              <w:bottom w:type="dxa" w:w="60"/>
              <w:right w:type="dxa" w:w="140"/>
            </w:tcMar>
          </w:tcPr>
          <w:p>
            <w:pPr>
              <w:spacing w:after="0" w:before="0"/>
              <w:jc w:val="right"/>
            </w:pPr>
            <w:r>
              <w:rPr>
                <w:rFonts w:ascii="Arial" w:cs="Arial" w:eastAsia="Arial" w:hAnsi="Arial"/>
                <w:b/>
                <w:bCs/>
                <w:color w:val="1A1A2E"/>
                <w:sz w:val="18"/>
                <w:szCs w:val="18"/>
              </w:rPr>
              <w:t xml:space="preserve">£2,244,378.71</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2.5% MCD Discount</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C62828"/>
                <w:sz w:val="18"/>
                <w:szCs w:val="18"/>
              </w:rPr>
              <w:t xml:space="preserve">-£56,109.47</w:t>
            </w:r>
          </w:p>
        </w:tc>
      </w:tr>
      <w:tr>
        <w:tc>
          <w:tcPr>
            <w:tcW w:type="dxa" w:w="5300"/>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INDICATIVE TOTAL (excl. VAT)</w:t>
            </w:r>
          </w:p>
        </w:tc>
        <w:tc>
          <w:tcPr>
            <w:tcW w:type="dxa" w:w="4338"/>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jc w:val="right"/>
            </w:pPr>
            <w:r>
              <w:rPr>
                <w:rFonts w:ascii="Arial" w:cs="Arial" w:eastAsia="Arial" w:hAnsi="Arial"/>
                <w:b/>
                <w:bCs/>
                <w:color w:val="E8C547"/>
                <w:sz w:val="20"/>
                <w:szCs w:val="20"/>
              </w:rPr>
              <w:t xml:space="preserve">£2,188,269.24</w:t>
            </w:r>
          </w:p>
        </w:tc>
      </w:tr>
    </w:tbl>
    <w:p>
      <w:pPr>
        <w:spacing w:after="80" w:before="0"/>
      </w:pPr>
      <w:r>
        <w:rPr>
          <w:rFonts w:ascii="Arial" w:cs="Arial" w:eastAsia="Arial" w:hAnsi="Arial"/>
          <w:color w:val="333333"/>
          <w:sz w:val="20"/>
          <w:szCs w:val="20"/>
        </w:rPr>
        <w:t xml:space="preserve"/>
      </w:r>
    </w:p>
    <w:p>
      <w:pPr>
        <w:tabs>
          <w:tab w:val="left" w:pos="2600"/>
        </w:tabs>
        <w:spacing w:after="70" w:before="0"/>
      </w:pPr>
      <w:r>
        <w:rPr>
          <w:rFonts w:ascii="Arial" w:cs="Arial" w:eastAsia="Arial" w:hAnsi="Arial"/>
          <w:b/>
          <w:bCs/>
          <w:color w:val="1A1A2E"/>
          <w:sz w:val="20"/>
          <w:szCs w:val="20"/>
        </w:rPr>
        <w:t xml:space="preserve">Cluster beds (assumed)</w:t>
      </w:r>
      <w:r>
        <w:rPr>
          <w:rFonts w:ascii="Arial" w:cs="Arial" w:eastAsia="Arial" w:hAnsi="Arial"/>
        </w:rPr>
        <w:t xml:space="preserve">	</w:t>
      </w:r>
      <w:r>
        <w:rPr>
          <w:rFonts w:ascii="Arial" w:cs="Arial" w:eastAsia="Arial" w:hAnsi="Arial"/>
          <w:color w:val="333333"/>
          <w:sz w:val="20"/>
          <w:szCs w:val="20"/>
        </w:rPr>
        <w:t xml:space="preserve">240</w:t>
      </w:r>
    </w:p>
    <w:p>
      <w:pPr>
        <w:tabs>
          <w:tab w:val="left" w:pos="2600"/>
        </w:tabs>
        <w:spacing w:after="70" w:before="0"/>
      </w:pPr>
      <w:r>
        <w:rPr>
          <w:rFonts w:ascii="Arial" w:cs="Arial" w:eastAsia="Arial" w:hAnsi="Arial"/>
          <w:b/>
          <w:bCs/>
          <w:color w:val="1A1A2E"/>
          <w:sz w:val="20"/>
          <w:szCs w:val="20"/>
        </w:rPr>
        <w:t xml:space="preserve">Standard studios (assumed)</w:t>
      </w:r>
      <w:r>
        <w:rPr>
          <w:rFonts w:ascii="Arial" w:cs="Arial" w:eastAsia="Arial" w:hAnsi="Arial"/>
        </w:rPr>
        <w:t xml:space="preserve">	</w:t>
      </w:r>
      <w:r>
        <w:rPr>
          <w:rFonts w:ascii="Arial" w:cs="Arial" w:eastAsia="Arial" w:hAnsi="Arial"/>
          <w:color w:val="333333"/>
          <w:sz w:val="20"/>
          <w:szCs w:val="20"/>
        </w:rPr>
        <w:t xml:space="preserve">309</w:t>
      </w:r>
    </w:p>
    <w:p>
      <w:pPr>
        <w:tabs>
          <w:tab w:val="left" w:pos="2600"/>
        </w:tabs>
        <w:spacing w:after="70" w:before="0"/>
      </w:pPr>
      <w:r>
        <w:rPr>
          <w:rFonts w:ascii="Arial" w:cs="Arial" w:eastAsia="Arial" w:hAnsi="Arial"/>
          <w:b/>
          <w:bCs/>
          <w:color w:val="1A1A2E"/>
          <w:sz w:val="20"/>
          <w:szCs w:val="20"/>
        </w:rPr>
        <w:t xml:space="preserve">ACC/DDA studios (assumed)</w:t>
      </w:r>
      <w:r>
        <w:rPr>
          <w:rFonts w:ascii="Arial" w:cs="Arial" w:eastAsia="Arial" w:hAnsi="Arial"/>
        </w:rPr>
        <w:t xml:space="preserve">	</w:t>
      </w:r>
      <w:r>
        <w:rPr>
          <w:rFonts w:ascii="Arial" w:cs="Arial" w:eastAsia="Arial" w:hAnsi="Arial"/>
          <w:color w:val="333333"/>
          <w:sz w:val="20"/>
          <w:szCs w:val="20"/>
        </w:rPr>
        <w:t xml:space="preserve">36</w:t>
      </w:r>
    </w:p>
    <w:p>
      <w:pPr>
        <w:tabs>
          <w:tab w:val="left" w:pos="2600"/>
        </w:tabs>
        <w:spacing w:after="70" w:before="0"/>
      </w:pPr>
      <w:r>
        <w:rPr>
          <w:rFonts w:ascii="Arial" w:cs="Arial" w:eastAsia="Arial" w:hAnsi="Arial"/>
          <w:b/>
          <w:bCs/>
          <w:color w:val="1A1A2E"/>
          <w:sz w:val="20"/>
          <w:szCs w:val="20"/>
        </w:rPr>
        <w:t xml:space="preserve">KLD 5-person (assumed)</w:t>
      </w:r>
      <w:r>
        <w:rPr>
          <w:rFonts w:ascii="Arial" w:cs="Arial" w:eastAsia="Arial" w:hAnsi="Arial"/>
        </w:rPr>
        <w:t xml:space="preserve">	</w:t>
      </w:r>
      <w:r>
        <w:rPr>
          <w:rFonts w:ascii="Arial" w:cs="Arial" w:eastAsia="Arial" w:hAnsi="Arial"/>
          <w:color w:val="333333"/>
          <w:sz w:val="20"/>
          <w:szCs w:val="20"/>
        </w:rPr>
        <w:t xml:space="preserve">18</w:t>
      </w:r>
    </w:p>
    <w:p>
      <w:pPr>
        <w:tabs>
          <w:tab w:val="left" w:pos="2600"/>
        </w:tabs>
        <w:spacing w:after="70" w:before="0"/>
      </w:pPr>
      <w:r>
        <w:rPr>
          <w:rFonts w:ascii="Arial" w:cs="Arial" w:eastAsia="Arial" w:hAnsi="Arial"/>
          <w:b/>
          <w:bCs/>
          <w:color w:val="1A1A2E"/>
          <w:sz w:val="20"/>
          <w:szCs w:val="20"/>
        </w:rPr>
        <w:t xml:space="preserve">KLD 6-person (assumed)</w:t>
      </w:r>
      <w:r>
        <w:rPr>
          <w:rFonts w:ascii="Arial" w:cs="Arial" w:eastAsia="Arial" w:hAnsi="Arial"/>
        </w:rPr>
        <w:t xml:space="preserve">	</w:t>
      </w:r>
      <w:r>
        <w:rPr>
          <w:rFonts w:ascii="Arial" w:cs="Arial" w:eastAsia="Arial" w:hAnsi="Arial"/>
          <w:color w:val="333333"/>
          <w:sz w:val="20"/>
          <w:szCs w:val="20"/>
        </w:rPr>
        <w:t xml:space="preserve">22</w:t>
      </w:r>
    </w:p>
    <w:p>
      <w:pPr>
        <w:tabs>
          <w:tab w:val="left" w:pos="2600"/>
        </w:tabs>
        <w:spacing w:after="70" w:before="0"/>
      </w:pPr>
      <w:r>
        <w:rPr>
          <w:rFonts w:ascii="Arial" w:cs="Arial" w:eastAsia="Arial" w:hAnsi="Arial"/>
          <w:b/>
          <w:bCs/>
          <w:color w:val="1A1A2E"/>
          <w:sz w:val="20"/>
          <w:szCs w:val="20"/>
        </w:rPr>
        <w:t xml:space="preserve">KLD 7-person (assumed)</w:t>
      </w:r>
      <w:r>
        <w:rPr>
          <w:rFonts w:ascii="Arial" w:cs="Arial" w:eastAsia="Arial" w:hAnsi="Arial"/>
        </w:rPr>
        <w:t xml:space="preserve">	</w:t>
      </w:r>
      <w:r>
        <w:rPr>
          <w:rFonts w:ascii="Arial" w:cs="Arial" w:eastAsia="Arial" w:hAnsi="Arial"/>
          <w:color w:val="333333"/>
          <w:sz w:val="20"/>
          <w:szCs w:val="20"/>
        </w:rPr>
        <w:t xml:space="preserve">8</w:t>
      </w:r>
    </w:p>
    <w:p>
      <w:pPr>
        <w:spacing w:after="8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Mix from planning docs: 384 studios and 48 apartments. Cluster element assumed for wider room types. Confirm from ECE Westworks drawings.</w:t>
      </w:r>
    </w:p>
    <w:p>
      <w:pPr>
        <w:spacing w:after="120" w:before="0"/>
      </w:pPr>
      <w:r>
        <w:rPr>
          <w:rFonts w:ascii="Arial" w:cs="Arial" w:eastAsia="Arial" w:hAnsi="Arial"/>
          <w:color w:val="333333"/>
          <w:sz w:val="20"/>
          <w:szCs w:val="20"/>
        </w:rPr>
        <w:t xml:space="preserve"/>
      </w:r>
    </w:p>
    <w:p>
      <w:pPr>
        <w:pBdr>
          <w:bottom w:val="single" w:color="E8C547" w:sz="4"/>
        </w:pBdr>
        <w:spacing w:after="80" w:before="80"/>
      </w:pPr>
      <w:r>
        <w:rPr>
          <w:rFonts w:ascii="Arial" w:cs="Arial" w:eastAsia="Arial" w:hAnsi="Arial"/>
          <w:color w:val="333333"/>
          <w:sz w:val="20"/>
          <w:szCs w:val="20"/>
        </w:rPr>
        <w:t xml:space="preserve"/>
      </w:r>
    </w:p>
    <w:p>
      <w:r>
        <w:br w:type="page"/>
      </w:r>
    </w:p>
    <w:p>
      <w:pPr>
        <w:spacing w:after="50" w:before="0"/>
      </w:pPr>
      <w:r>
        <w:rPr>
          <w:rFonts w:ascii="Arial" w:cs="Arial" w:eastAsia="Arial" w:hAnsi="Arial"/>
          <w:b/>
          <w:bCs/>
          <w:color w:val="7F8C8D"/>
          <w:sz w:val="18"/>
          <w:szCs w:val="18"/>
        </w:rPr>
        <w:t xml:space="preserve">Priority 3</w:t>
      </w:r>
    </w:p>
    <w:p>
      <w:pPr>
        <w:spacing w:after="60" w:before="0"/>
      </w:pPr>
      <w:r>
        <w:rPr>
          <w:rFonts w:ascii="Arial" w:cs="Arial" w:eastAsia="Arial" w:hAnsi="Arial"/>
          <w:b/>
          <w:bCs/>
          <w:color w:val="1A1A2E"/>
          <w:sz w:val="22"/>
          <w:szCs w:val="22"/>
        </w:rPr>
        <w:t xml:space="preserve">FE COLLEGE — UNDER CONSTRUCTION </w:t>
      </w:r>
    </w:p>
    <w:p>
      <w:pPr>
        <w:spacing w:after="80" w:before="0"/>
      </w:pPr>
      <w:r>
        <w:rPr>
          <w:rFonts w:ascii="Arial" w:cs="Arial" w:eastAsia="Arial" w:hAnsi="Arial"/>
          <w:b/>
          <w:bCs/>
          <w:color w:val="1A1A2E"/>
          <w:sz w:val="34"/>
          <w:szCs w:val="34"/>
        </w:rPr>
        <w:t xml:space="preserve">Llysfasi Campus Student Accommodation, Ruthin, Denbighshire</w:t>
      </w:r>
    </w:p>
    <w:p>
      <w:pPr>
        <w:pBdr>
          <w:bottom w:val="single" w:color="E8C547" w:sz="6"/>
        </w:pBdr>
        <w:spacing w:after="120" w:before="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Application details</w:t>
      </w:r>
    </w:p>
    <w:p>
      <w:pPr>
        <w:tabs>
          <w:tab w:val="left" w:pos="2600"/>
        </w:tabs>
        <w:spacing w:after="70" w:before="0"/>
      </w:pPr>
      <w:r>
        <w:rPr>
          <w:rFonts w:ascii="Arial" w:cs="Arial" w:eastAsia="Arial" w:hAnsi="Arial"/>
          <w:b/>
          <w:bCs/>
          <w:color w:val="1A1A2E"/>
          <w:sz w:val="20"/>
          <w:szCs w:val="20"/>
        </w:rPr>
        <w:t xml:space="preserve">Planning reference</w:t>
      </w:r>
      <w:r>
        <w:rPr>
          <w:rFonts w:ascii="Arial" w:cs="Arial" w:eastAsia="Arial" w:hAnsi="Arial"/>
        </w:rPr>
        <w:t xml:space="preserve">	</w:t>
      </w:r>
      <w:r>
        <w:rPr>
          <w:rFonts w:ascii="Arial" w:cs="Arial" w:eastAsia="Arial" w:hAnsi="Arial"/>
          <w:color w:val="333333"/>
          <w:sz w:val="20"/>
          <w:szCs w:val="20"/>
        </w:rPr>
        <w:t xml:space="preserve">Not confirmed</w:t>
      </w:r>
    </w:p>
    <w:p>
      <w:pPr>
        <w:tabs>
          <w:tab w:val="left" w:pos="2600"/>
        </w:tabs>
        <w:spacing w:after="70" w:before="0"/>
      </w:pPr>
      <w:r>
        <w:rPr>
          <w:rFonts w:ascii="Arial" w:cs="Arial" w:eastAsia="Arial" w:hAnsi="Arial"/>
          <w:b/>
          <w:bCs/>
          <w:color w:val="1A1A2E"/>
          <w:sz w:val="20"/>
          <w:szCs w:val="20"/>
        </w:rPr>
        <w:t xml:space="preserve">LPA</w:t>
      </w:r>
      <w:r>
        <w:rPr>
          <w:rFonts w:ascii="Arial" w:cs="Arial" w:eastAsia="Arial" w:hAnsi="Arial"/>
        </w:rPr>
        <w:t xml:space="preserve">	</w:t>
      </w:r>
      <w:r>
        <w:rPr>
          <w:rFonts w:ascii="Arial" w:cs="Arial" w:eastAsia="Arial" w:hAnsi="Arial"/>
          <w:color w:val="333333"/>
          <w:sz w:val="20"/>
          <w:szCs w:val="20"/>
        </w:rPr>
        <w:t xml:space="preserve">Denbighshire County Council</w:t>
      </w:r>
    </w:p>
    <w:p>
      <w:pPr>
        <w:tabs>
          <w:tab w:val="left" w:pos="2600"/>
        </w:tabs>
        <w:spacing w:after="70" w:before="0"/>
      </w:pPr>
      <w:r>
        <w:rPr>
          <w:rFonts w:ascii="Arial" w:cs="Arial" w:eastAsia="Arial" w:hAnsi="Arial"/>
          <w:b/>
          <w:bCs/>
          <w:color w:val="1A1A2E"/>
          <w:sz w:val="20"/>
          <w:szCs w:val="20"/>
        </w:rPr>
        <w:t xml:space="preserve">Address</w:t>
      </w:r>
      <w:r>
        <w:rPr>
          <w:rFonts w:ascii="Arial" w:cs="Arial" w:eastAsia="Arial" w:hAnsi="Arial"/>
        </w:rPr>
        <w:t xml:space="preserve">	</w:t>
      </w:r>
      <w:r>
        <w:rPr>
          <w:rFonts w:ascii="Arial" w:cs="Arial" w:eastAsia="Arial" w:hAnsi="Arial"/>
          <w:color w:val="333333"/>
          <w:sz w:val="20"/>
          <w:szCs w:val="20"/>
        </w:rPr>
        <w:t xml:space="preserve">Llysfasi College, Ruthin, Denbighshire LL15</w:t>
      </w:r>
    </w:p>
    <w:p>
      <w:pPr>
        <w:tabs>
          <w:tab w:val="left" w:pos="2600"/>
        </w:tabs>
        <w:spacing w:after="70" w:before="0"/>
      </w:pPr>
      <w:r>
        <w:rPr>
          <w:rFonts w:ascii="Arial" w:cs="Arial" w:eastAsia="Arial" w:hAnsi="Arial"/>
          <w:b/>
          <w:bCs/>
          <w:color w:val="1A1A2E"/>
          <w:sz w:val="20"/>
          <w:szCs w:val="20"/>
        </w:rPr>
        <w:t xml:space="preserve">Developer</w:t>
      </w:r>
      <w:r>
        <w:rPr>
          <w:rFonts w:ascii="Arial" w:cs="Arial" w:eastAsia="Arial" w:hAnsi="Arial"/>
        </w:rPr>
        <w:t xml:space="preserve">	</w:t>
      </w:r>
      <w:r>
        <w:rPr>
          <w:rFonts w:ascii="Arial" w:cs="Arial" w:eastAsia="Arial" w:hAnsi="Arial"/>
          <w:color w:val="333333"/>
          <w:sz w:val="20"/>
          <w:szCs w:val="20"/>
        </w:rPr>
        <w:t xml:space="preserve">Coleg Cambria (FE College)</w:t>
      </w:r>
    </w:p>
    <w:p>
      <w:pPr>
        <w:tabs>
          <w:tab w:val="left" w:pos="2600"/>
        </w:tabs>
        <w:spacing w:after="70" w:before="0"/>
      </w:pPr>
      <w:r>
        <w:rPr>
          <w:rFonts w:ascii="Arial" w:cs="Arial" w:eastAsia="Arial" w:hAnsi="Arial"/>
          <w:b/>
          <w:bCs/>
          <w:color w:val="1A1A2E"/>
          <w:sz w:val="20"/>
          <w:szCs w:val="20"/>
        </w:rPr>
        <w:t xml:space="preserve">Architect</w:t>
      </w:r>
      <w:r>
        <w:rPr>
          <w:rFonts w:ascii="Arial" w:cs="Arial" w:eastAsia="Arial" w:hAnsi="Arial"/>
        </w:rPr>
        <w:t xml:space="preserve">	</w:t>
      </w:r>
      <w:r>
        <w:rPr>
          <w:rFonts w:ascii="Arial" w:cs="Arial" w:eastAsia="Arial" w:hAnsi="Arial"/>
          <w:color w:val="333333"/>
          <w:sz w:val="20"/>
          <w:szCs w:val="20"/>
        </w:rPr>
        <w:t xml:space="preserve">TACP Architects (Wrexham)</w:t>
      </w:r>
    </w:p>
    <w:p>
      <w:pPr>
        <w:tabs>
          <w:tab w:val="left" w:pos="2600"/>
        </w:tabs>
        <w:spacing w:after="70" w:before="0"/>
      </w:pPr>
      <w:r>
        <w:rPr>
          <w:rFonts w:ascii="Arial" w:cs="Arial" w:eastAsia="Arial" w:hAnsi="Arial"/>
          <w:b/>
          <w:bCs/>
          <w:color w:val="1A1A2E"/>
          <w:sz w:val="20"/>
          <w:szCs w:val="20"/>
        </w:rPr>
        <w:t xml:space="preserve">Status</w:t>
      </w:r>
      <w:r>
        <w:rPr>
          <w:rFonts w:ascii="Arial" w:cs="Arial" w:eastAsia="Arial" w:hAnsi="Arial"/>
        </w:rPr>
        <w:t xml:space="preserve">	</w:t>
      </w:r>
      <w:r>
        <w:rPr>
          <w:rFonts w:ascii="Arial" w:cs="Arial" w:eastAsia="Arial" w:hAnsi="Arial"/>
          <w:color w:val="333333"/>
          <w:sz w:val="20"/>
          <w:szCs w:val="20"/>
        </w:rPr>
        <w:t xml:space="preserve">Planning approved 2024/25 — under construction since November 2025</w:t>
      </w:r>
    </w:p>
    <w:p>
      <w:pPr>
        <w:tabs>
          <w:tab w:val="left" w:pos="2600"/>
        </w:tabs>
        <w:spacing w:after="70" w:before="0"/>
      </w:pPr>
      <w:r>
        <w:rPr>
          <w:rFonts w:ascii="Arial" w:cs="Arial" w:eastAsia="Arial" w:hAnsi="Arial"/>
          <w:b/>
          <w:bCs/>
          <w:color w:val="1A1A2E"/>
          <w:sz w:val="20"/>
          <w:szCs w:val="20"/>
        </w:rPr>
        <w:t xml:space="preserve">FF&amp;E window</w:t>
      </w:r>
      <w:r>
        <w:rPr>
          <w:rFonts w:ascii="Arial" w:cs="Arial" w:eastAsia="Arial" w:hAnsi="Arial"/>
        </w:rPr>
        <w:t xml:space="preserve">	</w:t>
      </w:r>
      <w:r>
        <w:rPr>
          <w:rFonts w:ascii="Arial" w:cs="Arial" w:eastAsia="Arial" w:hAnsi="Arial"/>
          <w:color w:val="333333"/>
          <w:sz w:val="20"/>
          <w:szCs w:val="20"/>
        </w:rPr>
        <w:t xml:space="preserve">Q3-Q4 2026 (imminent)</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Classification</w:t>
      </w:r>
    </w:p>
    <w:p>
      <w:pPr>
        <w:spacing w:after="120" w:before="0"/>
      </w:pPr>
      <w:r>
        <w:rPr>
          <w:rFonts w:ascii="Arial" w:cs="Arial" w:eastAsia="Arial" w:hAnsi="Arial"/>
          <w:color w:val="333333"/>
          <w:sz w:val="20"/>
          <w:szCs w:val="20"/>
        </w:rPr>
        <w:t xml:space="preserve">FE COLLEGE PBSA — LOWER PRIORITY. Coleg Cambria's Llysfasi campus is a specialist land-based further education site near Ruthin. The 50-bed scheme replaces the need for early morning commutes for students working on farm operations (including 4am milking rounds). Rooms are grouped in clusters with shared communal kitchenettes. Under construction since November 2025 — completion expected late 2026. This is a very different market to Flagstaffe's typical PBSA developer/contractor client: it is a college-direct procurement through Wrexham-based contractors.</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Opportunities for Flagstaffe</w:t>
      </w:r>
    </w:p>
    <w:p>
      <w:pPr>
        <w:pStyle w:val="ListParagraph"/>
        <w:numPr>
          <w:ilvl w:val="0"/>
          <w:numId w:val="2"/>
        </w:numPr>
        <w:spacing w:after="90" w:before="0"/>
      </w:pPr>
      <w:r>
        <w:rPr>
          <w:rFonts w:ascii="Arial" w:cs="Arial" w:eastAsia="Arial" w:hAnsi="Arial"/>
          <w:color w:val="333333"/>
          <w:sz w:val="20"/>
          <w:szCs w:val="20"/>
        </w:rPr>
        <w:t xml:space="preserve">50 beds with tight cluster format is fast to deliver — a clean, profitable small contract.</w:t>
      </w:r>
    </w:p>
    <w:p>
      <w:pPr>
        <w:pStyle w:val="ListParagraph"/>
        <w:numPr>
          <w:ilvl w:val="0"/>
          <w:numId w:val="2"/>
        </w:numPr>
        <w:spacing w:after="90" w:before="0"/>
      </w:pPr>
      <w:r>
        <w:rPr>
          <w:rFonts w:ascii="Arial" w:cs="Arial" w:eastAsia="Arial" w:hAnsi="Arial"/>
          <w:color w:val="333333"/>
          <w:sz w:val="20"/>
          <w:szCs w:val="20"/>
        </w:rPr>
        <w:t xml:space="preserve">Coleg Cambria runs multiple Welsh campuses. A positive first engagement opens their wider college estate.</w:t>
      </w:r>
    </w:p>
    <w:p>
      <w:pPr>
        <w:pStyle w:val="ListParagraph"/>
        <w:numPr>
          <w:ilvl w:val="0"/>
          <w:numId w:val="2"/>
        </w:numPr>
        <w:spacing w:after="90" w:before="0"/>
      </w:pPr>
      <w:r>
        <w:rPr>
          <w:rFonts w:ascii="Arial" w:cs="Arial" w:eastAsia="Arial" w:hAnsi="Arial"/>
          <w:color w:val="333333"/>
          <w:sz w:val="20"/>
          <w:szCs w:val="20"/>
        </w:rPr>
        <w:t xml:space="preserve">Under construction now — FF&amp;E procurement window is imminent (Q3-Q4 2026).</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Red flags</w:t>
      </w:r>
    </w:p>
    <w:p>
      <w:pPr>
        <w:pStyle w:val="ListParagraph"/>
        <w:numPr>
          <w:ilvl w:val="0"/>
          <w:numId w:val="2"/>
        </w:numPr>
        <w:spacing w:after="80" w:before="0"/>
      </w:pPr>
      <w:r>
        <w:rPr>
          <w:rFonts w:ascii="Arial" w:cs="Arial" w:eastAsia="Arial" w:hAnsi="Arial"/>
          <w:color w:val="C62828"/>
          <w:sz w:val="20"/>
          <w:szCs w:val="20"/>
        </w:rPr>
        <w:t xml:space="preserve">Rural site near Ruthin — logistics and access for delivery may be challenging.</w:t>
      </w:r>
    </w:p>
    <w:p>
      <w:pPr>
        <w:pStyle w:val="ListParagraph"/>
        <w:numPr>
          <w:ilvl w:val="0"/>
          <w:numId w:val="2"/>
        </w:numPr>
        <w:spacing w:after="80" w:before="0"/>
      </w:pPr>
      <w:r>
        <w:rPr>
          <w:rFonts w:ascii="Arial" w:cs="Arial" w:eastAsia="Arial" w:hAnsi="Arial"/>
          <w:color w:val="C62828"/>
          <w:sz w:val="20"/>
          <w:szCs w:val="20"/>
        </w:rPr>
        <w:t xml:space="preserve">FE college direct procurement — may already have preferred FF&amp;E suppliers from previous college refurbishment work.</w:t>
      </w:r>
    </w:p>
    <w:p>
      <w:pPr>
        <w:pStyle w:val="ListParagraph"/>
        <w:numPr>
          <w:ilvl w:val="0"/>
          <w:numId w:val="2"/>
        </w:numPr>
        <w:spacing w:after="80" w:before="0"/>
      </w:pPr>
      <w:r>
        <w:rPr>
          <w:rFonts w:ascii="Arial" w:cs="Arial" w:eastAsia="Arial" w:hAnsi="Arial"/>
          <w:color w:val="C62828"/>
          <w:sz w:val="20"/>
          <w:szCs w:val="20"/>
        </w:rPr>
        <w:t xml:space="preserve">Small contract (50 beds) — limited revenue but good relationship foundation.</w:t>
      </w:r>
    </w:p>
    <w:p>
      <w:pPr>
        <w:pStyle w:val="ListParagraph"/>
        <w:numPr>
          <w:ilvl w:val="0"/>
          <w:numId w:val="2"/>
        </w:numPr>
        <w:spacing w:after="80" w:before="0"/>
      </w:pPr>
      <w:r>
        <w:rPr>
          <w:rFonts w:ascii="Arial" w:cs="Arial" w:eastAsia="Arial" w:hAnsi="Arial"/>
          <w:color w:val="C62828"/>
          <w:sz w:val="20"/>
          <w:szCs w:val="20"/>
        </w:rPr>
        <w:t xml:space="preserve">Cluster format with communal kitchenettes only — limited appliance scope compared to full PBSA.</w:t>
      </w:r>
    </w:p>
    <w:p>
      <w:pPr>
        <w:spacing w:after="10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Recommended action</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Contact Elin Roberts (Head of Llysfasi) and Coleg Cambria's estates team. This is a lower-investment engagement but could open the wider Coleg Cambria estate across North Wales.</w:t>
      </w:r>
    </w:p>
    <w:p>
      <w:pPr>
        <w:spacing w:after="12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Indicative FF&amp;E budget</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Room counts are ASSUMED from planning documents. Rates: Flag22167, Kronospan Band A, Jan-27 inflation.</w:t>
      </w:r>
    </w:p>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Cost Category</w:t>
            </w:r>
          </w:p>
        </w:tc>
        <w:tc>
          <w:tcPr>
            <w:tcW w:type="dxa" w:w="4338"/>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jc w:val="right"/>
            </w:pPr>
            <w:r>
              <w:rPr>
                <w:rFonts w:ascii="Arial" w:cs="Arial" w:eastAsia="Arial" w:hAnsi="Arial"/>
                <w:b/>
                <w:bCs/>
                <w:color w:val="E8C547"/>
                <w:sz w:val="18"/>
                <w:szCs w:val="18"/>
              </w:rPr>
              <w:t xml:space="preserve">Indicative Sub-total</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Cluster Bedrooms (50)</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£63,745.00</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KLDs — 8 cluster kitchens</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£69,953.44</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Project Management Fee</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1A1A2E"/>
                <w:sz w:val="18"/>
                <w:szCs w:val="18"/>
              </w:rPr>
              <w:t xml:space="preserve">£3,968.94</w:t>
            </w:r>
          </w:p>
        </w:tc>
      </w:tr>
      <w:tr>
        <w:tc>
          <w:tcPr>
            <w:tcW w:type="dxa" w:w="5300"/>
            <w:tcBorders>
              <w:top w:val="single" w:color="DDDDDD" w:sz="1"/>
              <w:left w:val="single" w:color="DDDDDD" w:sz="1"/>
              <w:bottom w:val="single" w:color="DDDDDD" w:sz="1"/>
              <w:right w:val="single" w:color="DDDDDD" w:sz="1"/>
            </w:tcBorders>
            <w:shd w:fill="E8C547"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Sub-total</w:t>
            </w:r>
          </w:p>
        </w:tc>
        <w:tc>
          <w:tcPr>
            <w:tcW w:type="dxa" w:w="4338"/>
            <w:tcBorders>
              <w:top w:val="single" w:color="DDDDDD" w:sz="1"/>
              <w:left w:val="single" w:color="DDDDDD" w:sz="1"/>
              <w:bottom w:val="single" w:color="DDDDDD" w:sz="1"/>
              <w:right w:val="single" w:color="DDDDDD" w:sz="1"/>
            </w:tcBorders>
            <w:shd w:fill="E8C547" w:val="clear"/>
            <w:tcMar>
              <w:top w:type="dxa" w:w="60"/>
              <w:left w:type="dxa" w:w="140"/>
              <w:bottom w:type="dxa" w:w="60"/>
              <w:right w:type="dxa" w:w="140"/>
            </w:tcMar>
          </w:tcPr>
          <w:p>
            <w:pPr>
              <w:spacing w:after="0" w:before="0"/>
              <w:jc w:val="right"/>
            </w:pPr>
            <w:r>
              <w:rPr>
                <w:rFonts w:ascii="Arial" w:cs="Arial" w:eastAsia="Arial" w:hAnsi="Arial"/>
                <w:b/>
                <w:bCs/>
                <w:color w:val="1A1A2E"/>
                <w:sz w:val="18"/>
                <w:szCs w:val="18"/>
              </w:rPr>
              <w:t xml:space="preserve">£137,667.38</w:t>
            </w:r>
          </w:p>
        </w:tc>
      </w:tr>
      <w:tr>
        <w:tc>
          <w:tcPr>
            <w:tcW w:type="dxa" w:w="5300"/>
            <w:tcBorders>
              <w:top w:val="single" w:color="DDDDDD" w:sz="1"/>
              <w:left w:val="single" w:color="DDDDDD" w:sz="1"/>
              <w:bottom w:val="single" w:color="DDDDDD" w:sz="1"/>
              <w:right w:val="single" w:color="DDDDDD" w:sz="1"/>
            </w:tcBorders>
            <w:shd w:fill="F7F5F0" w:val="clear"/>
            <w:tcMar>
              <w:top w:type="dxa" w:w="60"/>
              <w:left w:type="dxa" w:w="140"/>
              <w:bottom w:type="dxa" w:w="60"/>
              <w:right w:type="dxa" w:w="140"/>
            </w:tcMar>
          </w:tcPr>
          <w:p>
            <w:pPr>
              <w:spacing w:after="0" w:before="0"/>
            </w:pPr>
            <w:r>
              <w:rPr>
                <w:rFonts w:ascii="Arial" w:cs="Arial" w:eastAsia="Arial" w:hAnsi="Arial"/>
                <w:b/>
                <w:bCs/>
                <w:color w:val="1A1A2E"/>
                <w:sz w:val="18"/>
                <w:szCs w:val="18"/>
              </w:rPr>
              <w:t xml:space="preserve">2.5% MCD Discount</w:t>
            </w:r>
          </w:p>
        </w:tc>
        <w:tc>
          <w:tcPr>
            <w:tcW w:type="dxa" w:w="4338"/>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0" w:before="0"/>
              <w:jc w:val="right"/>
            </w:pPr>
            <w:r>
              <w:rPr>
                <w:rFonts w:ascii="Arial" w:cs="Arial" w:eastAsia="Arial" w:hAnsi="Arial"/>
                <w:b w:val="false"/>
                <w:bCs w:val="false"/>
                <w:color w:val="C62828"/>
                <w:sz w:val="18"/>
                <w:szCs w:val="18"/>
              </w:rPr>
              <w:t xml:space="preserve">-£3,441.68</w:t>
            </w:r>
          </w:p>
        </w:tc>
      </w:tr>
      <w:tr>
        <w:tc>
          <w:tcPr>
            <w:tcW w:type="dxa" w:w="5300"/>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INDICATIVE TOTAL (excl. VAT)</w:t>
            </w:r>
          </w:p>
        </w:tc>
        <w:tc>
          <w:tcPr>
            <w:tcW w:type="dxa" w:w="4338"/>
            <w:tcBorders>
              <w:top w:val="single" w:color="DDDDDD" w:sz="1"/>
              <w:left w:val="single" w:color="DDDDDD" w:sz="1"/>
              <w:bottom w:val="single" w:color="DDDDDD" w:sz="1"/>
              <w:right w:val="single" w:color="DDDDDD" w:sz="1"/>
            </w:tcBorders>
            <w:shd w:fill="1A1A2E" w:val="clear"/>
            <w:tcMar>
              <w:top w:type="dxa" w:w="60"/>
              <w:left w:type="dxa" w:w="140"/>
              <w:bottom w:type="dxa" w:w="60"/>
              <w:right w:type="dxa" w:w="140"/>
            </w:tcMar>
          </w:tcPr>
          <w:p>
            <w:pPr>
              <w:spacing w:after="0" w:before="0"/>
              <w:jc w:val="right"/>
            </w:pPr>
            <w:r>
              <w:rPr>
                <w:rFonts w:ascii="Arial" w:cs="Arial" w:eastAsia="Arial" w:hAnsi="Arial"/>
                <w:b/>
                <w:bCs/>
                <w:color w:val="E8C547"/>
                <w:sz w:val="20"/>
                <w:szCs w:val="20"/>
              </w:rPr>
              <w:t xml:space="preserve">£134,225.70</w:t>
            </w:r>
          </w:p>
        </w:tc>
      </w:tr>
    </w:tbl>
    <w:p>
      <w:pPr>
        <w:spacing w:after="80" w:before="0"/>
      </w:pPr>
      <w:r>
        <w:rPr>
          <w:rFonts w:ascii="Arial" w:cs="Arial" w:eastAsia="Arial" w:hAnsi="Arial"/>
          <w:color w:val="333333"/>
          <w:sz w:val="20"/>
          <w:szCs w:val="20"/>
        </w:rPr>
        <w:t xml:space="preserve"/>
      </w:r>
    </w:p>
    <w:p>
      <w:pPr>
        <w:tabs>
          <w:tab w:val="left" w:pos="2600"/>
        </w:tabs>
        <w:spacing w:after="70" w:before="0"/>
      </w:pPr>
      <w:r>
        <w:rPr>
          <w:rFonts w:ascii="Arial" w:cs="Arial" w:eastAsia="Arial" w:hAnsi="Arial"/>
          <w:b/>
          <w:bCs/>
          <w:color w:val="1A1A2E"/>
          <w:sz w:val="20"/>
          <w:szCs w:val="20"/>
        </w:rPr>
        <w:t xml:space="preserve">Cluster beds (assumed)</w:t>
      </w:r>
      <w:r>
        <w:rPr>
          <w:rFonts w:ascii="Arial" w:cs="Arial" w:eastAsia="Arial" w:hAnsi="Arial"/>
        </w:rPr>
        <w:t xml:space="preserve">	</w:t>
      </w:r>
      <w:r>
        <w:rPr>
          <w:rFonts w:ascii="Arial" w:cs="Arial" w:eastAsia="Arial" w:hAnsi="Arial"/>
          <w:color w:val="333333"/>
          <w:sz w:val="20"/>
          <w:szCs w:val="20"/>
        </w:rPr>
        <w:t xml:space="preserve">50</w:t>
      </w:r>
    </w:p>
    <w:p>
      <w:pPr>
        <w:tabs>
          <w:tab w:val="left" w:pos="2600"/>
        </w:tabs>
        <w:spacing w:after="70" w:before="0"/>
      </w:pPr>
      <w:r>
        <w:rPr>
          <w:rFonts w:ascii="Arial" w:cs="Arial" w:eastAsia="Arial" w:hAnsi="Arial"/>
          <w:b/>
          <w:bCs/>
          <w:color w:val="1A1A2E"/>
          <w:sz w:val="20"/>
          <w:szCs w:val="20"/>
        </w:rPr>
        <w:t xml:space="preserve">Standard studios (assumed)</w:t>
      </w:r>
      <w:r>
        <w:rPr>
          <w:rFonts w:ascii="Arial" w:cs="Arial" w:eastAsia="Arial" w:hAnsi="Arial"/>
        </w:rPr>
        <w:t xml:space="preserve">	</w:t>
      </w:r>
      <w:r>
        <w:rPr>
          <w:rFonts w:ascii="Arial" w:cs="Arial" w:eastAsia="Arial" w:hAnsi="Arial"/>
          <w:color w:val="333333"/>
          <w:sz w:val="20"/>
          <w:szCs w:val="20"/>
        </w:rPr>
        <w:t xml:space="preserve">0</w:t>
      </w:r>
    </w:p>
    <w:p>
      <w:pPr>
        <w:tabs>
          <w:tab w:val="left" w:pos="2600"/>
        </w:tabs>
        <w:spacing w:after="70" w:before="0"/>
      </w:pPr>
      <w:r>
        <w:rPr>
          <w:rFonts w:ascii="Arial" w:cs="Arial" w:eastAsia="Arial" w:hAnsi="Arial"/>
          <w:b/>
          <w:bCs/>
          <w:color w:val="1A1A2E"/>
          <w:sz w:val="20"/>
          <w:szCs w:val="20"/>
        </w:rPr>
        <w:t xml:space="preserve">ACC/DDA studios (assumed)</w:t>
      </w:r>
      <w:r>
        <w:rPr>
          <w:rFonts w:ascii="Arial" w:cs="Arial" w:eastAsia="Arial" w:hAnsi="Arial"/>
        </w:rPr>
        <w:t xml:space="preserve">	</w:t>
      </w:r>
      <w:r>
        <w:rPr>
          <w:rFonts w:ascii="Arial" w:cs="Arial" w:eastAsia="Arial" w:hAnsi="Arial"/>
          <w:color w:val="333333"/>
          <w:sz w:val="20"/>
          <w:szCs w:val="20"/>
        </w:rPr>
        <w:t xml:space="preserve">0</w:t>
      </w:r>
    </w:p>
    <w:p>
      <w:pPr>
        <w:tabs>
          <w:tab w:val="left" w:pos="2600"/>
        </w:tabs>
        <w:spacing w:after="70" w:before="0"/>
      </w:pPr>
      <w:r>
        <w:rPr>
          <w:rFonts w:ascii="Arial" w:cs="Arial" w:eastAsia="Arial" w:hAnsi="Arial"/>
          <w:b/>
          <w:bCs/>
          <w:color w:val="1A1A2E"/>
          <w:sz w:val="20"/>
          <w:szCs w:val="20"/>
        </w:rPr>
        <w:t xml:space="preserve">KLD 5-person (assumed)</w:t>
      </w:r>
      <w:r>
        <w:rPr>
          <w:rFonts w:ascii="Arial" w:cs="Arial" w:eastAsia="Arial" w:hAnsi="Arial"/>
        </w:rPr>
        <w:t xml:space="preserve">	</w:t>
      </w:r>
      <w:r>
        <w:rPr>
          <w:rFonts w:ascii="Arial" w:cs="Arial" w:eastAsia="Arial" w:hAnsi="Arial"/>
          <w:color w:val="333333"/>
          <w:sz w:val="20"/>
          <w:szCs w:val="20"/>
        </w:rPr>
        <w:t xml:space="preserve">0</w:t>
      </w:r>
    </w:p>
    <w:p>
      <w:pPr>
        <w:tabs>
          <w:tab w:val="left" w:pos="2600"/>
        </w:tabs>
        <w:spacing w:after="70" w:before="0"/>
      </w:pPr>
      <w:r>
        <w:rPr>
          <w:rFonts w:ascii="Arial" w:cs="Arial" w:eastAsia="Arial" w:hAnsi="Arial"/>
          <w:b/>
          <w:bCs/>
          <w:color w:val="1A1A2E"/>
          <w:sz w:val="20"/>
          <w:szCs w:val="20"/>
        </w:rPr>
        <w:t xml:space="preserve">KLD 6-person (assumed)</w:t>
      </w:r>
      <w:r>
        <w:rPr>
          <w:rFonts w:ascii="Arial" w:cs="Arial" w:eastAsia="Arial" w:hAnsi="Arial"/>
        </w:rPr>
        <w:t xml:space="preserve">	</w:t>
      </w:r>
      <w:r>
        <w:rPr>
          <w:rFonts w:ascii="Arial" w:cs="Arial" w:eastAsia="Arial" w:hAnsi="Arial"/>
          <w:color w:val="333333"/>
          <w:sz w:val="20"/>
          <w:szCs w:val="20"/>
        </w:rPr>
        <w:t xml:space="preserve">8</w:t>
      </w:r>
    </w:p>
    <w:p>
      <w:pPr>
        <w:spacing w:after="8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All cluster bedrooms. 50 en-suite rooms grouped in clusters with communal kitchenette. Communal kitchens assumed as 6p KLDs from "clusters" description. Atypical PBSA — agricultural FE college.</w:t>
      </w:r>
    </w:p>
    <w:p>
      <w:pPr>
        <w:spacing w:after="120" w:before="0"/>
      </w:pPr>
      <w:r>
        <w:rPr>
          <w:rFonts w:ascii="Arial" w:cs="Arial" w:eastAsia="Arial" w:hAnsi="Arial"/>
          <w:color w:val="333333"/>
          <w:sz w:val="20"/>
          <w:szCs w:val="20"/>
        </w:rPr>
        <w:t xml:space="preserve"/>
      </w:r>
    </w:p>
    <w:p>
      <w:pPr>
        <w:pBdr>
          <w:bottom w:val="single" w:color="E8C547" w:sz="4"/>
        </w:pBdr>
        <w:spacing w:after="80" w:before="80"/>
      </w:pPr>
      <w:r>
        <w:rPr>
          <w:rFonts w:ascii="Arial" w:cs="Arial" w:eastAsia="Arial" w:hAnsi="Arial"/>
          <w:color w:val="333333"/>
          <w:sz w:val="20"/>
          <w:szCs w:val="20"/>
        </w:rPr>
        <w:t xml:space="preserve"/>
      </w:r>
    </w:p>
    <w:p>
      <w:r>
        <w:br w:type="page"/>
      </w:r>
    </w:p>
    <w:p>
      <w:pPr>
        <w:pStyle w:val="Heading1"/>
        <w:pBdr>
          <w:bottom w:val="single" w:color="E8C547" w:sz="8" w:space="4"/>
        </w:pBdr>
        <w:spacing w:after="120" w:before="300"/>
      </w:pPr>
      <w:r>
        <w:rPr>
          <w:rFonts w:ascii="Arial" w:cs="Arial" w:eastAsia="Arial" w:hAnsi="Arial"/>
          <w:b/>
          <w:bCs/>
          <w:color w:val="1A1A2E"/>
          <w:sz w:val="28"/>
          <w:szCs w:val="28"/>
        </w:rPr>
        <w:t xml:space="preserve">Welsh PBSA Market Context</w:t>
      </w:r>
    </w:p>
    <w:p>
      <w:pPr>
        <w:spacing w:after="60" w:before="200"/>
      </w:pPr>
      <w:r>
        <w:rPr>
          <w:rFonts w:ascii="Arial" w:cs="Arial" w:eastAsia="Arial" w:hAnsi="Arial"/>
          <w:b/>
          <w:bCs/>
          <w:color w:val="1A1A2E"/>
          <w:sz w:val="22"/>
          <w:szCs w:val="22"/>
        </w:rPr>
        <w:t xml:space="preserve">Cardiff — primary market</w:t>
      </w:r>
    </w:p>
    <w:p>
      <w:pPr>
        <w:spacing w:after="120" w:before="0"/>
      </w:pPr>
      <w:r>
        <w:rPr>
          <w:rFonts w:ascii="Arial" w:cs="Arial" w:eastAsia="Arial" w:hAnsi="Arial"/>
          <w:color w:val="333333"/>
          <w:sz w:val="20"/>
          <w:szCs w:val="20"/>
        </w:rPr>
        <w:t xml:space="preserve">Cardiff has four universities with over 46,000 full-time students and a documented undersupply of PBSA. Current PBSA provision stands at approximately 15,800 beds — far short of demand. No new PBSA has been delivered in the city since 2022 (when True Student opened). The two schemes identified in this report (Longcross Court and Friary House) will add 1,291 beds and are the entirety of the actionable new-build Cardiff pipeline.</w:t>
      </w:r>
    </w:p>
    <w:p>
      <w:pPr>
        <w:spacing w:after="120" w:before="0"/>
      </w:pPr>
      <w:r>
        <w:rPr>
          <w:rFonts w:ascii="Arial" w:cs="Arial" w:eastAsia="Arial" w:hAnsi="Arial"/>
          <w:color w:val="333333"/>
          <w:sz w:val="20"/>
          <w:szCs w:val="20"/>
        </w:rPr>
        <w:t xml:space="preserve">Cardiff Council has generally been supportive of PBSA consents in city centre and brownfield locations. Both approved schemes received unanimous committee votes. Student numbers at the city's universities have been stable (hovering near 70,000 across Cardiff University, Cardiff Met and USW), and the incoming pipeline is broadly proportionate to demand.</w:t>
      </w:r>
    </w:p>
    <w:p>
      <w:pPr>
        <w:spacing w:after="8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Swansea — no actionable pipeline</w:t>
      </w:r>
    </w:p>
    <w:p>
      <w:pPr>
        <w:spacing w:after="120" w:before="0"/>
      </w:pPr>
      <w:r>
        <w:rPr>
          <w:rFonts w:ascii="Arial" w:cs="Arial" w:eastAsia="Arial" w:hAnsi="Arial"/>
          <w:color w:val="333333"/>
          <w:sz w:val="20"/>
          <w:szCs w:val="20"/>
        </w:rPr>
        <w:t xml:space="preserve">Swansea has 22,000+ students at Swansea University and is a tier-2 PBSA market. However, the only recent Swansea PBSA news is a conversion of the 80-bed Boutique Student Living building to homeless accommodation — a negative indicator for the market. No new Swansea PBSA planning applications were identified in this scrape. The city appears to be in a period of PBSA oversupply consolidation.</w:t>
      </w:r>
    </w:p>
    <w:p>
      <w:pPr>
        <w:spacing w:after="8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North Wales and other Welsh LPAs</w:t>
      </w:r>
    </w:p>
    <w:p>
      <w:pPr>
        <w:spacing w:after="120" w:before="0"/>
      </w:pPr>
      <w:r>
        <w:rPr>
          <w:rFonts w:ascii="Arial" w:cs="Arial" w:eastAsia="Arial" w:hAnsi="Arial"/>
          <w:color w:val="333333"/>
          <w:sz w:val="20"/>
          <w:szCs w:val="20"/>
        </w:rPr>
        <w:t xml:space="preserve">Newport, Wrexham, Bangor, Aberystwyth and all other Welsh LPAs yielded no actionable private PBSA pipeline from this scrape. The Llysfasi scheme (Denbighshire) is a small FE college accommodation project. Bangor University is a potential long-term market but no applications were in current pipeline. Recommend revisiting North Wales in 2027 if the university sector announces new campus accommodation plans.</w:t>
      </w:r>
    </w:p>
    <w:p>
      <w:pPr>
        <w:spacing w:after="200" w:before="0"/>
      </w:pPr>
      <w:r>
        <w:rPr>
          <w:rFonts w:ascii="Arial" w:cs="Arial" w:eastAsia="Arial" w:hAnsi="Arial"/>
          <w:color w:val="333333"/>
          <w:sz w:val="20"/>
          <w:szCs w:val="20"/>
        </w:rPr>
        <w:t xml:space="preserve"/>
      </w:r>
    </w:p>
    <w:p>
      <w:pPr>
        <w:pBdr>
          <w:bottom w:val="single" w:color="E8C547" w:sz="4"/>
        </w:pBdr>
        <w:spacing w:after="80" w:before="8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0" w:before="0"/>
        <w:jc w:val="center"/>
      </w:pPr>
      <w:r>
        <w:rPr>
          <w:rFonts w:ascii="Arial" w:cs="Arial" w:eastAsia="Arial" w:hAnsi="Arial"/>
          <w:color w:val="7F8C8D"/>
          <w:sz w:val="17"/>
          <w:szCs w:val="17"/>
        </w:rPr>
        <w:t xml:space="preserve">enquiries@flagstaffe.com  |  01260 460 003  |  www.flagstaffe.com  |  CRN: 14154708  |  VAT: 421442927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8"/>
      <w:szCs w:val="28"/>
    </w:rPr>
  </w:style>
  <w:style w:type="paragraph" w:styleId="Heading2">
    <w:name w:val="Heading 2"/>
    <w:basedOn w:val="Normal"/>
    <w:next w:val="Normal"/>
    <w:qFormat/>
    <w:pPr>
      <w:spacing w:after="60" w:before="20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2026-06-07T19:15:21.518Z</dcterms:created>
  <dcterms:modified xsi:type="dcterms:W3CDTF">2026-06-07T19:15:21.519Z</dcterms:modified>
</cp:coreProperties>
</file>

<file path=docProps/custom.xml><?xml version="1.0" encoding="utf-8"?>
<Properties xmlns="http://schemas.openxmlformats.org/officeDocument/2006/custom-properties" xmlns:vt="http://schemas.openxmlformats.org/officeDocument/2006/docPropsVTypes"/>
</file>