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6"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caratteristiche"/>
    <w:p>
      <w:pPr>
        <w:pStyle w:val="Heading2"/>
      </w:pPr>
      <w:r>
        <w:t xml:space="preserve">Assegnazione Caratteristiche</w:t>
      </w:r>
    </w:p>
    <w:bookmarkStart w:id="45" w:name="modalita-preferita"/>
    <w:p>
      <w:pPr>
        <w:pStyle w:val="Heading3"/>
      </w:pPr>
      <w:r>
        <w:t xml:space="preserve">Modalita’ preferita</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p>
    <w:p>
      <w:pPr>
        <w:pStyle w:val="BodyText"/>
      </w:pPr>
      <w:r>
        <w:t xml:space="preserve">In TUS l’approccio predefinito per le statistiche e’ tirare i dadi ed affidare alla sorte la nascita del personaggio.</w:t>
      </w:r>
    </w:p>
    <w:p>
      <w:pPr>
        <w:pStyle w:val="BodyText"/>
      </w:pPr>
      <w:r>
        <w:t xml:space="preserve">Fate tirare 4d6 per ogni caratteristica</w:t>
      </w:r>
      <w:r>
        <w:t xml:space="preserve"> </w:t>
      </w:r>
      <w:r>
        <w:t xml:space="preserve">Per ogni dado che fa 1 il valore e’ -2, ogni dado che fa 2 vale -1, ogni dado che fa 5 vale +1, ogni dado che fa 6 vale +2.</w:t>
      </w:r>
      <w:r>
        <w:br/>
      </w:r>
      <w:r>
        <w:t xml:space="preserve">Scartate un dado a vostra scelta.</w:t>
      </w:r>
      <w:r>
        <w:br/>
      </w:r>
      <w:r>
        <w:t xml:space="preserve">Sommate questi modificatori e avrete il punteggio della caratteristica.</w:t>
      </w:r>
    </w:p>
    <w:p>
      <w:pPr>
        <w:pStyle w:val="BodyText"/>
      </w:pPr>
      <w:r>
        <w:t xml:space="preserve">Nessun punteggio puo’ essere inferiore a -3 o superiore a +3.</w:t>
      </w:r>
    </w:p>
    <w:p>
      <w:pPr>
        <w:pStyle w:val="BodyText"/>
      </w:pPr>
      <w:r>
        <w:t xml:space="preserve">Es: tiro 6,3,2,5. Scarto il dado piu’ basso il 2. Sommo gli altri 6(+2)+3(+0)+5(+1) = +3</w:t>
      </w:r>
    </w:p>
    <w:p>
      <w:pPr>
        <w:pStyle w:val="BodyText"/>
      </w:pPr>
      <w:r>
        <w:t xml:space="preserve">Es: tiro 6,4,3,6. Scarto il dado piu’ basso il 3. Sommo gli altri 6(+2)+4(+0)+6(+2) = +4, ma dato che il massimo punteggio è +3, segno +3.</w:t>
      </w:r>
    </w:p>
    <w:p>
      <w:pPr>
        <w:pStyle w:val="BodyText"/>
      </w:pPr>
      <w:r>
        <w:t xml:space="preserve">Es: tiro 1,1,2,4. Scarto il dado piu’ basso 1. Sommo gli altri 1(-2)+2(-1)+4(+0) = -3</w:t>
      </w:r>
      <w:r>
        <w:br/>
      </w:r>
      <w:r>
        <w:rPr>
          <w:bCs/>
          <w:b/>
        </w:rPr>
        <w:t xml:space="preserve">Eccezione</w:t>
      </w:r>
      <w:r>
        <w:t xml:space="preserve">: se tiro 4 volte 6 il punteggio ottenuto e’ 4 comprensivo di eventuali bonus razziali.</w:t>
      </w:r>
      <w:r>
        <w:br/>
      </w:r>
      <w:r>
        <w:t xml:space="preserve">Ripetete i tiri per tutte e 6 le caratteristiche e tenete i risultati nell’ordine tirato.</w:t>
      </w:r>
      <w:r>
        <w:br/>
      </w:r>
      <w:r>
        <w:t xml:space="preserve">Un punteggio uguale o inferiore a -3 (o un superiore od uguale a +3) non viene alterato dai modificatori razziali. Un personaggio nano che ha Saggezza +3 non diventa +4, ma rimane +3.</w:t>
      </w:r>
      <w:r>
        <w:br/>
      </w:r>
      <w:r>
        <w:t xml:space="preserve">Si, e’ vero, e’ molto probabile che non vi siano venuti i risultati che speravate od addirittura siano venuti in caratteristiche che non vi interessavano.</w:t>
      </w:r>
      <w:r>
        <w:br/>
      </w:r>
      <w:r>
        <w:t xml:space="preserve">Va bene cosi’. Cambiate idea, fatevi ispirare dai valori ottenuti!</w:t>
      </w:r>
      <w:r>
        <w:br/>
      </w:r>
      <w:r>
        <w:t xml:space="preserve">Divertitevi con il nuovo personaggio, costruite qualcosa di nuovo e diverso, lasciatevi stupire.</w:t>
      </w:r>
    </w:p>
    <w:p>
      <w:pPr>
        <w:pStyle w:val="BodyText"/>
      </w:pPr>
      <w:r>
        <w:t xml:space="preserve">In questo modo i personaggi saranno sempre diversi e sempre nuovi. Sarà stimolata l’improvvisazione e si eviteranno personaggi costruiti a tavolino.</w:t>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7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4d6 per ogni caratteristica, in ordine. Per ogni dado che fa 1 il valore e’ -2, ogni dado che fa 2 vale -1, ogni dado che fa 5 vale +1, ogni dado che fa 6 vale +2.</w:t>
      </w:r>
      <w:r>
        <w:br/>
      </w:r>
      <w:r>
        <w:t xml:space="preserve">. Scarta un dado a tua scelta. Somma i valori e ottieni il punteggio della caratteristica. Ricorda che i modificatori razziali non possono portare una caratteristica sotto i -3 o sopra i +3.</w:t>
      </w:r>
      <w:r>
        <w:br/>
      </w:r>
      <w:r>
        <w:t xml:space="preserve">Alternativamente, se il Narratore lo permette, 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6"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5"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Start w:id="84" w:name="volare"/>
    <w:p>
      <w:pPr>
        <w:pStyle w:val="Heading3"/>
      </w:pPr>
      <w:r>
        <w:t xml:space="preserve">Volare</w:t>
      </w:r>
    </w:p>
    <w:p>
      <w:pPr>
        <w:pStyle w:val="FirstParagraph"/>
      </w:pPr>
      <w:bookmarkStart w:id="83" w:name="volare"/>
      <w:r>
        <w:t xml:space="preserve">[volare]</w:t>
      </w:r>
      <w:bookmarkEnd w:id="83"/>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4"/>
    <w:bookmarkEnd w:id="85"/>
    <w:bookmarkEnd w:id="86"/>
    <w:bookmarkStart w:id="165" w:name="combattimento"/>
    <w:p>
      <w:pPr>
        <w:pStyle w:val="Heading1"/>
      </w:pPr>
      <w:r>
        <w:t xml:space="preserve">Combattimento</w:t>
      </w:r>
    </w:p>
    <w:p>
      <w:pPr>
        <w:pStyle w:val="FirstParagraph"/>
      </w:pPr>
      <w:bookmarkStart w:id="87" w:name="combattimento"/>
      <w:r>
        <w:t xml:space="preserve">[combattimento]</w:t>
      </w:r>
      <w:bookmarkEnd w:id="87"/>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2" w:name="liniziativa"/>
    <w:p>
      <w:pPr>
        <w:pStyle w:val="Heading2"/>
      </w:pPr>
      <w:r>
        <w:t xml:space="preserve">L’Iniziativa</w:t>
      </w:r>
    </w:p>
    <w:p>
      <w:pPr>
        <w:pStyle w:val="FirstParagraph"/>
      </w:pPr>
      <w:bookmarkStart w:id="88" w:name="liniziativa"/>
      <w:r>
        <w:t xml:space="preserve">[liniziativa]</w:t>
      </w:r>
      <w:bookmarkEnd w:id="88"/>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0"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9" w:name="risoluzione-delle-azioni"/>
      <w:r>
        <w:t xml:space="preserve">[risoluzione-delle-azioni]</w:t>
      </w:r>
      <w:bookmarkEnd w:id="89"/>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0"/>
    <w:bookmarkStart w:id="91"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1"/>
    <w:bookmarkEnd w:id="92"/>
    <w:bookmarkStart w:id="96" w:name="azioni-nel-round"/>
    <w:p>
      <w:pPr>
        <w:pStyle w:val="Heading2"/>
      </w:pPr>
      <w:r>
        <w:t xml:space="preserve">Azioni nel Round</w:t>
      </w:r>
    </w:p>
    <w:p>
      <w:pPr>
        <w:pStyle w:val="FirstParagraph"/>
      </w:pPr>
      <w:bookmarkStart w:id="93" w:name="azioni-nel-round"/>
      <w:r>
        <w:t xml:space="preserve">[azioni-nel-round]</w:t>
      </w:r>
      <w:bookmarkEnd w:id="93"/>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il-tempo-round-minuti-e-turni"/>
    <w:p>
      <w:pPr>
        <w:pStyle w:val="Heading3"/>
      </w:pPr>
      <w:r>
        <w:t xml:space="preserve">Il Tempo (Round, Minuti e Turni)</w:t>
      </w:r>
    </w:p>
    <w:p>
      <w:pPr>
        <w:pStyle w:val="FirstParagraph"/>
      </w:pPr>
      <w:bookmarkStart w:id="94" w:name="il-tempo-round-minuti-e-turni"/>
      <w:r>
        <w:t xml:space="preserve">[il-tempo-round-minuti-e-turni]</w:t>
      </w:r>
      <w:bookmarkEnd w:id="94"/>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5"/>
    <w:bookmarkEnd w:id="96"/>
    <w:bookmarkStart w:id="99" w:name="movimento"/>
    <w:p>
      <w:pPr>
        <w:pStyle w:val="Heading2"/>
      </w:pPr>
      <w:r>
        <w:t xml:space="preserve">Movimento</w:t>
      </w:r>
    </w:p>
    <w:p>
      <w:pPr>
        <w:pStyle w:val="FirstParagraph"/>
      </w:pPr>
      <w:bookmarkStart w:id="97" w:name="movimento"/>
      <w:r>
        <w:t xml:space="preserve">[movimento]</w:t>
      </w:r>
      <w:bookmarkEnd w:id="97"/>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8"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8"/>
    <w:bookmarkEnd w:id="99"/>
    <w:bookmarkStart w:id="105" w:name="vita-e-morte"/>
    <w:p>
      <w:pPr>
        <w:pStyle w:val="Heading2"/>
      </w:pPr>
      <w:r>
        <w:t xml:space="preserve">Vita e Morte</w:t>
      </w:r>
    </w:p>
    <w:p>
      <w:pPr>
        <w:pStyle w:val="FirstParagraph"/>
      </w:pPr>
      <w:bookmarkStart w:id="100" w:name="vita-e-morte"/>
      <w:r>
        <w:t xml:space="preserve">[vita-e-morte]</w:t>
      </w:r>
      <w:bookmarkEnd w:id="100"/>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1"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1"/>
    <w:bookmarkStart w:id="102"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2"/>
    <w:bookmarkStart w:id="103"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3"/>
    <w:bookmarkStart w:id="104"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4"/>
    <w:bookmarkEnd w:id="105"/>
    <w:bookmarkStart w:id="107" w:name="tiro-per-colpire-e-difesa"/>
    <w:p>
      <w:pPr>
        <w:pStyle w:val="Heading2"/>
      </w:pPr>
      <w:r>
        <w:t xml:space="preserve">Tiro per Colpire e Difesa</w:t>
      </w:r>
    </w:p>
    <w:p>
      <w:pPr>
        <w:pStyle w:val="FirstParagraph"/>
      </w:pPr>
      <w:bookmarkStart w:id="106" w:name="tiro-per-colpire"/>
      <w:r>
        <w:t xml:space="preserve">[tiro-per-colpire]</w:t>
      </w:r>
      <w:bookmarkEnd w:id="106"/>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7"/>
    <w:bookmarkStart w:id="108"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8"/>
    <w:bookmarkStart w:id="109"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9"/>
    <w:bookmarkStart w:id="110"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0"/>
    <w:bookmarkStart w:id="111"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1"/>
    <w:bookmarkStart w:id="112"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2"/>
    <w:bookmarkStart w:id="113"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3"/>
    <w:bookmarkStart w:id="114"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4"/>
    <w:bookmarkStart w:id="115"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5"/>
    <w:bookmarkStart w:id="116"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6"/>
    <w:bookmarkStart w:id="117"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7"/>
    <w:bookmarkStart w:id="118"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8"/>
    <w:bookmarkStart w:id="153" w:name="sec:Azioni particolari in combattimento"/>
    <w:p>
      <w:pPr>
        <w:pStyle w:val="Heading2"/>
      </w:pPr>
      <w:r>
        <w:t xml:space="preserve">Azioni particolari in combattimento:</w:t>
      </w:r>
    </w:p>
    <w:bookmarkStart w:id="119"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9"/>
    <w:bookmarkStart w:id="120"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0"/>
    <w:bookmarkStart w:id="121"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1"/>
    <w:bookmarkStart w:id="122"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2"/>
    <w:bookmarkStart w:id="123"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3"/>
    <w:bookmarkStart w:id="124"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4"/>
    <w:bookmarkStart w:id="125"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5"/>
    <w:bookmarkStart w:id="126"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6"/>
    <w:bookmarkStart w:id="127"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7"/>
    <w:bookmarkStart w:id="128"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8"/>
    <w:bookmarkStart w:id="129"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9"/>
    <w:bookmarkStart w:id="130" w:name="armi-leggere"/>
    <w:p>
      <w:pPr>
        <w:pStyle w:val="Heading3"/>
      </w:pPr>
      <w:r>
        <w:t xml:space="preserve">Armi Leggere</w:t>
      </w:r>
    </w:p>
    <w:p>
      <w:pPr>
        <w:pStyle w:val="FirstParagraph"/>
      </w:pPr>
      <w:r>
        <w:t xml:space="preserve">Il giocatore può usare queste armi come armi secondarie senza subire penalità.</w:t>
      </w:r>
    </w:p>
    <w:bookmarkEnd w:id="130"/>
    <w:bookmarkStart w:id="131"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1"/>
    <w:bookmarkStart w:id="132"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2"/>
    <w:bookmarkStart w:id="133"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3"/>
    <w:bookmarkStart w:id="134"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4"/>
    <w:bookmarkStart w:id="136" w:name="arma-troppo-grande"/>
    <w:p>
      <w:pPr>
        <w:pStyle w:val="Heading3"/>
      </w:pPr>
      <w:r>
        <w:t xml:space="preserve">Arma troppo grande</w:t>
      </w:r>
    </w:p>
    <w:p>
      <w:pPr>
        <w:pStyle w:val="FirstParagraph"/>
      </w:pPr>
      <w:bookmarkStart w:id="135" w:name="sec:Arma troppo grande"/>
      <w:r>
        <w:t xml:space="preserve">[sec:Arma troppo grande]</w:t>
      </w:r>
      <w:bookmarkEnd w:id="135"/>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6"/>
    <w:bookmarkStart w:id="137"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7"/>
    <w:bookmarkStart w:id="138"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8"/>
    <w:bookmarkStart w:id="139"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9"/>
    <w:bookmarkStart w:id="140"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0"/>
    <w:bookmarkStart w:id="141"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1"/>
    <w:bookmarkStart w:id="142"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2"/>
    <w:bookmarkStart w:id="143" w:name="X88ae0e49e9b441e1131188784c11757fdc59851"/>
    <w:p>
      <w:pPr>
        <w:pStyle w:val="Heading3"/>
      </w:pPr>
      <w:r>
        <w:t xml:space="preserve">Preparare una arma lunga contro una carica</w:t>
      </w:r>
    </w:p>
    <w:p>
      <w:pPr>
        <w:pStyle w:val="FirstParagraph"/>
      </w:pPr>
      <w:r>
        <w:t xml:space="preserve">E’ una Reazione che costa una Azione.</w:t>
      </w:r>
    </w:p>
    <w:bookmarkEnd w:id="143"/>
    <w:bookmarkStart w:id="144"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4"/>
    <w:bookmarkStart w:id="145"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5"/>
    <w:bookmarkStart w:id="146"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6"/>
    <w:bookmarkStart w:id="147"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7"/>
    <w:bookmarkStart w:id="148"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8"/>
    <w:bookmarkStart w:id="149"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9"/>
    <w:bookmarkStart w:id="150"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0"/>
    <w:bookmarkStart w:id="151"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1"/>
    <w:bookmarkStart w:id="152"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2"/>
    <w:bookmarkEnd w:id="153"/>
    <w:bookmarkStart w:id="157"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4"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4"/>
    <w:bookmarkStart w:id="155"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5"/>
    <w:bookmarkStart w:id="156"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6"/>
    <w:bookmarkEnd w:id="157"/>
    <w:bookmarkStart w:id="164" w:name="azioni-opzionali-in-combattimento"/>
    <w:p>
      <w:pPr>
        <w:pStyle w:val="Heading2"/>
      </w:pPr>
      <w:r>
        <w:t xml:space="preserve">Azioni Opzionali in Combattimento</w:t>
      </w:r>
    </w:p>
    <w:bookmarkStart w:id="158"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8"/>
    <w:bookmarkStart w:id="159"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9"/>
    <w:bookmarkStart w:id="160"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0"/>
    <w:bookmarkStart w:id="161"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1"/>
    <w:bookmarkStart w:id="162"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2"/>
    <w:bookmarkStart w:id="163"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3"/>
    <w:bookmarkEnd w:id="164"/>
    <w:bookmarkEnd w:id="165"/>
    <w:bookmarkStart w:id="170" w:name="nascondigli-e-coperture"/>
    <w:p>
      <w:pPr>
        <w:pStyle w:val="Heading1"/>
      </w:pPr>
      <w:r>
        <w:t xml:space="preserve">Nascondigli e coperture</w:t>
      </w:r>
    </w:p>
    <w:p>
      <w:pPr>
        <w:pStyle w:val="FirstParagraph"/>
      </w:pPr>
      <w:bookmarkStart w:id="166" w:name="nascondigli-e-coperture"/>
      <w:r>
        <w:t xml:space="preserve">[nascondigli-e-coperture]</w:t>
      </w:r>
      <w:bookmarkEnd w:id="166"/>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7"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7"/>
    <w:bookmarkStart w:id="169" w:name="invisibilità"/>
    <w:p>
      <w:pPr>
        <w:pStyle w:val="Heading2"/>
      </w:pPr>
      <w:r>
        <w:t xml:space="preserve">Invisibilità</w:t>
      </w:r>
    </w:p>
    <w:p>
      <w:pPr>
        <w:pStyle w:val="FirstParagraph"/>
      </w:pPr>
      <w:bookmarkStart w:id="168" w:name="invisibilita"/>
      <w:r>
        <w:t xml:space="preserve">[invisibilita]</w:t>
      </w:r>
      <w:bookmarkEnd w:id="16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9"/>
    <w:bookmarkEnd w:id="170"/>
    <w:bookmarkStart w:id="192" w:name="lista-armi-per-tipologia-omogenea"/>
    <w:p>
      <w:pPr>
        <w:pStyle w:val="Heading1"/>
      </w:pPr>
      <w:r>
        <w:t xml:space="preserve">Lista Armi per Tipologia Omogenea</w:t>
      </w:r>
    </w:p>
    <w:p>
      <w:pPr>
        <w:pStyle w:val="FirstParagraph"/>
      </w:pPr>
      <w:bookmarkStart w:id="171" w:name="lista-armi-per-tipologia-omogenea"/>
      <w:r>
        <w:t xml:space="preserve">[lista-armi-per-tipologia-omogenea]</w:t>
      </w:r>
      <w:bookmarkEnd w:id="17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2"/>
    <w:bookmarkStart w:id="173"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3"/>
    <w:bookmarkStart w:id="17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4"/>
    <w:bookmarkStart w:id="175"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5"/>
    <w:bookmarkStart w:id="17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6"/>
    <w:bookmarkStart w:id="177"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7"/>
    <w:bookmarkStart w:id="178"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8"/>
    <w:bookmarkStart w:id="179"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9"/>
    <w:bookmarkStart w:id="180"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0"/>
    <w:bookmarkStart w:id="181"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1"/>
    <w:bookmarkStart w:id="182"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2"/>
    <w:bookmarkStart w:id="18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3"/>
    <w:bookmarkStart w:id="184"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4"/>
    <w:bookmarkStart w:id="185"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5"/>
    <w:bookmarkStart w:id="186"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6"/>
    <w:bookmarkStart w:id="18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7"/>
    <w:bookmarkStart w:id="188"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8"/>
    <w:bookmarkStart w:id="18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9"/>
    <w:bookmarkStart w:id="190"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0"/>
    <w:bookmarkStart w:id="19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1"/>
    <w:bookmarkEnd w:id="192"/>
    <w:bookmarkStart w:id="278" w:name="abilita"/>
    <w:p>
      <w:pPr>
        <w:pStyle w:val="Heading1"/>
      </w:pPr>
      <w:r>
        <w:t xml:space="preserve">Abilita’</w:t>
      </w:r>
    </w:p>
    <w:p>
      <w:pPr>
        <w:pStyle w:val="FirstParagraph"/>
      </w:pPr>
      <w:bookmarkStart w:id="193" w:name="abilita"/>
      <w:r>
        <w:t xml:space="preserve">[abilita]</w:t>
      </w:r>
      <w:bookmarkEnd w:id="19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4"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4"/>
    <w:bookmarkStart w:id="195"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5"/>
    <w:bookmarkStart w:id="196"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6"/>
    <w:bookmarkStart w:id="197"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7"/>
    <w:bookmarkStart w:id="198"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8"/>
    <w:bookmarkStart w:id="199"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9"/>
    <w:bookmarkStart w:id="200"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0"/>
    <w:bookmarkStart w:id="201"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1"/>
    <w:bookmarkStart w:id="202"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2"/>
    <w:bookmarkStart w:id="203"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3"/>
    <w:bookmarkStart w:id="204"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4"/>
    <w:bookmarkStart w:id="205"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5"/>
    <w:bookmarkStart w:id="206"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6"/>
    <w:bookmarkStart w:id="207"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7"/>
    <w:bookmarkStart w:id="208"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9"/>
    <w:bookmarkStart w:id="210"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0"/>
    <w:bookmarkStart w:id="211"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1"/>
    <w:bookmarkStart w:id="212"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2"/>
    <w:bookmarkStart w:id="213"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3"/>
    <w:bookmarkStart w:id="214"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4"/>
    <w:bookmarkStart w:id="215"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5"/>
    <w:bookmarkStart w:id="216"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6"/>
    <w:bookmarkStart w:id="217"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7"/>
    <w:bookmarkStart w:id="218"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8"/>
    <w:bookmarkStart w:id="219"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9"/>
    <w:bookmarkStart w:id="220"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0"/>
    <w:bookmarkStart w:id="221"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1"/>
    <w:bookmarkStart w:id="222"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2"/>
    <w:bookmarkStart w:id="223"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09"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8"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41" w:name="capacità-di-carico-e-trasporto-ingombro"/>
    <w:p>
      <w:pPr>
        <w:pStyle w:val="Heading2"/>
      </w:pPr>
      <w:r>
        <w:t xml:space="preserve">Capacità di Carico e Trasporto: Ingombro</w:t>
      </w:r>
    </w:p>
    <w:p>
      <w:pPr>
        <w:pStyle w:val="FirstParagraph"/>
      </w:pPr>
      <w:bookmarkStart w:id="533" w:name="X314979e2b5a2be334ec4f78543dd7ba458280a4"/>
      <w:r>
        <w:t xml:space="preserve">[sec:capacita-di-carico-e-trasporto-ingombro]</w:t>
      </w:r>
      <w:bookmarkEnd w:id="533"/>
    </w:p>
    <w:bookmarkStart w:id="534"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34"/>
    <w:bookmarkStart w:id="535"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5"/>
    <w:bookmarkStart w:id="536"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6"/>
    <w:bookmarkStart w:id="537"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7"/>
    <w:bookmarkStart w:id="538"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br/>
      </w:r>
      <w:hyperlink r:id="rId804">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5">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2021-02-03T13:23:22Z</dcterms:created>
  <dcterms:modified xsi:type="dcterms:W3CDTF">2021-02-03T13:23:22Z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