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w:t>
      </w:r>
    </w:p>
    <w:p>
      <w:pPr>
        <w:pStyle w:val="BodyText"/>
      </w:pPr>
      <w:r>
        <w:t xml:space="preserve">Obiettivi: ridurre numero incantesimi, individuare incantesimi contro Difesa a Tocco , ridurre complessità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2021-04-18T13:55:37Z</dcterms:created>
  <dcterms:modified xsi:type="dcterms:W3CDTF">2021-04-18T13:55:37Z</dcterms:modified>
</cp:coreProperties>
</file>