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w:t>
      </w:r>
      <w:r>
        <w:t xml:space="preserve"> </w:t>
      </w:r>
      <w:r>
        <w:t xml:space="preserve">chiarimenti su Globo di Invulnerabilità - Imprigionare - corretto critico su charme su persone - clone - Individuazione dei Pensieri - Muro di Pietra - Rinascita</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w:t>
      </w:r>
    </w:p>
    <w:p>
      <w:pPr>
        <w:pStyle w:val="BodyText"/>
      </w:pPr>
      <w:r>
        <w:t xml:space="preserve">Santificare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2021-04-26T09:33:29Z</dcterms:created>
  <dcterms:modified xsi:type="dcterms:W3CDTF">2021-04-26T09:33:29Z</dcterms:modified>
</cp:coreProperties>
</file>