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2"/>
        </w:numPr>
      </w:pPr>
      <w:r>
        <w:t xml:space="preserve">Ogni qual volta la cavalcatura e’ colpita il cavaliere deve effettuare una prova di Sopravvivenza a DC 13 o essere disarcionato dalla cavalcatura.</w:t>
      </w:r>
      <w:r>
        <w:br/>
      </w:r>
    </w:p>
    <w:p>
      <w:pPr>
        <w:numPr>
          <w:ilvl w:val="0"/>
          <w:numId w:val="1012"/>
        </w:numPr>
      </w:pPr>
      <w:r>
        <w:t xml:space="preserve">Combattere da posizione sopraelevata concede un +1d6 al Tiro per Colpire se l’avversario e’ a piedi ( o non e’ alla tua altezza...).</w:t>
      </w:r>
      <w:r>
        <w:br/>
      </w:r>
    </w:p>
    <w:p>
      <w:pPr>
        <w:numPr>
          <w:ilvl w:val="0"/>
          <w:numId w:val="1012"/>
        </w:numPr>
      </w:pPr>
      <w:r>
        <w:t xml:space="preserve">Salire o Scendere dalla cavalcatura costa 1 Azione</w:t>
      </w:r>
    </w:p>
    <w:p>
      <w:pPr>
        <w:numPr>
          <w:ilvl w:val="0"/>
          <w:numId w:val="1012"/>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3"/>
        </w:numPr>
      </w:pPr>
      <w:r>
        <w:t xml:space="preserve">Una creatura Piccola puo’ usare armi piccole ad una mano e armi medie a due mani</w:t>
      </w:r>
    </w:p>
    <w:p>
      <w:pPr>
        <w:numPr>
          <w:ilvl w:val="0"/>
          <w:numId w:val="1013"/>
        </w:numPr>
      </w:pPr>
      <w:r>
        <w:t xml:space="preserve">Una creatura Media puo’ usare armi piccole ad una mano, armi medie ad una o due mani e armi grandi a due mani.</w:t>
      </w:r>
    </w:p>
    <w:p>
      <w:pPr>
        <w:numPr>
          <w:ilvl w:val="0"/>
          <w:numId w:val="1013"/>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 Una bestia di grado di sfida 2 o inferiore</w:t>
      </w:r>
    </w:p>
    <w:p>
      <w:pPr>
        <w:numPr>
          <w:ilvl w:val="0"/>
          <w:numId w:val="1049"/>
        </w:numPr>
      </w:pPr>
      <w:r>
        <w:t xml:space="preserve">- Due bestie di grado di sfida 1 o inferiore</w:t>
      </w:r>
    </w:p>
    <w:p>
      <w:pPr>
        <w:numPr>
          <w:ilvl w:val="0"/>
          <w:numId w:val="1049"/>
        </w:numPr>
      </w:pPr>
      <w:r>
        <w:t xml:space="preserve">- Quattro bestie di grado di sfida 1/2 o inferiore</w:t>
      </w:r>
    </w:p>
    <w:p>
      <w:pPr>
        <w:numPr>
          <w:ilvl w:val="0"/>
          <w:numId w:val="1049"/>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Penombra</w:t>
      </w:r>
      <w:r>
        <w:t xml:space="preserve">: poca illuminazione permette di riconoscere le sagome</w:t>
      </w:r>
    </w:p>
    <w:p>
      <w:pPr>
        <w:numPr>
          <w:ilvl w:val="0"/>
          <w:numId w:val="1075"/>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p/>
    <w:tbl>
      <w:tblPr>
        <w:tblStyle w:val="Table"/>
        <w:tblW w:type="pct" w:w="0"/>
        <w:tblLook w:firstRow="1" w:lastRow="0" w:firstColumn="0" w:lastColumn="0" w:noHBand="0" w:noVBand="0" w:val="0020"/>
      </w:tblPr>
      <w:tblGrid/>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 dettagli su clone, modificato comprensione del linguaggio - costrizione - creare acqua - creare non morti - cura ferite (tutte) - dissolvi magie - dito, aggiunto comprensione degli scritti - creare birra, spostato in incantesimi antichi o perduti contattare altri piani, passaggio a font 10 maggiormente conforme allo standard dnd (riduzione pagine 105!), ricontrollato layout,</w:t>
      </w:r>
    </w:p>
    <w:p>
      <w:pPr>
        <w:pStyle w:val="BodyText"/>
      </w:pPr>
      <w:r>
        <w:t xml:space="preserve">dominare bestie</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 migliorare il font,</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2021-04-21T14:11:59Z</dcterms:created>
  <dcterms:modified xsi:type="dcterms:W3CDTF">2021-04-21T14:11:59Z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