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discredito-e-infamia"/>
      <w:r>
        <w:t xml:space="preserve">Discredito e Infamia</w:t>
      </w:r>
      <w:bookmarkEnd w:id="517"/>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ai fini di determinare le ricompense acquisibili).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2021-04-25T07:07:11Z</dcterms:created>
  <dcterms:modified xsi:type="dcterms:W3CDTF">2021-04-25T07:07:11Z</dcterms:modified>
</cp:coreProperties>
</file>