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3"/>
          <w:szCs w:val="23"/>
        </w:rPr>
      </w:pPr>
      <w:r w:rsidDel="00000000" w:rsidR="00000000" w:rsidRPr="00000000">
        <w:rPr>
          <w:sz w:val="23"/>
          <w:szCs w:val="23"/>
          <w:rtl w:val="0"/>
        </w:rPr>
        <w:t xml:space="preserve">El circuito mostrado representa un modelo eléctrico equivalente del útero enfocado en la contracción muscular y en la actividad eléctrica que ocurre en las fibras musculares del miometrio. Cada componente del circuito traduce un fenómeno fisiológico a un elemento eléctrico, lo que permite analizar el comportamiento del tejido a través de herramientas de circuitos eléctricos. El primer elemento es la resistencia R, la cual representa la impedancia eléctrica del tejido uterino. Esta resistencia refleja la oposición intrínseca del tejido biológico al paso de corrientes bioeléctricas y agrupa, en un solo parámetro, los efectos de la conductividad, las pérdidas energéticas y las modificaciones estructurales del tejido. En patologías como la endometriosis, es común que este valor aumente debido a fenómenos inflamatorios, fibrosis o cambios en la arquitectura celular que limitan el flujo de la señal eléctrica.</w:t>
      </w:r>
    </w:p>
    <w:p w:rsidR="00000000" w:rsidDel="00000000" w:rsidP="00000000" w:rsidRDefault="00000000" w:rsidRPr="00000000" w14:paraId="00000002">
      <w:pPr>
        <w:spacing w:after="240" w:before="240" w:lineRule="auto"/>
        <w:jc w:val="both"/>
        <w:rPr>
          <w:sz w:val="23"/>
          <w:szCs w:val="23"/>
        </w:rPr>
      </w:pPr>
      <w:r w:rsidDel="00000000" w:rsidR="00000000" w:rsidRPr="00000000">
        <w:rPr>
          <w:sz w:val="23"/>
          <w:szCs w:val="23"/>
          <w:rtl w:val="0"/>
        </w:rPr>
        <w:t xml:space="preserve">El inductor L, por su parte, representa la propagación del potencial de acción a través de las fibras musculares. En el plano fisiológico, la inductancia se interpreta como la inercia y el retardo temporal con el que la señal eléctrica se desplaza entre las células, permitiendo la sincronización y coordinación del proceso contráctil uterino. Alteraciones en este parámetro reflejan cambios en la velocidad o en la calidad de la conducción eléctrica del miometrio. Ri representa la oposición al flujo de iones dentro del tejido uterino y describe qué tan difícil resulta para la señal eléctrica desplazarse entre las fibras musculares del miometrio. Cuando este parámetro aumenta, la conducción eléctrica se vuelve más lenta y menos eficiente, lo que afecta la coordinación de la actividad contráctil. En la endometriosis, Ri tiende a elevarse debido a procesos de inflamación crónica, fibrosis y alteraciones en las uniones celulares, los cuales reducen la conductividad del tejido y dificultan el paso de corriente iónica; por ello, esta patología se asocia con una propagación eléctrica alterada y patrones de contracción menos organizados.</w:t>
      </w:r>
    </w:p>
    <w:p w:rsidR="00000000" w:rsidDel="00000000" w:rsidP="00000000" w:rsidRDefault="00000000" w:rsidRPr="00000000" w14:paraId="00000003">
      <w:pPr>
        <w:spacing w:after="240" w:before="240" w:lineRule="auto"/>
        <w:jc w:val="both"/>
        <w:rPr>
          <w:sz w:val="23"/>
          <w:szCs w:val="23"/>
        </w:rPr>
      </w:pPr>
      <w:r w:rsidDel="00000000" w:rsidR="00000000" w:rsidRPr="00000000">
        <w:rPr>
          <w:sz w:val="23"/>
          <w:szCs w:val="23"/>
          <w:rtl w:val="0"/>
        </w:rPr>
        <w:t xml:space="preserve">Finalmente, el capacitor CT aparece conectado en paralelo respecto a la rama formada por RI y L. Este capacitor modela los procesos de despolarización y repolarización de la membrana de las fibras musculares uterinas. La capacitancia CT es análoga al comportamiento eléctrico de la membrana celular, que almacena y libera carga durante cada ciclo de activación eléctrica. Al encontrarse en paralelo, CT representa un camino alterno mediante el cual el tejido puede almacenar carga sin necesidad de recorrer la dinámica asociada al tono muscular o a la propagación del potencial. Esto permite diferenciar claramente el comportamiento rápido y local de la membrana (despolarización y repolarización) del comportamiento más lento asociado al tono y a la propagación eléctrica. Cambios en el valor de CT indican variaciones en la excitabilidad celular, en su capacidad de respuesta o en la dinámica eléctrica de la membrana. De esta manera, la topología del circuito refleja de manera más fiel la fisiología del miometrio, separando los fenómenos de conducción, tono muscular y excitabilidad de la membrana.</w:t>
      </w:r>
    </w:p>
    <w:p w:rsidR="00000000" w:rsidDel="00000000" w:rsidP="00000000" w:rsidRDefault="00000000" w:rsidRPr="00000000" w14:paraId="00000004">
      <w:pPr>
        <w:spacing w:after="240" w:before="240" w:lineRule="auto"/>
        <w:jc w:val="both"/>
        <w:rPr>
          <w:sz w:val="23"/>
          <w:szCs w:val="23"/>
        </w:rPr>
      </w:pPr>
      <w:r w:rsidDel="00000000" w:rsidR="00000000" w:rsidRPr="00000000">
        <w:rPr>
          <w:rtl w:val="0"/>
        </w:rPr>
      </w:r>
    </w:p>
    <w:p w:rsidR="00000000" w:rsidDel="00000000" w:rsidP="00000000" w:rsidRDefault="00000000" w:rsidRPr="00000000" w14:paraId="00000005">
      <w:pPr>
        <w:spacing w:after="240" w:before="240" w:lineRule="auto"/>
        <w:jc w:val="both"/>
        <w:rPr>
          <w:sz w:val="23"/>
          <w:szCs w:val="23"/>
        </w:rPr>
      </w:pPr>
      <w:r w:rsidDel="00000000" w:rsidR="00000000" w:rsidRPr="00000000">
        <w:rPr>
          <w:rtl w:val="0"/>
        </w:rPr>
      </w:r>
    </w:p>
    <w:p w:rsidR="00000000" w:rsidDel="00000000" w:rsidP="00000000" w:rsidRDefault="00000000" w:rsidRPr="00000000" w14:paraId="00000006">
      <w:pPr>
        <w:spacing w:after="240" w:before="240" w:lineRule="auto"/>
        <w:jc w:val="both"/>
        <w:rPr>
          <w:sz w:val="23"/>
          <w:szCs w:val="23"/>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3"/>
                <w:szCs w:val="23"/>
              </w:rPr>
            </w:pPr>
            <w:r w:rsidDel="00000000" w:rsidR="00000000" w:rsidRPr="00000000">
              <w:rPr>
                <w:sz w:val="23"/>
                <w:szCs w:val="23"/>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3"/>
                <w:szCs w:val="23"/>
              </w:rPr>
            </w:pPr>
            <w:r w:rsidDel="00000000" w:rsidR="00000000" w:rsidRPr="00000000">
              <w:rPr>
                <w:sz w:val="23"/>
                <w:szCs w:val="23"/>
                <w:rtl w:val="0"/>
              </w:rPr>
              <w:t xml:space="preserve">Caso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Resistencia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100 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3"/>
                <w:szCs w:val="23"/>
              </w:rPr>
            </w:pPr>
            <w:r w:rsidDel="00000000" w:rsidR="00000000" w:rsidRPr="00000000">
              <w:rPr>
                <w:sz w:val="23"/>
                <w:szCs w:val="23"/>
                <w:rtl w:val="0"/>
              </w:rPr>
              <w:t xml:space="preserve">100 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3"/>
                <w:szCs w:val="23"/>
              </w:rPr>
            </w:pPr>
            <w:r w:rsidDel="00000000" w:rsidR="00000000" w:rsidRPr="00000000">
              <w:rPr>
                <w:sz w:val="23"/>
                <w:szCs w:val="23"/>
                <w:rtl w:val="0"/>
              </w:rPr>
              <w:t xml:space="preserve">Resistencia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3"/>
                <w:szCs w:val="23"/>
              </w:rPr>
            </w:pPr>
            <w:r w:rsidDel="00000000" w:rsidR="00000000" w:rsidRPr="00000000">
              <w:rPr>
                <w:sz w:val="23"/>
                <w:szCs w:val="23"/>
                <w:rtl w:val="0"/>
              </w:rPr>
              <w:t xml:space="preserve">10000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100 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Inductor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1.5 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3"/>
                <w:szCs w:val="23"/>
              </w:rPr>
            </w:pPr>
            <w:r w:rsidDel="00000000" w:rsidR="00000000" w:rsidRPr="00000000">
              <w:rPr>
                <w:sz w:val="23"/>
                <w:szCs w:val="23"/>
                <w:rtl w:val="0"/>
              </w:rPr>
              <w:t xml:space="preserve">1.5 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2200 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3"/>
                <w:szCs w:val="23"/>
              </w:rPr>
            </w:pPr>
            <w:r w:rsidDel="00000000" w:rsidR="00000000" w:rsidRPr="00000000">
              <w:rPr>
                <w:sz w:val="23"/>
                <w:szCs w:val="23"/>
                <w:rtl w:val="0"/>
              </w:rPr>
              <w:t xml:space="preserve">2200 mF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
                <w:szCs w:val="23"/>
              </w:rPr>
            </w:pPr>
            <w:r w:rsidDel="00000000" w:rsidR="00000000" w:rsidRPr="00000000">
              <w:rPr>
                <w:sz w:val="23"/>
                <w:szCs w:val="23"/>
                <w:rtl w:val="0"/>
              </w:rPr>
              <w:t xml:space="preserv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3"/>
                <w:szCs w:val="23"/>
              </w:rPr>
            </w:pPr>
            <w:r w:rsidDel="00000000" w:rsidR="00000000" w:rsidRPr="00000000">
              <w:rPr>
                <w:sz w:val="23"/>
                <w:szCs w:val="23"/>
                <w:rtl w:val="0"/>
              </w:rPr>
              <w:t xml:space="preserve">3 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3"/>
                <w:szCs w:val="23"/>
              </w:rPr>
            </w:pPr>
            <w:r w:rsidDel="00000000" w:rsidR="00000000" w:rsidRPr="00000000">
              <w:rPr>
                <w:sz w:val="23"/>
                <w:szCs w:val="23"/>
                <w:rtl w:val="0"/>
              </w:rPr>
              <w:t xml:space="preserve">3 mF</w:t>
            </w:r>
          </w:p>
        </w:tc>
      </w:tr>
    </w:tbl>
    <w:p w:rsidR="00000000" w:rsidDel="00000000" w:rsidP="00000000" w:rsidRDefault="00000000" w:rsidRPr="00000000" w14:paraId="00000019">
      <w:pPr>
        <w:spacing w:after="240" w:before="240" w:lineRule="auto"/>
        <w:jc w:val="both"/>
        <w:rPr>
          <w:sz w:val="23"/>
          <w:szCs w:val="23"/>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sz w:val="36"/>
        <w:szCs w:val="36"/>
      </w:rPr>
    </w:pPr>
    <w:r w:rsidDel="00000000" w:rsidR="00000000" w:rsidRPr="00000000">
      <w:rPr>
        <w:sz w:val="28"/>
        <w:szCs w:val="28"/>
        <w:rtl w:val="0"/>
      </w:rPr>
      <w:t xml:space="preserve">Actividad eléctrica del útero enfocado en la contracción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