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75207B"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367594B6" w14:textId="180CAE9C" w:rsidR="00502CEF" w:rsidRPr="000A1000" w:rsidRDefault="00502CEF" w:rsidP="00502CE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PROFILE</w:t>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7BF527F1" w14:textId="250351FF" w:rsidR="00A3627F" w:rsidRDefault="007A3B7B" w:rsidP="008A650B">
      <w:pPr>
        <w:shd w:val="clear" w:color="auto" w:fill="FFFFFF"/>
        <w:jc w:val="both"/>
        <w:rPr>
          <w:rFonts w:cstheme="minorHAnsi"/>
        </w:rPr>
      </w:pPr>
      <w:r w:rsidRPr="00A3627F">
        <w:rPr>
          <w:rFonts w:cstheme="minorHAnsi"/>
        </w:rPr>
        <w:t xml:space="preserve">I am a doctoral candidate in the Department of Criminology at the University of Pennsylvania. </w:t>
      </w:r>
      <w:r w:rsidR="00D16D0D">
        <w:rPr>
          <w:rFonts w:cstheme="minorHAnsi"/>
        </w:rPr>
        <w:t>I</w:t>
      </w:r>
      <w:r w:rsidR="00E94993">
        <w:rPr>
          <w:rFonts w:cstheme="minorHAnsi"/>
        </w:rPr>
        <w:t>nformed by extensive experience working in prisons and other places of detention</w:t>
      </w:r>
      <w:r w:rsidR="00D16D0D">
        <w:rPr>
          <w:rFonts w:cstheme="minorHAnsi"/>
        </w:rPr>
        <w:t>, my research</w:t>
      </w:r>
      <w:r w:rsidR="00E94993">
        <w:rPr>
          <w:rFonts w:cstheme="minorHAnsi"/>
        </w:rPr>
        <w:t xml:space="preserve"> </w:t>
      </w:r>
      <w:r w:rsidR="00D04039">
        <w:rPr>
          <w:rFonts w:cstheme="minorHAnsi"/>
        </w:rPr>
        <w:t xml:space="preserve">aims to </w:t>
      </w:r>
      <w:r w:rsidR="00E94993">
        <w:rPr>
          <w:rFonts w:cstheme="minorHAnsi"/>
        </w:rPr>
        <w:t>deliver</w:t>
      </w:r>
      <w:r w:rsidR="00D04039">
        <w:rPr>
          <w:rFonts w:cstheme="minorHAnsi"/>
        </w:rPr>
        <w:t xml:space="preserve"> the highest-quality evidence</w:t>
      </w:r>
      <w:r w:rsidR="00A3627F">
        <w:rPr>
          <w:rFonts w:cstheme="minorHAnsi"/>
        </w:rPr>
        <w:t xml:space="preserve"> on </w:t>
      </w:r>
      <w:r w:rsidR="003E1E2D">
        <w:rPr>
          <w:rFonts w:cstheme="minorHAnsi"/>
        </w:rPr>
        <w:t>p</w:t>
      </w:r>
      <w:r w:rsidR="00A3627F">
        <w:rPr>
          <w:rFonts w:cstheme="minorHAnsi"/>
        </w:rPr>
        <w:t>olicies and practices</w:t>
      </w:r>
      <w:r w:rsidR="003E1E2D">
        <w:rPr>
          <w:rFonts w:cstheme="minorHAnsi"/>
        </w:rPr>
        <w:t xml:space="preserve"> </w:t>
      </w:r>
      <w:r w:rsidR="00FE2B21">
        <w:rPr>
          <w:rFonts w:cstheme="minorHAnsi"/>
        </w:rPr>
        <w:t xml:space="preserve">that </w:t>
      </w:r>
      <w:r w:rsidR="00D04039">
        <w:rPr>
          <w:rFonts w:cstheme="minorHAnsi"/>
        </w:rPr>
        <w:t xml:space="preserve">make prisons safer </w:t>
      </w:r>
      <w:r w:rsidR="005B14DE">
        <w:rPr>
          <w:rFonts w:cstheme="minorHAnsi"/>
        </w:rPr>
        <w:t xml:space="preserve">and </w:t>
      </w:r>
      <w:r w:rsidR="00E94993">
        <w:rPr>
          <w:rFonts w:cstheme="minorHAnsi"/>
        </w:rPr>
        <w:t>reduce reoffending</w:t>
      </w:r>
      <w:r w:rsidR="005B14DE">
        <w:rPr>
          <w:rFonts w:cstheme="minorHAnsi"/>
        </w:rPr>
        <w:t xml:space="preserve">. </w:t>
      </w:r>
      <w:r w:rsidR="00D16D0D">
        <w:rPr>
          <w:rFonts w:cstheme="minorHAnsi"/>
        </w:rPr>
        <w:t>In m</w:t>
      </w:r>
      <w:r w:rsidR="00E94993">
        <w:rPr>
          <w:rFonts w:cstheme="minorHAnsi"/>
        </w:rPr>
        <w:t>y</w:t>
      </w:r>
      <w:r w:rsidR="00D04039">
        <w:rPr>
          <w:rFonts w:cstheme="minorHAnsi"/>
        </w:rPr>
        <w:t xml:space="preserve"> </w:t>
      </w:r>
      <w:r w:rsidR="005B14DE">
        <w:rPr>
          <w:rFonts w:cstheme="minorHAnsi"/>
        </w:rPr>
        <w:t xml:space="preserve">PhD </w:t>
      </w:r>
      <w:r w:rsidR="00E94993">
        <w:rPr>
          <w:rFonts w:cstheme="minorHAnsi"/>
        </w:rPr>
        <w:t>thesis</w:t>
      </w:r>
      <w:r w:rsidR="00D16D0D">
        <w:rPr>
          <w:rFonts w:cstheme="minorHAnsi"/>
        </w:rPr>
        <w:t>, I</w:t>
      </w:r>
      <w:r w:rsidR="005B14DE">
        <w:rPr>
          <w:rFonts w:cstheme="minorHAnsi"/>
        </w:rPr>
        <w:t xml:space="preserve"> combine </w:t>
      </w:r>
      <w:r w:rsidR="00D04039">
        <w:rPr>
          <w:rFonts w:cstheme="minorHAnsi"/>
        </w:rPr>
        <w:t>little-used administrative prison data with other administrative</w:t>
      </w:r>
      <w:r w:rsidR="005B14DE">
        <w:rPr>
          <w:rFonts w:cstheme="minorHAnsi"/>
        </w:rPr>
        <w:t xml:space="preserve"> and survey data </w:t>
      </w:r>
      <w:r w:rsidR="00D04039">
        <w:rPr>
          <w:rFonts w:cstheme="minorHAnsi"/>
        </w:rPr>
        <w:t xml:space="preserve">to </w:t>
      </w:r>
      <w:r w:rsidR="005B14DE">
        <w:rPr>
          <w:rFonts w:cstheme="minorHAnsi"/>
        </w:rPr>
        <w:t xml:space="preserve">contribute causal evidence to a fundamental </w:t>
      </w:r>
      <w:r w:rsidR="00D04039">
        <w:rPr>
          <w:rFonts w:cstheme="minorHAnsi"/>
        </w:rPr>
        <w:t xml:space="preserve">policy </w:t>
      </w:r>
      <w:r w:rsidR="005B14DE">
        <w:rPr>
          <w:rFonts w:cstheme="minorHAnsi"/>
        </w:rPr>
        <w:t>debate</w:t>
      </w:r>
      <w:r w:rsidR="00D04039">
        <w:rPr>
          <w:rFonts w:cstheme="minorHAnsi"/>
        </w:rPr>
        <w:t xml:space="preserve">: what can prisons do </w:t>
      </w:r>
      <w:r w:rsidR="005B14DE">
        <w:rPr>
          <w:rFonts w:cstheme="minorHAnsi"/>
        </w:rPr>
        <w:t>to improve public safety?</w:t>
      </w:r>
      <w:r w:rsidR="00D16D0D">
        <w:rPr>
          <w:rFonts w:cstheme="minorHAnsi"/>
        </w:rPr>
        <w:t xml:space="preserve"> Specifically, I studied experienced </w:t>
      </w:r>
      <w:r w:rsidR="00D16D0D" w:rsidRPr="00D16D0D">
        <w:rPr>
          <w:rFonts w:cstheme="minorHAnsi"/>
        </w:rPr>
        <w:t>prison conditions in the context of a randomized trial</w:t>
      </w:r>
      <w:r w:rsidR="002F45A6">
        <w:rPr>
          <w:rFonts w:cstheme="minorHAnsi"/>
        </w:rPr>
        <w:t xml:space="preserve"> </w:t>
      </w:r>
      <w:r w:rsidR="00D16D0D" w:rsidRPr="00D16D0D">
        <w:rPr>
          <w:rFonts w:cstheme="minorHAnsi"/>
        </w:rPr>
        <w:t>and examine</w:t>
      </w:r>
      <w:r w:rsidR="00D16D0D">
        <w:rPr>
          <w:rFonts w:cstheme="minorHAnsi"/>
        </w:rPr>
        <w:t>d</w:t>
      </w:r>
      <w:r w:rsidR="00D16D0D" w:rsidRPr="00D16D0D">
        <w:rPr>
          <w:rFonts w:cstheme="minorHAnsi"/>
        </w:rPr>
        <w:t xml:space="preserve"> the causal impact of prison-based programming on post-release employment.</w:t>
      </w:r>
      <w:r w:rsidR="00D16D0D">
        <w:rPr>
          <w:rFonts w:cstheme="minorHAnsi"/>
        </w:rPr>
        <w:t xml:space="preserve"> P</w:t>
      </w:r>
      <w:r w:rsidR="005B14DE">
        <w:rPr>
          <w:rFonts w:cstheme="minorHAnsi"/>
        </w:rPr>
        <w:t xml:space="preserve">rior to my PhD, I managed a prison helpline, oversaw the delivery of a large-scale peer support program, monitored conditions of confinement, and advised policymakers on improving wellbeing in prisons in the UK and Ireland.  </w:t>
      </w: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1421AE0D" w:rsidR="001A4FC7" w:rsidRPr="00F50800" w:rsidRDefault="00B025B9" w:rsidP="00061112">
            <w:pPr>
              <w:jc w:val="right"/>
              <w:rPr>
                <w:rFonts w:cstheme="minorHAnsi"/>
              </w:rPr>
            </w:pPr>
            <w:r>
              <w:rPr>
                <w:rFonts w:cstheme="minorHAnsi"/>
              </w:rPr>
              <w:t>*</w:t>
            </w:r>
            <w:r w:rsidR="00A538A2">
              <w:rPr>
                <w:rFonts w:cstheme="minorHAnsi"/>
              </w:rPr>
              <w:t>202</w:t>
            </w:r>
            <w:r w:rsidR="00C704FC">
              <w:rPr>
                <w:rFonts w:cstheme="minorHAnsi"/>
              </w:rPr>
              <w:t>4</w:t>
            </w:r>
          </w:p>
          <w:p w14:paraId="127197BB" w14:textId="4AEF1CA3" w:rsidR="00B025B9" w:rsidRDefault="0039047B" w:rsidP="00061112">
            <w:pPr>
              <w:jc w:val="right"/>
              <w:rPr>
                <w:rFonts w:cstheme="minorHAnsi"/>
              </w:rPr>
            </w:pPr>
            <w:r w:rsidRPr="00B025B9">
              <w:rPr>
                <w:rFonts w:cstheme="minorHAnsi"/>
                <w:i/>
                <w:iCs/>
              </w:rPr>
              <w:t>* Expected</w:t>
            </w:r>
          </w:p>
          <w:p w14:paraId="5E7DE501" w14:textId="77777777" w:rsidR="00E558F1" w:rsidRDefault="00E558F1"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8" w:history="1">
        <w:r>
          <w:rPr>
            <w:rStyle w:val="Hyperlink"/>
            <w:rFonts w:cstheme="minorHAnsi"/>
          </w:rPr>
          <w:t>http://doi.org/10.1111/1745-9133.12625</w:t>
        </w:r>
      </w:hyperlink>
      <w:r>
        <w:rPr>
          <w:rFonts w:cstheme="minorHAnsi"/>
        </w:rPr>
        <w:t xml:space="preserve"> </w:t>
      </w:r>
    </w:p>
    <w:p w14:paraId="7C56A86E" w14:textId="77777777" w:rsidR="005257DB" w:rsidRPr="005257DB" w:rsidRDefault="005257DB" w:rsidP="005257DB">
      <w:pPr>
        <w:ind w:left="720"/>
        <w:jc w:val="both"/>
        <w:rPr>
          <w:rFonts w:cstheme="minorHAnsi"/>
          <w:sz w:val="20"/>
          <w:szCs w:val="20"/>
        </w:rPr>
      </w:pPr>
      <w:r w:rsidRPr="005257DB">
        <w:rPr>
          <w:sz w:val="20"/>
          <w:szCs w:val="20"/>
        </w:rPr>
        <w:t xml:space="preserve">This research asks whether jail-based immigration enforcement leads to the profiling of Hispanics by municipal police. I leverage a natural experiment to examine the effects of 287(g) jail partnerships on traffic stops and arrests by municipal police in North Carolina in the late 2000s. I find that stops of Hispanic drivers fell in the wake of 287(g) </w:t>
      </w:r>
      <w:proofErr w:type="gramStart"/>
      <w:r w:rsidRPr="005257DB">
        <w:rPr>
          <w:sz w:val="20"/>
          <w:szCs w:val="20"/>
        </w:rPr>
        <w:t>agreements, and</w:t>
      </w:r>
      <w:proofErr w:type="gramEnd"/>
      <w:r w:rsidRPr="005257DB">
        <w:rPr>
          <w:sz w:val="20"/>
          <w:szCs w:val="20"/>
        </w:rPr>
        <w:t xml:space="preserve"> show that this fall was driven by changes in Hispanic road use. While I cannot unambiguously disentangle police and driver behavior, I find no evidence that municipal police officers increased pretextual stops and arrests of Hispanic drivers. </w:t>
      </w:r>
    </w:p>
    <w:p w14:paraId="6801166E" w14:textId="77777777" w:rsidR="00EB7C5E" w:rsidRPr="000A1000" w:rsidRDefault="00EB7C5E" w:rsidP="00EB7C5E">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Pr>
          <w:rFonts w:asciiTheme="majorHAnsi" w:hAnsiTheme="majorHAnsi" w:cstheme="majorHAnsi"/>
          <w:b/>
          <w:bCs/>
          <w:sz w:val="26"/>
          <w:szCs w:val="26"/>
          <w:u w:val="single"/>
        </w:rPr>
        <w:t xml:space="preserve"> (PHD THESIS)</w:t>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0CC678BE" w14:textId="77777777" w:rsidR="00EB7C5E" w:rsidRDefault="00EB7C5E" w:rsidP="00EB7C5E">
      <w:pPr>
        <w:jc w:val="both"/>
        <w:rPr>
          <w:rFonts w:cstheme="minorHAnsi"/>
          <w:sz w:val="18"/>
          <w:szCs w:val="18"/>
        </w:rPr>
      </w:pPr>
      <w:r>
        <w:t xml:space="preserve">Van Tiem, B. - “Finding work after prison: Do skills gained in prison matter? Evidence from Variation in Availability” </w:t>
      </w:r>
      <w:r>
        <w:rPr>
          <w:rFonts w:cstheme="minorHAnsi"/>
          <w:sz w:val="18"/>
          <w:szCs w:val="18"/>
        </w:rPr>
        <w:t>– single-authored</w:t>
      </w:r>
    </w:p>
    <w:p w14:paraId="35E030CD" w14:textId="77777777" w:rsidR="001C56F2" w:rsidRPr="001C56F2" w:rsidRDefault="001C56F2" w:rsidP="001C56F2">
      <w:pPr>
        <w:ind w:left="720"/>
        <w:jc w:val="both"/>
        <w:rPr>
          <w:sz w:val="20"/>
          <w:szCs w:val="20"/>
        </w:rPr>
      </w:pPr>
      <w:r w:rsidRPr="001C56F2">
        <w:rPr>
          <w:sz w:val="20"/>
          <w:szCs w:val="20"/>
        </w:rPr>
        <w:t xml:space="preserve">The formerly incarcerated are chronically under-employed. Prisons commonly offer vocational training programs that intend to provide individuals with job opportunities </w:t>
      </w:r>
      <w:r w:rsidRPr="001C56F2">
        <w:rPr>
          <w:rFonts w:cstheme="minorHAnsi"/>
          <w:sz w:val="20"/>
          <w:szCs w:val="20"/>
          <w:shd w:val="clear" w:color="auto" w:fill="FFFFFF"/>
        </w:rPr>
        <w:t xml:space="preserve">in specific occupational sectors. This paper assesses </w:t>
      </w:r>
      <w:r w:rsidRPr="001C56F2">
        <w:rPr>
          <w:sz w:val="20"/>
          <w:szCs w:val="20"/>
        </w:rPr>
        <w:t xml:space="preserve">whether the skills gained in vocational training programs move individuals into work in their field of training. Using a unique dataset for individuals released from prisons in one state in the Eastern United States, I exploit the fact that program participation is partly a function of program availability, to </w:t>
      </w:r>
      <w:r w:rsidRPr="001C56F2">
        <w:rPr>
          <w:sz w:val="20"/>
          <w:szCs w:val="20"/>
        </w:rPr>
        <w:lastRenderedPageBreak/>
        <w:t xml:space="preserve">estimate the causal impact of program participation on sector-specific job attainment. My findings suggest that, overall, vocational training programs move individuals into their sectors of training. These effects are driven by individuals receiving training in the food and construction industries. </w:t>
      </w:r>
    </w:p>
    <w:p w14:paraId="3512D163" w14:textId="77777777" w:rsidR="00EB7C5E" w:rsidRDefault="00EB7C5E" w:rsidP="00EB7C5E">
      <w:pPr>
        <w:jc w:val="both"/>
        <w:rPr>
          <w:sz w:val="18"/>
          <w:szCs w:val="18"/>
        </w:rPr>
      </w:pPr>
      <w:r>
        <w:rPr>
          <w:rFonts w:cstheme="minorHAnsi"/>
        </w:rPr>
        <w:t xml:space="preserve">Van Tiem et al. - “Improving the Quality of Prison Life – Experimental Evidence </w:t>
      </w:r>
      <w:proofErr w:type="gramStart"/>
      <w:r>
        <w:rPr>
          <w:rFonts w:cstheme="minorHAnsi"/>
        </w:rPr>
        <w:t>From</w:t>
      </w:r>
      <w:proofErr w:type="gramEnd"/>
      <w:r>
        <w:rPr>
          <w:rFonts w:cstheme="minorHAnsi"/>
        </w:rPr>
        <w:t xml:space="preserve">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6B223787" w14:textId="77777777" w:rsidR="00B4480A" w:rsidRPr="00B4480A" w:rsidRDefault="00B4480A" w:rsidP="00B4480A">
      <w:pPr>
        <w:ind w:left="720"/>
        <w:jc w:val="both"/>
        <w:rPr>
          <w:sz w:val="20"/>
          <w:szCs w:val="20"/>
        </w:rPr>
      </w:pPr>
      <w:r w:rsidRPr="00B4480A">
        <w:rPr>
          <w:sz w:val="20"/>
          <w:szCs w:val="20"/>
        </w:rPr>
        <w:t>What interventions improve the quality of prison environments, as assessed by those who are incarcerated there? We leverage a randomized control trial in which incarcerated men were randomly assigned to a transformed housing unit where conditions of confinement differ markedly from regular conditions. Using panel data from a prison climate survey, we test how changing prison conditions affect incarcerated people’s satisfaction with their environment. We assess to what extent changes in satisfaction can be explained by self-reported experiences in prison.</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7066903F" w:rsidR="00155F7F" w:rsidRDefault="00960D57" w:rsidP="00955032">
      <w:pPr>
        <w:jc w:val="both"/>
        <w:rPr>
          <w:color w:val="000000" w:themeColor="text1"/>
          <w:sz w:val="18"/>
          <w:szCs w:val="18"/>
        </w:rPr>
      </w:pPr>
      <w:r>
        <w:t xml:space="preserve">Van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 xml:space="preserve">Nieuwbeerta, Synøve N. Andersen, Jordan M. </w:t>
      </w:r>
      <w:proofErr w:type="gramStart"/>
      <w:r w:rsidR="00155F7F" w:rsidRPr="002B2A0E">
        <w:rPr>
          <w:color w:val="000000" w:themeColor="text1"/>
          <w:sz w:val="18"/>
          <w:szCs w:val="18"/>
        </w:rPr>
        <w:t>Hyatt</w:t>
      </w:r>
      <w:proofErr w:type="gramEnd"/>
      <w:r w:rsidR="00155F7F" w:rsidRPr="002B2A0E">
        <w:rPr>
          <w:color w:val="000000" w:themeColor="text1"/>
          <w:sz w:val="18"/>
          <w:szCs w:val="18"/>
        </w:rPr>
        <w:t xml:space="preserve"> and Hanneke Palmen</w:t>
      </w:r>
      <w:r w:rsidR="00D70F85" w:rsidRPr="002B2A0E">
        <w:rPr>
          <w:color w:val="000000" w:themeColor="text1"/>
          <w:sz w:val="18"/>
          <w:szCs w:val="18"/>
        </w:rPr>
        <w:t xml:space="preserve"> (</w:t>
      </w:r>
      <w:r w:rsidRPr="002B2A0E">
        <w:rPr>
          <w:color w:val="000000" w:themeColor="text1"/>
          <w:sz w:val="18"/>
          <w:szCs w:val="18"/>
        </w:rPr>
        <w:t>Under Review at the European Journal of Criminology</w:t>
      </w:r>
      <w:r w:rsidR="00D70F85" w:rsidRPr="002B2A0E">
        <w:rPr>
          <w:color w:val="000000" w:themeColor="text1"/>
          <w:sz w:val="18"/>
          <w:szCs w:val="18"/>
        </w:rPr>
        <w:t>)</w:t>
      </w:r>
    </w:p>
    <w:p w14:paraId="5E4F38D6" w14:textId="77777777" w:rsidR="00FB60C0" w:rsidRPr="00FB60C0" w:rsidRDefault="00FB60C0" w:rsidP="00ED1202">
      <w:pPr>
        <w:pStyle w:val="Normaalweb"/>
        <w:spacing w:before="0" w:beforeAutospacing="0" w:after="240" w:afterAutospacing="0"/>
        <w:ind w:left="720"/>
        <w:jc w:val="both"/>
        <w:rPr>
          <w:rFonts w:asciiTheme="minorHAnsi" w:hAnsiTheme="minorHAnsi" w:cstheme="minorHAnsi"/>
          <w:sz w:val="20"/>
          <w:szCs w:val="20"/>
        </w:rPr>
      </w:pPr>
      <w:r w:rsidRPr="00FB60C0">
        <w:rPr>
          <w:rFonts w:asciiTheme="minorHAnsi" w:hAnsiTheme="minorHAnsi" w:cstheme="minorHAnsi"/>
          <w:sz w:val="20"/>
          <w:szCs w:val="20"/>
        </w:rPr>
        <w:t xml:space="preserve">Prison climate surveys are uniquely positioned to identify how the quality of prison life differs both within and between institutions. However, much of this comparative potential remains unrealized, in part because of insufficient evidence that existing survey instruments are suitable for use in different contexts, and that survey data can be reliably compared across contexts. In this paper, we explore the suitability of the Prison Climate Questionnaire (PCQ) for use in the USA by assessing its factor structure, reliability, construct validity, and criterion validity using survey data from Pennsylvania. We compare our findings to previously published psychometric results from the Netherlands and make recommendations for future comparative prison climate research. </w:t>
      </w:r>
    </w:p>
    <w:p w14:paraId="5120841C" w14:textId="66A6E2BD" w:rsidR="00960D57" w:rsidRDefault="00960D57" w:rsidP="00960D57">
      <w:pPr>
        <w:jc w:val="both"/>
        <w:rPr>
          <w:color w:val="000000" w:themeColor="text1"/>
          <w:sz w:val="18"/>
          <w:szCs w:val="18"/>
        </w:rPr>
      </w:pPr>
      <w:r>
        <w:t>Hyatt et al. - “</w:t>
      </w:r>
      <w:r w:rsidRPr="00D70F85">
        <w:t>Perceptions of Incarcerated People Regarding Factors Relating to Prison Conditions, Public Health, and Justice</w:t>
      </w:r>
      <w: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 xml:space="preserve">Jordan M. </w:t>
      </w:r>
      <w:r w:rsidRPr="002B2A0E">
        <w:rPr>
          <w:color w:val="000000" w:themeColor="text1"/>
          <w:sz w:val="18"/>
          <w:szCs w:val="18"/>
        </w:rPr>
        <w:t>Hyatt (</w:t>
      </w:r>
      <w:r w:rsidR="005412CB">
        <w:rPr>
          <w:color w:val="000000" w:themeColor="text1"/>
          <w:sz w:val="18"/>
          <w:szCs w:val="18"/>
        </w:rPr>
        <w:t>R&amp;R</w:t>
      </w:r>
      <w:r w:rsidRPr="002B2A0E">
        <w:rPr>
          <w:color w:val="000000" w:themeColor="text1"/>
          <w:sz w:val="18"/>
          <w:szCs w:val="18"/>
        </w:rPr>
        <w:t xml:space="preserve"> at</w:t>
      </w:r>
      <w:r w:rsidR="002B2A0E" w:rsidRPr="002B2A0E">
        <w:rPr>
          <w:color w:val="000000" w:themeColor="text1"/>
          <w:sz w:val="18"/>
          <w:szCs w:val="18"/>
        </w:rPr>
        <w:t xml:space="preserve"> Journal of Public Health Policy</w:t>
      </w:r>
      <w:r w:rsidRPr="002B2A0E">
        <w:rPr>
          <w:color w:val="000000" w:themeColor="text1"/>
          <w:sz w:val="18"/>
          <w:szCs w:val="18"/>
        </w:rPr>
        <w:t>)</w:t>
      </w:r>
    </w:p>
    <w:p w14:paraId="668DE7BE" w14:textId="77777777" w:rsidR="00FE1895" w:rsidRPr="00FE1895" w:rsidRDefault="00FE1895" w:rsidP="00FE1895">
      <w:pPr>
        <w:ind w:left="720"/>
        <w:jc w:val="both"/>
        <w:rPr>
          <w:sz w:val="20"/>
          <w:szCs w:val="20"/>
        </w:rPr>
      </w:pPr>
      <w:r w:rsidRPr="00FE1895">
        <w:rPr>
          <w:sz w:val="20"/>
          <w:szCs w:val="20"/>
        </w:rPr>
        <w:t>Using data from the Prison Climate Questionnaire (PCQ) obtained from a population-representative sample of incarcerated men in a correctional facility located in the Eastern United States, this study descriptively considers the complex nexus between the carceral context, health, and justice from the perspective of incarcerated people. Respondents report relatively high degrees of isolation, stress, and fear of victimization. Levels of discrimination, from staff and other incarcerated people, are perceived as high on some units though not universally as such. We illustrate how combining administrative data with self-report data derived from survey instruments designed to measure subjective perceptions of prison climate provides a meaningful opportunity for advancing public health and justice policy.</w:t>
      </w:r>
    </w:p>
    <w:p w14:paraId="49EECBB0" w14:textId="190CF534" w:rsidR="00EB7C5E" w:rsidRDefault="00573909" w:rsidP="00EB7C5E">
      <w:pPr>
        <w:jc w:val="both"/>
        <w:rPr>
          <w:rFonts w:cstheme="minorHAnsi"/>
          <w:sz w:val="18"/>
          <w:szCs w:val="18"/>
        </w:rPr>
      </w:pPr>
      <w:proofErr w:type="spellStart"/>
      <w:r w:rsidRPr="00EE0C82">
        <w:rPr>
          <w:rFonts w:cstheme="minorHAnsi"/>
        </w:rPr>
        <w:t>Knorre</w:t>
      </w:r>
      <w:proofErr w:type="spellEnd"/>
      <w:r w:rsidRPr="00EE0C82">
        <w:rPr>
          <w:rFonts w:cstheme="minorHAnsi"/>
        </w:rPr>
        <w:t xml:space="preserv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 xml:space="preserve">with Aaron J. Chalfin and Alex </w:t>
      </w:r>
      <w:proofErr w:type="spellStart"/>
      <w:r w:rsidR="00EB7C5E" w:rsidRPr="00955032">
        <w:rPr>
          <w:rFonts w:cstheme="minorHAnsi"/>
          <w:sz w:val="18"/>
          <w:szCs w:val="18"/>
        </w:rPr>
        <w:t>Knorre</w:t>
      </w:r>
      <w:proofErr w:type="spellEnd"/>
      <w:r w:rsidR="00EB7C5E">
        <w:rPr>
          <w:rFonts w:cstheme="minorHAnsi"/>
          <w:sz w:val="18"/>
          <w:szCs w:val="18"/>
        </w:rPr>
        <w:t xml:space="preserve">, </w:t>
      </w:r>
      <w:r w:rsidR="00EB7C5E" w:rsidRPr="002D6DDD">
        <w:rPr>
          <w:rFonts w:cstheme="minorHAnsi"/>
          <w:sz w:val="18"/>
          <w:szCs w:val="18"/>
        </w:rPr>
        <w:t xml:space="preserve">*equal authorship </w:t>
      </w:r>
    </w:p>
    <w:p w14:paraId="409CECB2" w14:textId="76CCE17D" w:rsidR="00637788" w:rsidRPr="00F85D05" w:rsidRDefault="0075207B" w:rsidP="007D4380">
      <w:pPr>
        <w:ind w:left="720"/>
        <w:jc w:val="both"/>
        <w:rPr>
          <w:rFonts w:cstheme="minorHAnsi"/>
          <w:i/>
          <w:iCs/>
        </w:rPr>
      </w:pPr>
      <w:hyperlink r:id="rId9" w:history="1">
        <w:r w:rsidR="00637788" w:rsidRPr="00F85D05">
          <w:rPr>
            <w:rStyle w:val="Hyperlink"/>
            <w:rFonts w:cstheme="minorHAnsi"/>
            <w:i/>
            <w:iCs/>
          </w:rPr>
          <w:t>Working Paper Link</w:t>
        </w:r>
      </w:hyperlink>
    </w:p>
    <w:p w14:paraId="7D0C38DC" w14:textId="692B63B4" w:rsidR="007D4380" w:rsidRPr="007D4380" w:rsidRDefault="007D4380" w:rsidP="007D4380">
      <w:pPr>
        <w:ind w:left="720"/>
        <w:jc w:val="both"/>
        <w:rPr>
          <w:rFonts w:cstheme="minorHAnsi"/>
          <w:sz w:val="20"/>
          <w:szCs w:val="20"/>
        </w:rPr>
      </w:pPr>
      <w:r w:rsidRPr="007D4380">
        <w:rPr>
          <w:rFonts w:cstheme="minorHAnsi"/>
          <w:sz w:val="20"/>
          <w:szCs w:val="20"/>
        </w:rPr>
        <w:t xml:space="preserve">Did anti-Asian violence rise after the onset of the COVID-19 pandemic?  Efforts to answer this question are compromised by the inherent difficulty of measuring </w:t>
      </w:r>
      <w:proofErr w:type="gramStart"/>
      <w:r w:rsidRPr="007D4380">
        <w:rPr>
          <w:rFonts w:cstheme="minorHAnsi"/>
          <w:sz w:val="20"/>
          <w:szCs w:val="20"/>
        </w:rPr>
        <w:t>racially-motivated</w:t>
      </w:r>
      <w:proofErr w:type="gramEnd"/>
      <w:r w:rsidRPr="007D4380">
        <w:rPr>
          <w:rFonts w:cstheme="minorHAnsi"/>
          <w:sz w:val="20"/>
          <w:szCs w:val="20"/>
        </w:rPr>
        <w:t xml:space="preserve"> crimes as well as concerns that reporting of racially-motivated crimes may have changed due to their increased salience during the pandemic. We pursue an alternative approach to studying whether anti-Asian violence rose after March 2020 that addresses each of these concerns. Using data from the FBI's National Incident-Based Reporting System, we study inter-race violence occurring in public spaces. While public violence declined among all </w:t>
      </w:r>
      <w:r w:rsidRPr="007D4380">
        <w:rPr>
          <w:rFonts w:cstheme="minorHAnsi"/>
          <w:sz w:val="20"/>
          <w:szCs w:val="20"/>
        </w:rPr>
        <w:lastRenderedPageBreak/>
        <w:t xml:space="preserve">Americans after March 2020, the share of public violence directed at Asian-Americans by people who were previously unknown to them -- or were acquaintances -- rose more than it did for other Americans. </w:t>
      </w:r>
    </w:p>
    <w:bookmarkEnd w:id="0"/>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75207B" w:rsidP="00155F7F">
      <w:pPr>
        <w:ind w:firstLine="720"/>
        <w:jc w:val="both"/>
        <w:rPr>
          <w:i/>
          <w:iCs/>
        </w:rPr>
      </w:pPr>
      <w:hyperlink r:id="rId10"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318323A3" w14:textId="77777777" w:rsidR="00510495" w:rsidRDefault="00814C40" w:rsidP="00DE6B57">
      <w:pPr>
        <w:jc w:val="both"/>
        <w:rPr>
          <w:rFonts w:cstheme="minorHAnsi"/>
        </w:rPr>
      </w:pPr>
      <w:r>
        <w:rPr>
          <w:rFonts w:cstheme="minorHAnsi"/>
        </w:rPr>
        <w:t xml:space="preserve">“Coping with Life in Prison” </w:t>
      </w:r>
    </w:p>
    <w:p w14:paraId="6F147D2C" w14:textId="72D00600" w:rsidR="00F50800" w:rsidRPr="00510495" w:rsidRDefault="00814C40" w:rsidP="00510495">
      <w:pPr>
        <w:pStyle w:val="Lijstalinea"/>
        <w:numPr>
          <w:ilvl w:val="0"/>
          <w:numId w:val="12"/>
        </w:numPr>
        <w:jc w:val="both"/>
        <w:rPr>
          <w:rFonts w:cstheme="minorHAnsi"/>
        </w:rPr>
      </w:pPr>
      <w:r w:rsidRPr="00510495">
        <w:rPr>
          <w:rFonts w:cstheme="minorHAnsi"/>
        </w:rPr>
        <w:t xml:space="preserve">Invited talk at Her Majesty’s Prison and Probation Service Suicide and Self-harm Symposium, UK, August 2019.  </w:t>
      </w:r>
    </w:p>
    <w:p w14:paraId="563AF9DB" w14:textId="77777777" w:rsidR="00510495" w:rsidRDefault="00814C40" w:rsidP="00DE6B57">
      <w:pPr>
        <w:jc w:val="both"/>
        <w:rPr>
          <w:rFonts w:cs="Arial"/>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p>
    <w:p w14:paraId="4BA54961" w14:textId="7ACE4506" w:rsidR="00814C40" w:rsidRPr="00510495" w:rsidRDefault="00814C40" w:rsidP="00510495">
      <w:pPr>
        <w:pStyle w:val="Lijstalinea"/>
        <w:numPr>
          <w:ilvl w:val="0"/>
          <w:numId w:val="12"/>
        </w:numPr>
        <w:jc w:val="both"/>
        <w:rPr>
          <w:rFonts w:cstheme="minorHAnsi"/>
        </w:rPr>
      </w:pPr>
      <w:r w:rsidRPr="00510495">
        <w:rPr>
          <w:rFonts w:cstheme="minorHAnsi"/>
        </w:rPr>
        <w:t>Invited talk at the Safer Care in Prison Conference, UK, March 2019</w:t>
      </w:r>
    </w:p>
    <w:p w14:paraId="37C85FE3" w14:textId="77777777" w:rsidR="00510495" w:rsidRDefault="00814C40" w:rsidP="00DE6B57">
      <w:pPr>
        <w:jc w:val="both"/>
        <w:rPr>
          <w:rFonts w:cstheme="minorHAnsi"/>
        </w:rPr>
      </w:pPr>
      <w:r w:rsidRPr="00814C40">
        <w:rPr>
          <w:rFonts w:cstheme="minorHAnsi"/>
        </w:rPr>
        <w:t>“Preventing Suicide and Self-Harm in Prison and the Listener Scheme”</w:t>
      </w:r>
      <w:r w:rsidR="007C6871">
        <w:rPr>
          <w:rFonts w:cstheme="minorHAnsi"/>
        </w:rPr>
        <w:t xml:space="preserve"> </w:t>
      </w:r>
    </w:p>
    <w:p w14:paraId="1A0EDE2C" w14:textId="38A1F1DC" w:rsidR="00814C40" w:rsidRPr="00510495" w:rsidRDefault="00814C40" w:rsidP="00510495">
      <w:pPr>
        <w:pStyle w:val="Lijstalinea"/>
        <w:numPr>
          <w:ilvl w:val="0"/>
          <w:numId w:val="12"/>
        </w:numPr>
        <w:jc w:val="both"/>
        <w:rPr>
          <w:rFonts w:cs="Arial"/>
        </w:rPr>
      </w:pPr>
      <w:r w:rsidRPr="00510495">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2"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lastRenderedPageBreak/>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3"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08ECF300"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w:t>
      </w:r>
      <w:proofErr w:type="gramStart"/>
      <w:r w:rsidRPr="00872A99">
        <w:rPr>
          <w:rFonts w:cstheme="minorHAnsi"/>
        </w:rPr>
        <w:t>expressions</w:t>
      </w:r>
      <w:proofErr w:type="gramEnd"/>
      <w:r w:rsidRPr="00872A99">
        <w:rPr>
          <w:rFonts w:cstheme="minorHAnsi"/>
        </w:rPr>
        <w:t xml:space="preserve">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3A7A41E1" w:rsidR="00073475" w:rsidRDefault="00073475" w:rsidP="00073475">
      <w:pPr>
        <w:spacing w:after="0"/>
        <w:jc w:val="both"/>
        <w:rPr>
          <w:rFonts w:cstheme="minorHAnsi"/>
          <w:b/>
          <w:bCs/>
        </w:rPr>
      </w:pPr>
      <w:r>
        <w:rPr>
          <w:rFonts w:cstheme="minorHAnsi"/>
          <w:b/>
          <w:bCs/>
        </w:rPr>
        <w:t xml:space="preserve">Research Manager – </w:t>
      </w:r>
      <w:hyperlink r:id="rId14"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current</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 xml:space="preserve">Led Samaritans’ relationship with national prison and probation services, ombudsmen, and other justice partners in England &amp; Wales, Scotland, </w:t>
      </w:r>
      <w:proofErr w:type="gramStart"/>
      <w:r w:rsidRPr="00125266">
        <w:rPr>
          <w:rFonts w:cstheme="minorHAnsi"/>
        </w:rPr>
        <w:t>Ireland</w:t>
      </w:r>
      <w:proofErr w:type="gramEnd"/>
      <w:r w:rsidRPr="00125266">
        <w:rPr>
          <w:rFonts w:cstheme="minorHAnsi"/>
        </w:rPr>
        <w:t xml:space="preserve"> and Northern Ireland.</w:t>
      </w:r>
    </w:p>
    <w:p w14:paraId="54F2D3B5" w14:textId="075AB841" w:rsidR="001963DC" w:rsidRDefault="00B31714" w:rsidP="00DE6B57">
      <w:pPr>
        <w:pStyle w:val="Lijstalinea"/>
        <w:numPr>
          <w:ilvl w:val="0"/>
          <w:numId w:val="1"/>
        </w:numPr>
        <w:jc w:val="both"/>
        <w:rPr>
          <w:rFonts w:cstheme="minorHAnsi"/>
        </w:rPr>
      </w:pPr>
      <w:r w:rsidRPr="00125266">
        <w:rPr>
          <w:rFonts w:cstheme="minorHAnsi"/>
        </w:rPr>
        <w:t>Represented Samaritans in high-level stakeholder forums</w:t>
      </w:r>
      <w:r w:rsidR="00A95996">
        <w:rPr>
          <w:rFonts w:cstheme="minorHAnsi"/>
        </w:rPr>
        <w:t xml:space="preserve">, including the </w:t>
      </w:r>
      <w:r w:rsidRPr="00125266">
        <w:rPr>
          <w:rFonts w:cstheme="minorHAnsi"/>
        </w:rPr>
        <w:t>UK’s Ministerial Board on Deaths in Custody.</w:t>
      </w:r>
    </w:p>
    <w:p w14:paraId="77C030E6" w14:textId="77777777" w:rsidR="0075207B" w:rsidRDefault="0075207B" w:rsidP="00DE6B57">
      <w:pPr>
        <w:spacing w:after="0"/>
        <w:jc w:val="both"/>
        <w:rPr>
          <w:rFonts w:cstheme="minorHAnsi"/>
          <w:b/>
          <w:bCs/>
        </w:rPr>
      </w:pPr>
    </w:p>
    <w:p w14:paraId="3C5A1DFC" w14:textId="77777777" w:rsidR="0075207B" w:rsidRDefault="0075207B" w:rsidP="00DE6B57">
      <w:pPr>
        <w:spacing w:after="0"/>
        <w:jc w:val="both"/>
        <w:rPr>
          <w:rFonts w:cstheme="minorHAnsi"/>
          <w:b/>
          <w:bCs/>
        </w:rPr>
      </w:pPr>
    </w:p>
    <w:p w14:paraId="0DB70CFA" w14:textId="77777777" w:rsidR="0075207B" w:rsidRDefault="0075207B" w:rsidP="00DE6B57">
      <w:pPr>
        <w:spacing w:after="0"/>
        <w:jc w:val="both"/>
        <w:rPr>
          <w:rFonts w:cstheme="minorHAnsi"/>
          <w:b/>
          <w:bCs/>
        </w:rPr>
      </w:pPr>
    </w:p>
    <w:p w14:paraId="6F048719" w14:textId="683D2B67" w:rsidR="00872A99" w:rsidRPr="00075373" w:rsidRDefault="00872A99" w:rsidP="00DE6B57">
      <w:pPr>
        <w:spacing w:after="0"/>
        <w:jc w:val="both"/>
        <w:rPr>
          <w:rFonts w:cstheme="minorHAnsi"/>
        </w:rPr>
      </w:pPr>
      <w:r>
        <w:rPr>
          <w:rFonts w:cstheme="minorHAnsi"/>
          <w:b/>
          <w:bCs/>
        </w:rPr>
        <w:lastRenderedPageBreak/>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5BFF0E65" w14:textId="70B0D1F8" w:rsidR="000A4393" w:rsidRPr="000A4393" w:rsidRDefault="000A4393" w:rsidP="000A4393">
      <w:pPr>
        <w:pStyle w:val="Lijstalinea"/>
        <w:numPr>
          <w:ilvl w:val="0"/>
          <w:numId w:val="2"/>
        </w:numPr>
        <w:spacing w:after="0"/>
        <w:jc w:val="both"/>
        <w:rPr>
          <w:rFonts w:cstheme="minorHAnsi"/>
        </w:rPr>
      </w:pPr>
      <w:r>
        <w:rPr>
          <w:rFonts w:cstheme="minorHAnsi"/>
        </w:rPr>
        <w:t xml:space="preserve">Wrote </w:t>
      </w:r>
      <w:r w:rsidRPr="00125266">
        <w:rPr>
          <w:rFonts w:cstheme="minorHAnsi"/>
        </w:rPr>
        <w:t>policy briefs and official correspondence on the impact of re-detention on torture survivors.</w:t>
      </w:r>
    </w:p>
    <w:p w14:paraId="656C443C" w14:textId="77777777" w:rsidR="0021099E" w:rsidRDefault="0021099E" w:rsidP="0021099E">
      <w:pPr>
        <w:pStyle w:val="Lijstalinea"/>
        <w:numPr>
          <w:ilvl w:val="0"/>
          <w:numId w:val="2"/>
        </w:numPr>
        <w:spacing w:after="0"/>
        <w:jc w:val="both"/>
        <w:rPr>
          <w:rFonts w:cstheme="minorHAnsi"/>
        </w:rPr>
      </w:pPr>
      <w:r>
        <w:rPr>
          <w:rFonts w:cstheme="minorHAnsi"/>
        </w:rPr>
        <w:t>Prepared a</w:t>
      </w:r>
      <w:r w:rsidR="00075373" w:rsidRPr="00075373">
        <w:rPr>
          <w:rFonts w:cstheme="minorHAnsi"/>
        </w:rPr>
        <w:t xml:space="preserve"> submission to a parliamentary inquiry into the quality of asylum accommodation</w:t>
      </w:r>
      <w:r>
        <w:rPr>
          <w:rFonts w:cstheme="minorHAnsi"/>
        </w:rPr>
        <w:t>.</w:t>
      </w:r>
    </w:p>
    <w:p w14:paraId="6FB8EEBD" w14:textId="77B5EEB1" w:rsidR="00E53EC4" w:rsidRPr="005E6B33" w:rsidRDefault="0021099E" w:rsidP="005E6B33">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Pr>
          <w:rFonts w:cstheme="minorHAnsi"/>
        </w:rPr>
        <w:t>s</w:t>
      </w:r>
      <w:r w:rsidRPr="00075373">
        <w:rPr>
          <w:rFonts w:cstheme="minorHAnsi"/>
        </w:rPr>
        <w:t>.</w:t>
      </w:r>
    </w:p>
    <w:p w14:paraId="0D70EC18" w14:textId="77777777" w:rsidR="000A4393" w:rsidRDefault="000A4393" w:rsidP="000A4393">
      <w:pPr>
        <w:pStyle w:val="Lijstalinea"/>
        <w:spacing w:after="0"/>
        <w:ind w:left="36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628FB24" w14:textId="5DE88A49" w:rsid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4F92AA2D" w14:textId="489751B8" w:rsidR="00A95996" w:rsidRDefault="00A95996" w:rsidP="00DE6B57">
      <w:pPr>
        <w:pStyle w:val="Lijstalinea"/>
        <w:numPr>
          <w:ilvl w:val="0"/>
          <w:numId w:val="3"/>
        </w:numPr>
        <w:spacing w:after="0"/>
        <w:jc w:val="both"/>
        <w:rPr>
          <w:rFonts w:cstheme="minorHAnsi"/>
        </w:rPr>
      </w:pPr>
      <w:r w:rsidRPr="00125266">
        <w:rPr>
          <w:rFonts w:cstheme="minorHAnsi"/>
        </w:rPr>
        <w:t xml:space="preserve">Coordinated the development of the growth pillar of Amnesty International's strategic plan, on how to increase the organization’s networks, </w:t>
      </w:r>
      <w:proofErr w:type="gramStart"/>
      <w:r w:rsidRPr="00125266">
        <w:rPr>
          <w:rFonts w:cstheme="minorHAnsi"/>
        </w:rPr>
        <w:t>visibility</w:t>
      </w:r>
      <w:proofErr w:type="gramEnd"/>
      <w:r w:rsidRPr="00125266">
        <w:rPr>
          <w:rFonts w:cstheme="minorHAnsi"/>
        </w:rPr>
        <w:t xml:space="preserve"> and political access through its country offices.</w:t>
      </w:r>
    </w:p>
    <w:p w14:paraId="5CC80131" w14:textId="77777777" w:rsidR="000D0D4A" w:rsidRPr="00075373" w:rsidRDefault="000D0D4A" w:rsidP="000D0D4A">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59062BB7" w14:textId="1DF13E59" w:rsidR="000D0D4A" w:rsidRPr="000D0D4A" w:rsidRDefault="000D0D4A" w:rsidP="000D0D4A">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4C3220F7" w14:textId="77777777" w:rsidR="00075373"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p w14:paraId="51B8042A" w14:textId="2C1D2372" w:rsidR="006B02F9" w:rsidRPr="00125266" w:rsidRDefault="006B02F9" w:rsidP="006B02F9">
            <w:pPr>
              <w:widowControl w:val="0"/>
              <w:ind w:left="360"/>
              <w:jc w:val="both"/>
              <w:rPr>
                <w:rFonts w:cstheme="minorHAnsi"/>
              </w:rPr>
            </w:pPr>
          </w:p>
        </w:tc>
      </w:tr>
    </w:tbl>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lastRenderedPageBreak/>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1652C06B"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Pr="00C740E3">
        <w:rPr>
          <w:rFonts w:cstheme="minorHAnsi"/>
        </w:rPr>
        <w:t>. Familiarity with Stata</w:t>
      </w:r>
      <w:r w:rsidR="009606ED">
        <w:rPr>
          <w:rFonts w:cstheme="minorHAnsi"/>
        </w:rPr>
        <w:t xml:space="preserve"> and Excel.</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5D18DF4" w:rsidR="003A5C6B" w:rsidRPr="00C740E3" w:rsidRDefault="003A5C6B" w:rsidP="00B74BB6">
      <w:pPr>
        <w:spacing w:after="0"/>
        <w:ind w:left="3600" w:hanging="3600"/>
        <w:jc w:val="both"/>
        <w:rPr>
          <w:rFonts w:cstheme="minorHAnsi"/>
        </w:rPr>
      </w:pPr>
      <w:r w:rsidRPr="00C740E3">
        <w:rPr>
          <w:rFonts w:cstheme="minorHAnsi"/>
        </w:rPr>
        <w:t>Relevant Coursework</w:t>
      </w:r>
      <w:r w:rsidR="002F5548">
        <w:rPr>
          <w:rFonts w:cstheme="minorHAnsi"/>
        </w:rPr>
        <w:t xml:space="preserve"> (methods)</w:t>
      </w:r>
      <w:r w:rsidRPr="00C740E3">
        <w:rPr>
          <w:rFonts w:cstheme="minorHAnsi"/>
        </w:rPr>
        <w:t xml:space="preserve">: </w:t>
      </w:r>
      <w:r w:rsidR="00B74BB6">
        <w:rPr>
          <w:rFonts w:cstheme="minorHAnsi"/>
        </w:rPr>
        <w:tab/>
      </w:r>
      <w:r w:rsidR="00960D57">
        <w:rPr>
          <w:rFonts w:cstheme="minorHAnsi"/>
        </w:rPr>
        <w:t xml:space="preserve">Applied Econmetrics, </w:t>
      </w:r>
      <w:r w:rsidRPr="00C740E3">
        <w:rPr>
          <w:rFonts w:cstheme="minorHAnsi"/>
        </w:rPr>
        <w:t xml:space="preserve">Applied </w:t>
      </w:r>
      <w:r w:rsidR="00960D57">
        <w:rPr>
          <w:rFonts w:cstheme="minorHAnsi"/>
        </w:rPr>
        <w:t xml:space="preserve">Health Care </w:t>
      </w:r>
      <w:r w:rsidRPr="00C740E3">
        <w:rPr>
          <w:rFonts w:cstheme="minorHAnsi"/>
        </w:rPr>
        <w:t>Econometrics, Modern Data Mining, Causal Inference</w:t>
      </w:r>
      <w:r w:rsidR="00635962">
        <w:rPr>
          <w:rFonts w:cstheme="minorHAnsi"/>
        </w:rPr>
        <w:t>, Sample Survey Methods</w:t>
      </w:r>
      <w:r w:rsidR="00960D57">
        <w:rPr>
          <w:rFonts w:cstheme="minorHAnsi"/>
        </w:rPr>
        <w:t xml:space="preserve">, </w:t>
      </w:r>
      <w:r w:rsidR="00960D57">
        <w:t>Mathematical Statistics for Criminology</w:t>
      </w:r>
      <w:r w:rsidR="002F5548">
        <w:t>, Probability</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AD9D" w14:textId="77777777" w:rsidR="00D720F8" w:rsidRDefault="00D720F8" w:rsidP="002C7E16">
      <w:pPr>
        <w:spacing w:after="0" w:line="240" w:lineRule="auto"/>
      </w:pPr>
      <w:r>
        <w:separator/>
      </w:r>
    </w:p>
  </w:endnote>
  <w:endnote w:type="continuationSeparator" w:id="0">
    <w:p w14:paraId="301A9FFF" w14:textId="77777777" w:rsidR="00D720F8" w:rsidRDefault="00D720F8"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0778186A" w:rsidR="002C7E16" w:rsidRDefault="002C7E16">
    <w:pPr>
      <w:pStyle w:val="Voettekst"/>
    </w:pPr>
    <w:r>
      <w:ptab w:relativeTo="margin" w:alignment="center" w:leader="none"/>
    </w:r>
    <w:r>
      <w:ptab w:relativeTo="margin" w:alignment="right" w:leader="none"/>
    </w:r>
    <w:r>
      <w:t xml:space="preserve">Last Updated </w:t>
    </w:r>
    <w:r w:rsidR="00D90AE2">
      <w:t>1</w:t>
    </w:r>
    <w:r w:rsidR="008A49B0">
      <w:t>/</w:t>
    </w:r>
    <w:r w:rsidR="00D90AE2">
      <w:t>15</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29FC" w14:textId="77777777" w:rsidR="00D720F8" w:rsidRDefault="00D720F8" w:rsidP="002C7E16">
      <w:pPr>
        <w:spacing w:after="0" w:line="240" w:lineRule="auto"/>
      </w:pPr>
      <w:r>
        <w:separator/>
      </w:r>
    </w:p>
  </w:footnote>
  <w:footnote w:type="continuationSeparator" w:id="0">
    <w:p w14:paraId="078D2E5F" w14:textId="77777777" w:rsidR="00D720F8" w:rsidRDefault="00D720F8"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5"/>
  </w:num>
  <w:num w:numId="3" w16cid:durableId="1390573352">
    <w:abstractNumId w:val="1"/>
  </w:num>
  <w:num w:numId="4" w16cid:durableId="1379667888">
    <w:abstractNumId w:val="8"/>
  </w:num>
  <w:num w:numId="5" w16cid:durableId="275186998">
    <w:abstractNumId w:val="7"/>
  </w:num>
  <w:num w:numId="6" w16cid:durableId="1769504590">
    <w:abstractNumId w:val="4"/>
  </w:num>
  <w:num w:numId="7" w16cid:durableId="184681410">
    <w:abstractNumId w:val="9"/>
  </w:num>
  <w:num w:numId="8" w16cid:durableId="2052225746">
    <w:abstractNumId w:val="6"/>
  </w:num>
  <w:num w:numId="9" w16cid:durableId="357773978">
    <w:abstractNumId w:val="11"/>
  </w:num>
  <w:num w:numId="10" w16cid:durableId="238289136">
    <w:abstractNumId w:val="3"/>
  </w:num>
  <w:num w:numId="11" w16cid:durableId="216668398">
    <w:abstractNumId w:val="0"/>
  </w:num>
  <w:num w:numId="12" w16cid:durableId="172840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6623"/>
    <w:rsid w:val="00047212"/>
    <w:rsid w:val="00061112"/>
    <w:rsid w:val="00073475"/>
    <w:rsid w:val="00075373"/>
    <w:rsid w:val="000A1000"/>
    <w:rsid w:val="000A4393"/>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E2C58"/>
    <w:rsid w:val="001E30F3"/>
    <w:rsid w:val="0021099E"/>
    <w:rsid w:val="00272FE4"/>
    <w:rsid w:val="00292D4C"/>
    <w:rsid w:val="002A5219"/>
    <w:rsid w:val="002A7CB0"/>
    <w:rsid w:val="002B2A0E"/>
    <w:rsid w:val="002B3E3A"/>
    <w:rsid w:val="002C7E16"/>
    <w:rsid w:val="002D26A6"/>
    <w:rsid w:val="002D6DDD"/>
    <w:rsid w:val="002E2AFA"/>
    <w:rsid w:val="002E5063"/>
    <w:rsid w:val="002F45A6"/>
    <w:rsid w:val="002F5548"/>
    <w:rsid w:val="00331E17"/>
    <w:rsid w:val="0034318E"/>
    <w:rsid w:val="00355501"/>
    <w:rsid w:val="00363FF1"/>
    <w:rsid w:val="0039047B"/>
    <w:rsid w:val="003A5C6B"/>
    <w:rsid w:val="003B0A78"/>
    <w:rsid w:val="003E1E2D"/>
    <w:rsid w:val="0043067D"/>
    <w:rsid w:val="0043648A"/>
    <w:rsid w:val="004553CF"/>
    <w:rsid w:val="00477599"/>
    <w:rsid w:val="0048451E"/>
    <w:rsid w:val="0049269C"/>
    <w:rsid w:val="004F29D6"/>
    <w:rsid w:val="00502CEF"/>
    <w:rsid w:val="00510495"/>
    <w:rsid w:val="005257DB"/>
    <w:rsid w:val="005412CB"/>
    <w:rsid w:val="00573909"/>
    <w:rsid w:val="00592868"/>
    <w:rsid w:val="005B14DE"/>
    <w:rsid w:val="005B29EF"/>
    <w:rsid w:val="005D178B"/>
    <w:rsid w:val="005E6B33"/>
    <w:rsid w:val="0061376A"/>
    <w:rsid w:val="00635962"/>
    <w:rsid w:val="00635D90"/>
    <w:rsid w:val="00637788"/>
    <w:rsid w:val="00667D2E"/>
    <w:rsid w:val="006B02F9"/>
    <w:rsid w:val="006B4B55"/>
    <w:rsid w:val="006E104B"/>
    <w:rsid w:val="006E5642"/>
    <w:rsid w:val="006F7C11"/>
    <w:rsid w:val="0073675E"/>
    <w:rsid w:val="0075207B"/>
    <w:rsid w:val="00752DDA"/>
    <w:rsid w:val="00780001"/>
    <w:rsid w:val="007A3B7B"/>
    <w:rsid w:val="007C6871"/>
    <w:rsid w:val="007D4380"/>
    <w:rsid w:val="007F5462"/>
    <w:rsid w:val="00814C40"/>
    <w:rsid w:val="00823C93"/>
    <w:rsid w:val="00872A99"/>
    <w:rsid w:val="00883061"/>
    <w:rsid w:val="00883A37"/>
    <w:rsid w:val="00896655"/>
    <w:rsid w:val="008A49B0"/>
    <w:rsid w:val="008A650B"/>
    <w:rsid w:val="008B0B7A"/>
    <w:rsid w:val="008E237D"/>
    <w:rsid w:val="00955032"/>
    <w:rsid w:val="009606ED"/>
    <w:rsid w:val="00960D57"/>
    <w:rsid w:val="00993035"/>
    <w:rsid w:val="009C64CA"/>
    <w:rsid w:val="00A00E10"/>
    <w:rsid w:val="00A3627F"/>
    <w:rsid w:val="00A43E52"/>
    <w:rsid w:val="00A538A2"/>
    <w:rsid w:val="00A7550D"/>
    <w:rsid w:val="00A75584"/>
    <w:rsid w:val="00A95996"/>
    <w:rsid w:val="00AC0113"/>
    <w:rsid w:val="00AC0E77"/>
    <w:rsid w:val="00AC2139"/>
    <w:rsid w:val="00AE6BAA"/>
    <w:rsid w:val="00B025B9"/>
    <w:rsid w:val="00B31714"/>
    <w:rsid w:val="00B34940"/>
    <w:rsid w:val="00B4480A"/>
    <w:rsid w:val="00B44875"/>
    <w:rsid w:val="00B74BB6"/>
    <w:rsid w:val="00B8025B"/>
    <w:rsid w:val="00B84086"/>
    <w:rsid w:val="00B92E3E"/>
    <w:rsid w:val="00BC7109"/>
    <w:rsid w:val="00BE32FC"/>
    <w:rsid w:val="00BF2A93"/>
    <w:rsid w:val="00C23F97"/>
    <w:rsid w:val="00C32892"/>
    <w:rsid w:val="00C704FC"/>
    <w:rsid w:val="00C740E3"/>
    <w:rsid w:val="00CD0FEA"/>
    <w:rsid w:val="00CD45B5"/>
    <w:rsid w:val="00D04039"/>
    <w:rsid w:val="00D16D0D"/>
    <w:rsid w:val="00D70F85"/>
    <w:rsid w:val="00D720F8"/>
    <w:rsid w:val="00D90AE2"/>
    <w:rsid w:val="00DE6B57"/>
    <w:rsid w:val="00DF12F0"/>
    <w:rsid w:val="00E50A5E"/>
    <w:rsid w:val="00E53EC4"/>
    <w:rsid w:val="00E558F1"/>
    <w:rsid w:val="00E94993"/>
    <w:rsid w:val="00EA70F8"/>
    <w:rsid w:val="00EA70FA"/>
    <w:rsid w:val="00EB7C5E"/>
    <w:rsid w:val="00ED1202"/>
    <w:rsid w:val="00EE0C82"/>
    <w:rsid w:val="00F11CCE"/>
    <w:rsid w:val="00F44390"/>
    <w:rsid w:val="00F50800"/>
    <w:rsid w:val="00F85D05"/>
    <w:rsid w:val="00FB171C"/>
    <w:rsid w:val="00FB30D9"/>
    <w:rsid w:val="00FB60C0"/>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hyperlink" Target="https://www.opendemocracy.net/en/opendemocracyuk/what-brexit-could-mean-for-refugee-protection-in-britain/"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152mp_/https:/s3-eu-west-2.amazonaws.com/imb-prod-storage-1ocod6bqky0vo/uploads/2020/05/TH-Annual-Report-2019-for-circulation.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ussellsage.org/awarded-project/working-after-prison" TargetMode="External"/><Relationship Id="rId4" Type="http://schemas.openxmlformats.org/officeDocument/2006/relationships/webSettings" Target="webSettings.xml"/><Relationship Id="rId9" Type="http://schemas.openxmlformats.org/officeDocument/2006/relationships/hyperlink" Target="https://www-nber-org.proxy.library.upenn.edu/papers/w32121" TargetMode="External"/><Relationship Id="rId14" Type="http://schemas.openxmlformats.org/officeDocument/2006/relationships/hyperlink" Target="https://www.scandinavianpriso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2310</Words>
  <Characters>13170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5</cp:revision>
  <cp:lastPrinted>2023-01-31T16:09:00Z</cp:lastPrinted>
  <dcterms:created xsi:type="dcterms:W3CDTF">2024-02-06T14:57:00Z</dcterms:created>
  <dcterms:modified xsi:type="dcterms:W3CDTF">2024-02-06T15:01:00Z</dcterms:modified>
</cp:coreProperties>
</file>