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3051E23A"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Microsoft Research</w:t>
            </w:r>
          </w:p>
          <w:p w14:paraId="2CDD825D" w14:textId="5A0E097A"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1</w:t>
            </w:r>
            <w:r w:rsidR="00AD07C6" w:rsidRPr="0072514F">
              <w:rPr>
                <w:rFonts w:asciiTheme="minorHAnsi" w:hAnsiTheme="minorHAnsi" w:cs="Arial"/>
                <w:sz w:val="22"/>
                <w:szCs w:val="22"/>
              </w:rPr>
              <w:t xml:space="preserve"> Microsoft Way, Redmond, WA 98052</w:t>
            </w:r>
          </w:p>
          <w:p w14:paraId="48DEE846" w14:textId="41DA637A"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E93F36" w:rsidRPr="00BB04F1">
                <w:rPr>
                  <w:rStyle w:val="Hyperlink"/>
                  <w:rFonts w:asciiTheme="minorHAnsi" w:hAnsiTheme="minorHAnsi" w:cs="Arial"/>
                  <w:sz w:val="22"/>
                  <w:szCs w:val="22"/>
                </w:rPr>
                <w:t>nachiappan.nagappan@gmail.com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55CB165C"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B90F51">
        <w:rPr>
          <w:rFonts w:asciiTheme="minorHAnsi" w:hAnsiTheme="minorHAnsi" w:cs="Arial"/>
          <w:sz w:val="20"/>
          <w:szCs w:val="20"/>
        </w:rPr>
        <w:t>1</w:t>
      </w:r>
      <w:r w:rsidR="00EC5D88">
        <w:rPr>
          <w:rFonts w:asciiTheme="minorHAnsi" w:hAnsiTheme="minorHAnsi" w:cs="Arial"/>
          <w:sz w:val="20"/>
          <w:szCs w:val="20"/>
        </w:rPr>
        <w:t>/</w:t>
      </w:r>
      <w:r w:rsidR="00B90F51">
        <w:rPr>
          <w:rFonts w:asciiTheme="minorHAnsi" w:hAnsiTheme="minorHAnsi" w:cs="Arial"/>
          <w:sz w:val="20"/>
          <w:szCs w:val="20"/>
        </w:rPr>
        <w:t>29</w:t>
      </w:r>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2322"/>
        <w:gridCol w:w="2489"/>
      </w:tblGrid>
      <w:tr w:rsidR="00C14322" w:rsidRPr="00826C79" w14:paraId="11004C9A" w14:textId="77777777" w:rsidTr="008F371F">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3"/>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173EFD93" w14:textId="51396899"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He is a 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xml:space="preserve">) team at Microsoft Research, Redmond, USA. His research interests are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w:t>
            </w:r>
            <w:proofErr w:type="gramStart"/>
            <w:r w:rsidRPr="008F371F">
              <w:rPr>
                <w:rFonts w:asciiTheme="minorHAnsi" w:hAnsiTheme="minorHAnsi" w:cs="Arial"/>
                <w:sz w:val="22"/>
                <w:szCs w:val="22"/>
              </w:rPr>
              <w:t>empirical</w:t>
            </w:r>
            <w:proofErr w:type="gramEnd"/>
            <w:r w:rsidRPr="008F371F">
              <w:rPr>
                <w:rFonts w:asciiTheme="minorHAnsi" w:hAnsiTheme="minorHAnsi" w:cs="Arial"/>
                <w:sz w:val="22"/>
                <w:szCs w:val="22"/>
              </w:rPr>
              <w:t xml:space="preserve">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56CA33AC"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four (4) test of time/most influential paper awards</w:t>
            </w:r>
            <w:r w:rsidRPr="008F371F">
              <w:rPr>
                <w:rFonts w:asciiTheme="minorHAnsi" w:hAnsiTheme="minorHAnsi" w:cs="Arial"/>
                <w:sz w:val="22"/>
                <w:szCs w:val="22"/>
              </w:rPr>
              <w:t xml:space="preserve"> for 10-year, 30-year and 50-year best papers, </w:t>
            </w:r>
            <w:r w:rsidRPr="007262C5">
              <w:rPr>
                <w:rFonts w:asciiTheme="minorHAnsi" w:hAnsiTheme="minorHAnsi" w:cs="Arial"/>
                <w:b/>
                <w:sz w:val="22"/>
                <w:szCs w:val="22"/>
              </w:rPr>
              <w:t>four ACM SIGSOFT Distinguished paper awards</w:t>
            </w:r>
            <w:r w:rsidRPr="008F371F">
              <w:rPr>
                <w:rFonts w:asciiTheme="minorHAnsi" w:hAnsiTheme="minorHAnsi" w:cs="Arial"/>
                <w:sz w:val="22"/>
                <w:szCs w:val="22"/>
              </w:rPr>
              <w:t xml:space="preserve">, </w:t>
            </w:r>
            <w:r w:rsidRPr="007262C5">
              <w:rPr>
                <w:rFonts w:asciiTheme="minorHAnsi" w:hAnsiTheme="minorHAnsi" w:cs="Arial"/>
                <w:b/>
                <w:sz w:val="22"/>
                <w:szCs w:val="22"/>
              </w:rPr>
              <w:t>three IEEE Software best paper awards</w:t>
            </w:r>
            <w:r w:rsidRPr="008F371F">
              <w:rPr>
                <w:rFonts w:asciiTheme="minorHAnsi" w:hAnsiTheme="minorHAnsi" w:cs="Arial"/>
                <w:sz w:val="22"/>
                <w:szCs w:val="22"/>
              </w:rPr>
              <w:t xml:space="preserve">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08FA1E0C"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He is a Distinguished Member of</w:t>
            </w:r>
            <w:r w:rsidR="00A02C4F">
              <w:rPr>
                <w:rFonts w:asciiTheme="minorHAnsi" w:hAnsiTheme="minorHAnsi" w:cs="Arial"/>
                <w:sz w:val="22"/>
                <w:szCs w:val="22"/>
              </w:rPr>
              <w:t xml:space="preserve"> the ACM and a Fellow </w:t>
            </w:r>
            <w:r w:rsidRPr="008F371F">
              <w:rPr>
                <w:rFonts w:asciiTheme="minorHAnsi" w:hAnsiTheme="minorHAnsi" w:cs="Arial"/>
                <w:sz w:val="22"/>
                <w:szCs w:val="22"/>
              </w:rPr>
              <w:t xml:space="preserve">of the IEEE.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2BD3022E"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13,200 times and </w:t>
            </w:r>
            <w:proofErr w:type="gramStart"/>
            <w:r w:rsidR="00E93F36">
              <w:rPr>
                <w:rFonts w:asciiTheme="minorHAnsi" w:hAnsiTheme="minorHAnsi" w:cs="Arial"/>
                <w:sz w:val="22"/>
                <w:szCs w:val="22"/>
              </w:rPr>
              <w:t>a</w:t>
            </w:r>
            <w:proofErr w:type="gramEnd"/>
            <w:r w:rsidR="00203067">
              <w:rPr>
                <w:rFonts w:asciiTheme="minorHAnsi" w:hAnsiTheme="minorHAnsi" w:cs="Arial"/>
                <w:sz w:val="22"/>
                <w:szCs w:val="22"/>
              </w:rPr>
              <w:t xml:space="preserve"> </w:t>
            </w:r>
            <w:proofErr w:type="spellStart"/>
            <w:r w:rsidR="00203067">
              <w:rPr>
                <w:rFonts w:asciiTheme="minorHAnsi" w:hAnsiTheme="minorHAnsi" w:cs="Arial"/>
                <w:sz w:val="22"/>
                <w:szCs w:val="22"/>
              </w:rPr>
              <w:t>h­index</w:t>
            </w:r>
            <w:proofErr w:type="spellEnd"/>
            <w:r w:rsidR="00203067">
              <w:rPr>
                <w:rFonts w:asciiTheme="minorHAnsi" w:hAnsiTheme="minorHAnsi" w:cs="Arial"/>
                <w:sz w:val="22"/>
                <w:szCs w:val="22"/>
              </w:rPr>
              <w:t xml:space="preserve"> of</w:t>
            </w:r>
            <w:r w:rsidRPr="008F371F">
              <w:rPr>
                <w:rFonts w:asciiTheme="minorHAnsi" w:hAnsiTheme="minorHAnsi" w:cs="Arial"/>
                <w:sz w:val="22"/>
                <w:szCs w:val="22"/>
              </w:rPr>
              <w:t xml:space="preserve"> 54.</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1356C039" w14:textId="4C73B753" w:rsidR="008F371F" w:rsidRPr="00826C79" w:rsidRDefault="008F371F" w:rsidP="008F371F">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3"/>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lastRenderedPageBreak/>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77777777"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8F371F">
        <w:trPr>
          <w:jc w:val="center"/>
        </w:trPr>
        <w:tc>
          <w:tcPr>
            <w:tcW w:w="9576" w:type="dxa"/>
            <w:gridSpan w:val="3"/>
          </w:tcPr>
          <w:p w14:paraId="53987536"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24800"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BC74C" id="_x0000_t32" coordsize="21600,21600" o:spt="32" o:oned="t" path="m,l21600,21600e" filled="f">
                      <v:path arrowok="t" fillok="f" o:connecttype="none"/>
                      <o:lock v:ext="edit" shapetype="t"/>
                    </v:shapetype>
                    <v:shape id="AutoShape 19" o:spid="_x0000_s1026" type="#_x0000_t32" style="position:absolute;margin-left:-.45pt;margin-top:17.1pt;width:46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 and honors</w:t>
            </w:r>
          </w:p>
        </w:tc>
      </w:tr>
      <w:tr w:rsidR="00A51A90" w:rsidRPr="00826C79" w14:paraId="3D9F990C" w14:textId="77777777" w:rsidTr="008F371F">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519A2B64" w14:textId="2FEEB5B8"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Graduation speaker – </w:t>
            </w:r>
            <w:proofErr w:type="gramStart"/>
            <w:r>
              <w:rPr>
                <w:rFonts w:asciiTheme="minorHAnsi" w:hAnsiTheme="minorHAnsi" w:cs="Arial"/>
                <w:color w:val="000000"/>
                <w:sz w:val="22"/>
                <w:szCs w:val="22"/>
              </w:rPr>
              <w:t>Fall</w:t>
            </w:r>
            <w:proofErr w:type="gramEnd"/>
            <w:r>
              <w:rPr>
                <w:rFonts w:asciiTheme="minorHAnsi" w:hAnsiTheme="minorHAnsi" w:cs="Arial"/>
                <w:color w:val="000000"/>
                <w:sz w:val="22"/>
                <w:szCs w:val="22"/>
              </w:rPr>
              <w:t xml:space="preserve"> 2020 ceremony, Department of Computer Science, North Carolina State University, 2020.</w:t>
            </w:r>
          </w:p>
          <w:p w14:paraId="73BE297C" w14:textId="77777777" w:rsidR="000936C4" w:rsidRDefault="000936C4" w:rsidP="000936C4">
            <w:pPr>
              <w:pStyle w:val="ListParagraph"/>
              <w:autoSpaceDE w:val="0"/>
              <w:autoSpaceDN w:val="0"/>
              <w:adjustRightInd w:val="0"/>
              <w:ind w:left="360"/>
              <w:rPr>
                <w:rFonts w:asciiTheme="minorHAnsi" w:hAnsiTheme="minorHAnsi" w:cs="Arial"/>
                <w:color w:val="000000"/>
                <w:sz w:val="22"/>
                <w:szCs w:val="22"/>
              </w:rPr>
            </w:pPr>
          </w:p>
          <w:p w14:paraId="5686910C" w14:textId="5905E11E"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Fellow. Citation: “For Contributions to Software Reliability”.</w:t>
            </w:r>
          </w:p>
          <w:p w14:paraId="79A9AD91" w14:textId="77777777" w:rsidR="000936C4" w:rsidRPr="000936C4" w:rsidRDefault="000936C4" w:rsidP="000936C4">
            <w:pPr>
              <w:autoSpaceDE w:val="0"/>
              <w:autoSpaceDN w:val="0"/>
              <w:adjustRightInd w:val="0"/>
              <w:rPr>
                <w:rFonts w:asciiTheme="minorHAnsi" w:hAnsiTheme="minorHAnsi" w:cs="Arial"/>
                <w:color w:val="000000"/>
                <w:sz w:val="22"/>
                <w:szCs w:val="22"/>
              </w:rPr>
            </w:pPr>
          </w:p>
          <w:p w14:paraId="1C03D38C" w14:textId="0131F641"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Outstanding Alumnus, Department of Computer Science, North Carolina State University. I</w:t>
            </w:r>
            <w:r w:rsidR="00AC268B">
              <w:rPr>
                <w:rFonts w:asciiTheme="minorHAnsi" w:hAnsiTheme="minorHAnsi" w:cs="Arial"/>
                <w:color w:val="000000"/>
                <w:sz w:val="22"/>
                <w:szCs w:val="22"/>
              </w:rPr>
              <w:t>nduction to Alumni hall of Fame</w:t>
            </w:r>
            <w:r>
              <w:rPr>
                <w:rFonts w:asciiTheme="minorHAnsi" w:hAnsiTheme="minorHAnsi" w:cs="Arial"/>
                <w:color w:val="000000"/>
                <w:sz w:val="22"/>
                <w:szCs w:val="22"/>
              </w:rPr>
              <w:t>, 2020.</w:t>
            </w:r>
          </w:p>
          <w:p w14:paraId="190D6FF3" w14:textId="6037D57C" w:rsidR="000936C4" w:rsidRPr="000936C4" w:rsidRDefault="000936C4" w:rsidP="000936C4">
            <w:pPr>
              <w:autoSpaceDE w:val="0"/>
              <w:autoSpaceDN w:val="0"/>
              <w:adjustRightInd w:val="0"/>
              <w:rPr>
                <w:rFonts w:asciiTheme="minorHAnsi" w:hAnsiTheme="minorHAnsi" w:cs="Arial"/>
                <w:color w:val="000000"/>
                <w:sz w:val="22"/>
                <w:szCs w:val="22"/>
              </w:rPr>
            </w:pPr>
          </w:p>
          <w:p w14:paraId="26AC0B4F" w14:textId="7ABA4218"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777B5A19"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4C0C01A"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19690E5" w14:textId="77777777" w:rsidR="00AC268B" w:rsidRDefault="00AC268B" w:rsidP="00AC268B">
            <w:pPr>
              <w:pStyle w:val="ListParagraph"/>
              <w:autoSpaceDE w:val="0"/>
              <w:autoSpaceDN w:val="0"/>
              <w:adjustRightInd w:val="0"/>
              <w:ind w:left="1080"/>
              <w:rPr>
                <w:rFonts w:asciiTheme="minorHAnsi" w:hAnsiTheme="minorHAnsi" w:cs="Arial"/>
                <w:color w:val="000000"/>
                <w:sz w:val="22"/>
                <w:szCs w:val="22"/>
              </w:rPr>
            </w:pPr>
            <w:bookmarkStart w:id="0" w:name="_GoBack"/>
            <w:bookmarkEnd w:id="0"/>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lastRenderedPageBreak/>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4F4FF034" w14:textId="77777777" w:rsidR="008F371F" w:rsidRDefault="008F371F"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53F690B2" w14:textId="77777777"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lastRenderedPageBreak/>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5A3C0F64" w14:textId="630394A9" w:rsidR="008F371F" w:rsidRDefault="008F371F" w:rsidP="008F371F">
            <w:pPr>
              <w:autoSpaceDE w:val="0"/>
              <w:autoSpaceDN w:val="0"/>
              <w:adjustRightInd w:val="0"/>
              <w:rPr>
                <w:rFonts w:asciiTheme="minorHAnsi" w:hAnsiTheme="minorHAnsi" w:cs="Arial"/>
                <w:color w:val="000000"/>
                <w:sz w:val="22"/>
                <w:szCs w:val="22"/>
              </w:rPr>
            </w:pPr>
          </w:p>
          <w:p w14:paraId="1B6AF3C9" w14:textId="77777777" w:rsidR="008F371F" w:rsidRPr="008F371F" w:rsidRDefault="008F371F" w:rsidP="008F371F">
            <w:pPr>
              <w:autoSpaceDE w:val="0"/>
              <w:autoSpaceDN w:val="0"/>
              <w:adjustRightInd w:val="0"/>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8F371F">
        <w:trPr>
          <w:jc w:val="center"/>
        </w:trPr>
        <w:tc>
          <w:tcPr>
            <w:tcW w:w="9576" w:type="dxa"/>
            <w:gridSpan w:val="3"/>
          </w:tcPr>
          <w:p w14:paraId="20482069" w14:textId="1FC30B61"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4016"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0C77" id="AutoShape 7" o:spid="_x0000_s1026" type="#_x0000_t32" style="position:absolute;margin-left:-.45pt;margin-top:17.05pt;width:46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A51A90" w:rsidRPr="00826C79" w14:paraId="2ED0C899" w14:textId="77777777" w:rsidTr="008F371F">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 xml:space="preserve">Automated Exception </w:t>
            </w:r>
            <w:proofErr w:type="spellStart"/>
            <w:r w:rsidRPr="00B366B9">
              <w:rPr>
                <w:rFonts w:asciiTheme="minorHAnsi" w:hAnsiTheme="minorHAnsi" w:cs="Arial"/>
                <w:sz w:val="22"/>
                <w:szCs w:val="22"/>
              </w:rPr>
              <w:t>Featurization</w:t>
            </w:r>
            <w:proofErr w:type="spellEnd"/>
            <w:r w:rsidRPr="00B366B9">
              <w:rPr>
                <w:rFonts w:asciiTheme="minorHAnsi" w:hAnsiTheme="minorHAnsi" w:cs="Arial"/>
                <w:sz w:val="22"/>
                <w:szCs w:val="22"/>
              </w:rPr>
              <w:t xml:space="preserve">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w:t>
            </w:r>
            <w:proofErr w:type="spellStart"/>
            <w:r>
              <w:rPr>
                <w:rFonts w:asciiTheme="minorHAnsi" w:hAnsiTheme="minorHAnsi" w:cs="Lucida Sans Unicode"/>
                <w:sz w:val="22"/>
                <w:szCs w:val="22"/>
              </w:rPr>
              <w:t>Emran</w:t>
            </w:r>
            <w:proofErr w:type="spellEnd"/>
            <w:r>
              <w:rPr>
                <w:rFonts w:asciiTheme="minorHAnsi" w:hAnsiTheme="minorHAnsi" w:cs="Lucida Sans Unicode"/>
                <w:sz w:val="22"/>
                <w:szCs w:val="22"/>
              </w:rPr>
              <w:t xml:space="preserve">,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Laxman</w:t>
            </w:r>
            <w:proofErr w:type="spellEnd"/>
            <w:r>
              <w:rPr>
                <w:rFonts w:asciiTheme="minorHAnsi" w:hAnsiTheme="minorHAnsi" w:cs="Arial"/>
                <w:sz w:val="22"/>
                <w:szCs w:val="22"/>
              </w:rPr>
              <w:t xml:space="preserve">,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8F371F">
        <w:trPr>
          <w:jc w:val="center"/>
        </w:trPr>
        <w:tc>
          <w:tcPr>
            <w:tcW w:w="9576" w:type="dxa"/>
            <w:gridSpan w:val="3"/>
          </w:tcPr>
          <w:p w14:paraId="72697378" w14:textId="24D15D3A"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5040"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44240" id="AutoShape 19" o:spid="_x0000_s1026" type="#_x0000_t32" style="position:absolute;margin-left:-.45pt;margin-top:17.1pt;width:467.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A51A90" w:rsidRPr="00826C79" w14:paraId="5529CC69" w14:textId="77777777" w:rsidTr="008F371F">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77777777" w:rsidR="00A51A90" w:rsidRPr="00C70F46"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8F371F">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A51A90" w:rsidRPr="00826C79" w14:paraId="504ED7E6" w14:textId="77777777" w:rsidTr="008F371F">
        <w:trPr>
          <w:jc w:val="center"/>
        </w:trPr>
        <w:tc>
          <w:tcPr>
            <w:tcW w:w="9576" w:type="dxa"/>
            <w:gridSpan w:val="3"/>
          </w:tcPr>
          <w:p w14:paraId="39F12DD4" w14:textId="77777777" w:rsidR="00A51A90" w:rsidRPr="00826C79" w:rsidRDefault="00A51A90" w:rsidP="00A51A90">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31968"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35FCF" id="AutoShape 25" o:spid="_x0000_s1026" type="#_x0000_t32" style="position:absolute;margin-left:1.05pt;margin-top:.5pt;width:467.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 xml:space="preserve">(Numerous threads in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2959E093" w14:textId="394B5251"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6A7FB3" w:rsidP="00A51A90">
            <w:pPr>
              <w:pStyle w:val="Title"/>
              <w:spacing w:before="60" w:after="60"/>
              <w:ind w:left="720"/>
              <w:jc w:val="left"/>
              <w:rPr>
                <w:rFonts w:asciiTheme="minorHAnsi" w:hAnsiTheme="minorHAnsi" w:cs="Arial"/>
                <w:bCs/>
                <w:sz w:val="22"/>
                <w:szCs w:val="22"/>
              </w:rPr>
            </w:pPr>
            <w:hyperlink r:id="rId16"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6A7FB3" w:rsidP="00A51A90">
            <w:pPr>
              <w:pStyle w:val="Title"/>
              <w:spacing w:before="60" w:after="60"/>
              <w:ind w:left="720"/>
              <w:jc w:val="left"/>
              <w:rPr>
                <w:rFonts w:asciiTheme="minorHAnsi" w:hAnsiTheme="minorHAnsi" w:cs="Arial"/>
                <w:bCs/>
                <w:sz w:val="22"/>
                <w:szCs w:val="22"/>
              </w:rPr>
            </w:pPr>
            <w:hyperlink r:id="rId17"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6A7FB3"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6A7FB3"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0"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w:t>
            </w:r>
            <w:proofErr w:type="spellStart"/>
            <w:r>
              <w:rPr>
                <w:rFonts w:asciiTheme="minorHAnsi" w:hAnsiTheme="minorHAnsi" w:cs="Arial"/>
                <w:bCs/>
                <w:sz w:val="22"/>
                <w:szCs w:val="22"/>
              </w:rPr>
              <w:t>Scheer</w:t>
            </w:r>
            <w:proofErr w:type="spellEnd"/>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“Exploding Software-Engineering Myths”, Highlighted at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and various other blogs.</w:t>
            </w:r>
          </w:p>
          <w:p w14:paraId="1D357953" w14:textId="77777777" w:rsidR="00A51A90" w:rsidRDefault="006A7FB3" w:rsidP="00A51A90">
            <w:pPr>
              <w:pStyle w:val="Title"/>
              <w:spacing w:before="60" w:after="60"/>
              <w:ind w:left="720"/>
              <w:jc w:val="left"/>
              <w:rPr>
                <w:rFonts w:asciiTheme="minorHAnsi" w:hAnsiTheme="minorHAnsi" w:cs="Arial"/>
                <w:bCs/>
                <w:sz w:val="22"/>
                <w:szCs w:val="22"/>
              </w:rPr>
            </w:pPr>
            <w:hyperlink r:id="rId24"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proofErr w:type="gramStart"/>
            <w:r w:rsidRPr="00826C79">
              <w:rPr>
                <w:rStyle w:val="articletitle1"/>
                <w:rFonts w:asciiTheme="minorHAnsi" w:hAnsiTheme="minorHAnsi" w:cs="Arial"/>
                <w:b w:val="0"/>
                <w:bCs w:val="0"/>
                <w:i/>
                <w:iCs/>
                <w:color w:val="auto"/>
                <w:sz w:val="22"/>
                <w:szCs w:val="22"/>
              </w:rPr>
              <w:t>eWeek</w:t>
            </w:r>
            <w:proofErr w:type="spellEnd"/>
            <w:proofErr w:type="gramEnd"/>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 xml:space="preserve">Frankfurter </w:t>
            </w:r>
            <w:proofErr w:type="spellStart"/>
            <w:r w:rsidRPr="00826C79">
              <w:rPr>
                <w:rStyle w:val="Emphasis"/>
                <w:rFonts w:asciiTheme="minorHAnsi" w:hAnsiTheme="minorHAnsi" w:cs="Arial"/>
                <w:sz w:val="22"/>
                <w:szCs w:val="22"/>
              </w:rPr>
              <w:t>Allgemeine</w:t>
            </w:r>
            <w:proofErr w:type="spellEnd"/>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8F371F">
        <w:trPr>
          <w:jc w:val="center"/>
        </w:trPr>
        <w:tc>
          <w:tcPr>
            <w:tcW w:w="9576" w:type="dxa"/>
            <w:gridSpan w:val="3"/>
          </w:tcPr>
          <w:p w14:paraId="7BBD7262" w14:textId="77777777" w:rsidR="00A51A90" w:rsidRPr="00826C79" w:rsidRDefault="00A51A90" w:rsidP="00A51A90">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3811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0230D" id="AutoShape 8" o:spid="_x0000_s1026" type="#_x0000_t32" style="position:absolute;margin-left:-.45pt;margin-top:17.15pt;width:46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A51A90" w:rsidRPr="00826C79" w14:paraId="02869176" w14:textId="77777777" w:rsidTr="008F371F">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7A4AE32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 xml:space="preserve">I have published over a 100+ referred conference and journal publications. My work has won 11 best paper awards including 4 ACM SIGSOFT Distinguished paper awards. Four (4) of my papers have also won the test-of-time/ Most Influential paper (MIP) awards, two of which were across 30 year and 50 year time periods. My papers have been cited 13,200+ times with </w:t>
            </w:r>
            <w:proofErr w:type="gramStart"/>
            <w:r>
              <w:rPr>
                <w:rFonts w:asciiTheme="minorHAnsi" w:hAnsiTheme="minorHAnsi" w:cs="Arial"/>
                <w:sz w:val="22"/>
                <w:szCs w:val="22"/>
              </w:rPr>
              <w:t>a</w:t>
            </w:r>
            <w:proofErr w:type="gramEnd"/>
            <w:r>
              <w:rPr>
                <w:rFonts w:asciiTheme="minorHAnsi" w:hAnsiTheme="minorHAnsi" w:cs="Arial"/>
                <w:sz w:val="22"/>
                <w:szCs w:val="22"/>
              </w:rPr>
              <w:t xml:space="preserve"> h-index of 54. My Google Scholar link can be found here: </w:t>
            </w:r>
            <w:hyperlink r:id="rId28"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2EB0A75E" w:rsidR="00620585" w:rsidRDefault="00675804" w:rsidP="002E08BF">
            <w:pPr>
              <w:pStyle w:val="Title"/>
              <w:rPr>
                <w:rFonts w:asciiTheme="minorHAnsi" w:hAnsiTheme="minorHAnsi" w:cs="Arial"/>
                <w:sz w:val="22"/>
                <w:szCs w:val="22"/>
              </w:rPr>
            </w:pPr>
            <w:r>
              <w:object w:dxaOrig="7905" w:dyaOrig="3210" w14:anchorId="24314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5pt;height:2in" o:ole="">
                  <v:imagedata r:id="rId29" o:title=""/>
                </v:shape>
                <o:OLEObject Type="Embed" ProgID="PBrush" ShapeID="_x0000_i1025" DrawAspect="Content" ObjectID="_1668073258" r:id="rId30"/>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8F371F">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w:t>
            </w:r>
            <w:proofErr w:type="gramStart"/>
            <w:r w:rsidRPr="007A6134">
              <w:rPr>
                <w:rFonts w:asciiTheme="minorHAnsi" w:hAnsiTheme="minorHAnsi" w:cs="Arial"/>
                <w:sz w:val="22"/>
                <w:szCs w:val="22"/>
              </w:rPr>
              <w:t>:978</w:t>
            </w:r>
            <w:proofErr w:type="gramEnd"/>
            <w:r w:rsidRPr="007A6134">
              <w:rPr>
                <w:rFonts w:asciiTheme="minorHAnsi" w:hAnsiTheme="minorHAnsi" w:cs="Arial"/>
                <w:sz w:val="22"/>
                <w:szCs w:val="22"/>
              </w:rPr>
              <w:t>-0-496-96172-6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8F371F">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8F371F">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8F371F">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1"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8F371F">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62098AF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Accepted. To Appear: Information and Software Technology (IST), 2020.</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0E0C2413"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Pr>
                <w:rFonts w:asciiTheme="minorHAnsi" w:hAnsiTheme="minorHAnsi" w:cs="Arial"/>
                <w:sz w:val="22"/>
                <w:szCs w:val="22"/>
              </w:rPr>
              <w:t>, 2020.</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lastRenderedPageBreak/>
              <w:t xml:space="preserve">Huang, J., Yan, E., Cheung, G., Nagappan, N. and Zimmermann, T., Master Maker: Understanding Gaming Skill </w:t>
            </w:r>
            <w:proofErr w:type="gramStart"/>
            <w:r w:rsidRPr="00C654FF">
              <w:rPr>
                <w:rFonts w:asciiTheme="minorHAnsi" w:hAnsiTheme="minorHAnsi" w:cs="Arial"/>
                <w:sz w:val="22"/>
                <w:szCs w:val="22"/>
              </w:rPr>
              <w:t>Through</w:t>
            </w:r>
            <w:proofErr w:type="gramEnd"/>
            <w:r w:rsidRPr="00C654FF">
              <w:rPr>
                <w:rFonts w:asciiTheme="minorHAnsi" w:hAnsiTheme="minorHAnsi" w:cs="Arial"/>
                <w:sz w:val="22"/>
                <w:szCs w:val="22"/>
              </w:rPr>
              <w:t xml:space="preserve">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proofErr w:type="gramStart"/>
            <w:r>
              <w:rPr>
                <w:rFonts w:asciiTheme="minorHAnsi" w:hAnsiTheme="minorHAnsi" w:cs="Arial"/>
                <w:sz w:val="22"/>
                <w:szCs w:val="22"/>
              </w:rPr>
              <w:t>”,</w:t>
            </w:r>
            <w:proofErr w:type="gramEnd"/>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proofErr w:type="spellStart"/>
            <w:r w:rsidRPr="00C62D78">
              <w:rPr>
                <w:rFonts w:asciiTheme="minorHAnsi" w:hAnsiTheme="minorHAnsi" w:cs="Arial"/>
                <w:sz w:val="22"/>
                <w:szCs w:val="22"/>
              </w:rPr>
              <w:t>Eaddy</w:t>
            </w:r>
            <w:proofErr w:type="spellEnd"/>
            <w:r w:rsidRPr="00C62D78">
              <w:rPr>
                <w:rFonts w:asciiTheme="minorHAnsi" w:hAnsiTheme="minorHAnsi" w:cs="Arial"/>
                <w:sz w:val="22"/>
                <w:szCs w:val="22"/>
              </w:rPr>
              <w:t xml:space="preserve">,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 xml:space="preserve">Nagappan, N., </w:t>
            </w:r>
            <w:proofErr w:type="spellStart"/>
            <w:r w:rsidRPr="00826C79">
              <w:rPr>
                <w:rStyle w:val="style11"/>
                <w:rFonts w:asciiTheme="minorHAnsi" w:hAnsiTheme="minorHAnsi" w:cs="Arial"/>
                <w:sz w:val="22"/>
                <w:szCs w:val="22"/>
              </w:rPr>
              <w:t>Maximilien</w:t>
            </w:r>
            <w:proofErr w:type="spellEnd"/>
            <w:r w:rsidRPr="00826C79">
              <w:rPr>
                <w:rStyle w:val="style11"/>
                <w:rFonts w:asciiTheme="minorHAnsi" w:hAnsiTheme="minorHAnsi" w:cs="Arial"/>
                <w:sz w:val="22"/>
                <w:szCs w:val="22"/>
              </w:rPr>
              <w:t>,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8F371F">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8F371F">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2836FE85" w14:textId="44D524A0" w:rsidR="00147271" w:rsidRDefault="00147271" w:rsidP="00147271">
            <w:pPr>
              <w:pStyle w:val="ListParagraph"/>
              <w:numPr>
                <w:ilvl w:val="0"/>
                <w:numId w:val="7"/>
              </w:numPr>
              <w:rPr>
                <w:rFonts w:asciiTheme="minorHAnsi" w:hAnsiTheme="minorHAnsi"/>
                <w:sz w:val="22"/>
                <w:szCs w:val="22"/>
              </w:rPr>
            </w:pPr>
            <w:r>
              <w:rPr>
                <w:rFonts w:asciiTheme="minorHAnsi" w:hAnsiTheme="minorHAnsi"/>
                <w:sz w:val="22"/>
                <w:szCs w:val="22"/>
              </w:rPr>
              <w:t>Rao, N., Bansal, C., Zimmermann, T., Awadallah, A., Nagappan, N., “</w:t>
            </w:r>
            <w:r w:rsidRPr="00147271">
              <w:rPr>
                <w:rFonts w:asciiTheme="minorHAnsi" w:hAnsiTheme="minorHAnsi"/>
                <w:sz w:val="22"/>
                <w:szCs w:val="22"/>
              </w:rPr>
              <w:t>Analyzing Web Search Behavior for Software Engineering Tasks</w:t>
            </w:r>
            <w:r>
              <w:rPr>
                <w:rFonts w:asciiTheme="minorHAnsi" w:hAnsiTheme="minorHAnsi"/>
                <w:sz w:val="22"/>
                <w:szCs w:val="22"/>
              </w:rPr>
              <w:t>”, Proceedings of the</w:t>
            </w:r>
            <w:r w:rsidRPr="00147271">
              <w:rPr>
                <w:rFonts w:asciiTheme="minorHAnsi" w:hAnsiTheme="minorHAnsi"/>
                <w:sz w:val="22"/>
                <w:szCs w:val="22"/>
              </w:rPr>
              <w:t xml:space="preserve"> IEEE International Conference on Big Data</w:t>
            </w:r>
            <w:r>
              <w:rPr>
                <w:rFonts w:asciiTheme="minorHAnsi" w:hAnsiTheme="minorHAnsi"/>
                <w:sz w:val="22"/>
                <w:szCs w:val="22"/>
              </w:rPr>
              <w:t xml:space="preserve"> (</w:t>
            </w:r>
            <w:proofErr w:type="spellStart"/>
            <w:r>
              <w:rPr>
                <w:rFonts w:asciiTheme="minorHAnsi" w:hAnsiTheme="minorHAnsi"/>
                <w:sz w:val="22"/>
                <w:szCs w:val="22"/>
              </w:rPr>
              <w:t>BigData</w:t>
            </w:r>
            <w:proofErr w:type="spellEnd"/>
            <w:r>
              <w:rPr>
                <w:rFonts w:asciiTheme="minorHAnsi" w:hAnsiTheme="minorHAnsi"/>
                <w:sz w:val="22"/>
                <w:szCs w:val="22"/>
              </w:rPr>
              <w:t>), Atlanta, GA (Virtually), USA, 2020.</w:t>
            </w:r>
          </w:p>
          <w:p w14:paraId="4B08591A" w14:textId="78013E47" w:rsidR="00147271" w:rsidRDefault="00147271" w:rsidP="00147271">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15</w:t>
            </w:r>
            <w:r>
              <w:rPr>
                <w:rFonts w:asciiTheme="minorHAnsi" w:hAnsiTheme="minorHAnsi" w:cs="Arial"/>
                <w:sz w:val="22"/>
                <w:szCs w:val="22"/>
                <w:u w:val="single"/>
              </w:rPr>
              <w:t>.5</w:t>
            </w:r>
            <w:r w:rsidRPr="00AA7D9E">
              <w:rPr>
                <w:rFonts w:asciiTheme="minorHAnsi" w:hAnsiTheme="minorHAnsi" w:cs="Arial"/>
                <w:sz w:val="22"/>
                <w:szCs w:val="22"/>
                <w:u w:val="single"/>
              </w:rPr>
              <w:t>%</w:t>
            </w:r>
          </w:p>
          <w:p w14:paraId="3FEAE664" w14:textId="77777777" w:rsidR="00147271" w:rsidRDefault="00147271" w:rsidP="00147271">
            <w:pPr>
              <w:pStyle w:val="ListParagraph"/>
              <w:ind w:left="360"/>
              <w:rPr>
                <w:rFonts w:asciiTheme="minorHAnsi" w:hAnsiTheme="minorHAnsi"/>
                <w:sz w:val="22"/>
                <w:szCs w:val="22"/>
              </w:rPr>
            </w:pPr>
          </w:p>
          <w:p w14:paraId="04C37D72" w14:textId="38B58EE0"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lastRenderedPageBreak/>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Emran</w:t>
            </w:r>
            <w:proofErr w:type="spellEnd"/>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lastRenderedPageBreak/>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xml:space="preserve">, K., Nagappan, N., </w:t>
            </w:r>
            <w:proofErr w:type="spellStart"/>
            <w:r w:rsidRPr="00AA7D9E">
              <w:rPr>
                <w:rFonts w:asciiTheme="minorHAnsi" w:hAnsiTheme="minorHAnsi" w:cstheme="minorHAnsi"/>
                <w:sz w:val="22"/>
                <w:szCs w:val="22"/>
              </w:rPr>
              <w:t>Schuh</w:t>
            </w:r>
            <w:proofErr w:type="spellEnd"/>
            <w:r w:rsidRPr="00AA7D9E">
              <w:rPr>
                <w:rFonts w:asciiTheme="minorHAnsi" w:hAnsiTheme="minorHAnsi" w:cstheme="minorHAnsi"/>
                <w:sz w:val="22"/>
                <w:szCs w:val="22"/>
              </w:rPr>
              <w:t>,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Gill, P., Jain, N., Nagappan, N., Understanding Network Failures in Data Centers: Measurement, Analysis, and Implications, Proceedings of the ACM SIGCOMM 2011 Conference on Applications, </w:t>
            </w:r>
            <w:r w:rsidRPr="00AA7D9E">
              <w:rPr>
                <w:rFonts w:asciiTheme="minorHAnsi" w:hAnsiTheme="minorHAnsi" w:cstheme="minorHAnsi"/>
                <w:sz w:val="22"/>
                <w:szCs w:val="22"/>
              </w:rPr>
              <w:lastRenderedPageBreak/>
              <w:t>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Vishwanath</w:t>
            </w:r>
            <w:proofErr w:type="spellEnd"/>
            <w:r w:rsidRPr="00AA7D9E">
              <w:rPr>
                <w:rFonts w:asciiTheme="minorHAnsi" w:hAnsiTheme="minorHAnsi" w:cstheme="minorHAnsi"/>
                <w:sz w:val="22"/>
                <w:szCs w:val="22"/>
              </w:rPr>
              <w:t>,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32"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3"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4"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5"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r w:rsidRPr="00AA7D9E">
              <w:rPr>
                <w:rFonts w:asciiTheme="minorHAnsi" w:hAnsiTheme="minorHAnsi"/>
                <w:sz w:val="22"/>
                <w:szCs w:val="22"/>
              </w:rPr>
              <w:t>Kudrjavets</w:t>
            </w:r>
            <w:proofErr w:type="gramStart"/>
            <w:r w:rsidRPr="00AA7D9E">
              <w:rPr>
                <w:rFonts w:asciiTheme="minorHAnsi" w:hAnsiTheme="minorHAnsi"/>
                <w:sz w:val="22"/>
                <w:szCs w:val="22"/>
              </w:rPr>
              <w:t>,G</w:t>
            </w:r>
            <w:proofErr w:type="spellEnd"/>
            <w:proofErr w:type="gramEnd"/>
            <w:r w:rsidRPr="00AA7D9E">
              <w:rPr>
                <w:rFonts w:asciiTheme="minorHAnsi" w:hAnsiTheme="minorHAnsi"/>
                <w:sz w:val="22"/>
                <w:szCs w:val="22"/>
              </w:rPr>
              <w:t>., Nagappan, N., “</w:t>
            </w:r>
            <w:hyperlink r:id="rId36"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lastRenderedPageBreak/>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w:t>
            </w:r>
            <w:proofErr w:type="gramStart"/>
            <w:r w:rsidRPr="00AA7D9E">
              <w:rPr>
                <w:rFonts w:asciiTheme="minorHAnsi" w:hAnsiTheme="minorHAnsi" w:cs="Arial"/>
                <w:sz w:val="22"/>
                <w:szCs w:val="22"/>
              </w:rPr>
              <w:t>short</w:t>
            </w:r>
            <w:proofErr w:type="gramEnd"/>
            <w:r w:rsidRPr="00AA7D9E">
              <w:rPr>
                <w:rFonts w:asciiTheme="minorHAnsi" w:hAnsiTheme="minorHAnsi" w:cs="Arial"/>
                <w:sz w:val="22"/>
                <w:szCs w:val="22"/>
              </w:rPr>
              <w:t xml:space="preserve"> paper),  Proceedings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lastRenderedPageBreak/>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7"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8"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9"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40"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lastRenderedPageBreak/>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lastRenderedPageBreak/>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w:t>
            </w:r>
            <w:proofErr w:type="gramStart"/>
            <w:r w:rsidRPr="00AA7D9E">
              <w:rPr>
                <w:rFonts w:asciiTheme="minorHAnsi" w:hAnsiTheme="minorHAnsi" w:cs="Arial"/>
                <w:color w:val="000000"/>
                <w:sz w:val="22"/>
                <w:szCs w:val="22"/>
              </w:rPr>
              <w:t>Toward</w:t>
            </w:r>
            <w:proofErr w:type="gramEnd"/>
            <w:r w:rsidRPr="00AA7D9E">
              <w:rPr>
                <w:rFonts w:asciiTheme="minorHAnsi" w:hAnsiTheme="minorHAnsi" w:cs="Arial"/>
                <w:color w:val="000000"/>
                <w:sz w:val="22"/>
                <w:szCs w:val="22"/>
              </w:rPr>
              <w:t xml:space="preserve">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sz w:val="22"/>
                <w:szCs w:val="22"/>
              </w:rPr>
              <w:t>Stotts</w:t>
            </w:r>
            <w:proofErr w:type="spellEnd"/>
            <w:r w:rsidRPr="00AA7D9E">
              <w:rPr>
                <w:rFonts w:asciiTheme="minorHAnsi" w:hAnsiTheme="minorHAnsi" w:cs="Arial"/>
                <w:sz w:val="22"/>
                <w:szCs w:val="22"/>
              </w:rPr>
              <w:t xml:space="preserve">,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r w:rsidRPr="00AA7D9E">
              <w:rPr>
                <w:rFonts w:asciiTheme="minorHAnsi" w:hAnsiTheme="minorHAnsi" w:cs="Arial"/>
                <w:color w:val="000000"/>
                <w:sz w:val="22"/>
                <w:szCs w:val="22"/>
              </w:rPr>
              <w:t>Williams</w:t>
            </w:r>
            <w:proofErr w:type="gramStart"/>
            <w:r w:rsidRPr="00AA7D9E">
              <w:rPr>
                <w:rFonts w:asciiTheme="minorHAnsi" w:hAnsiTheme="minorHAnsi" w:cs="Arial"/>
                <w:color w:val="000000"/>
                <w:sz w:val="22"/>
                <w:szCs w:val="22"/>
              </w:rPr>
              <w:t>,L</w:t>
            </w:r>
            <w:proofErr w:type="spellEnd"/>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8F371F">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lastRenderedPageBreak/>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proofErr w:type="spellStart"/>
            <w:r w:rsidRPr="007F5E5E">
              <w:rPr>
                <w:rFonts w:asciiTheme="minorHAnsi" w:hAnsiTheme="minorHAnsi" w:cs="Arial"/>
                <w:sz w:val="22"/>
                <w:szCs w:val="22"/>
              </w:rPr>
              <w:t>Schuh</w:t>
            </w:r>
            <w:proofErr w:type="spellEnd"/>
            <w:r w:rsidRPr="007F5E5E">
              <w:rPr>
                <w:rFonts w:asciiTheme="minorHAnsi" w:hAnsiTheme="minorHAnsi" w:cs="Arial"/>
                <w:sz w:val="22"/>
                <w:szCs w:val="22"/>
              </w:rPr>
              <w:t xml:space="preserve">,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t>
            </w:r>
            <w:proofErr w:type="gramStart"/>
            <w:r w:rsidRPr="00EA5476">
              <w:rPr>
                <w:rFonts w:asciiTheme="minorHAnsi" w:hAnsiTheme="minorHAnsi" w:cs="Arial"/>
                <w:sz w:val="22"/>
                <w:szCs w:val="22"/>
              </w:rPr>
              <w:t>Winter</w:t>
            </w:r>
            <w:proofErr w:type="gramEnd"/>
            <w:r w:rsidRPr="00EA5476">
              <w:rPr>
                <w:rFonts w:asciiTheme="minorHAnsi" w:hAnsiTheme="minorHAnsi" w:cs="Arial"/>
                <w:sz w:val="22"/>
                <w:szCs w:val="22"/>
              </w:rPr>
              <w:t xml:space="preserve">,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 xml:space="preserve">International Symposium on Software Reliability Engineering (ISSRE 2004), pp. 21-22,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lastRenderedPageBreak/>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8F371F">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8F371F">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8F371F">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8F371F">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8F371F">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8F371F">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Gupta, A., Zimmermann, T., Bird, C., Nagappan, N., Bhat, T., </w:t>
            </w:r>
            <w:proofErr w:type="spellStart"/>
            <w:r w:rsidRPr="00EA5476">
              <w:rPr>
                <w:rFonts w:asciiTheme="minorHAnsi" w:hAnsiTheme="minorHAnsi" w:cs="Arial"/>
                <w:sz w:val="22"/>
                <w:szCs w:val="22"/>
              </w:rPr>
              <w:t>Emran</w:t>
            </w:r>
            <w:proofErr w:type="spellEnd"/>
            <w:r w:rsidRPr="00EA5476">
              <w:rPr>
                <w:rFonts w:asciiTheme="minorHAnsi" w:hAnsiTheme="minorHAnsi" w:cs="Arial"/>
                <w:sz w:val="22"/>
                <w:szCs w:val="22"/>
              </w:rPr>
              <w:t>,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lastRenderedPageBreak/>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w:t>
            </w:r>
            <w:proofErr w:type="gramStart"/>
            <w:r w:rsidRPr="00EA5476">
              <w:rPr>
                <w:rFonts w:asciiTheme="minorHAnsi" w:hAnsiTheme="minorHAnsi" w:cs="Arial"/>
                <w:sz w:val="22"/>
                <w:szCs w:val="22"/>
              </w:rPr>
              <w:t>,</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E.,</w:t>
            </w:r>
            <w:proofErr w:type="spellStart"/>
            <w:r w:rsidRPr="00EA5476">
              <w:rPr>
                <w:rFonts w:asciiTheme="minorHAnsi" w:hAnsiTheme="minorHAnsi" w:cs="Arial"/>
                <w:sz w:val="22"/>
                <w:szCs w:val="22"/>
              </w:rPr>
              <w:t>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8F371F">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lastRenderedPageBreak/>
              <w:t>Refereed Posters</w:t>
            </w:r>
          </w:p>
        </w:tc>
      </w:tr>
      <w:tr w:rsidR="00A51A90" w:rsidRPr="00826C79" w14:paraId="5B1868C2" w14:textId="77777777" w:rsidTr="008F371F">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8F371F">
        <w:trPr>
          <w:jc w:val="center"/>
        </w:trPr>
        <w:tc>
          <w:tcPr>
            <w:tcW w:w="9576" w:type="dxa"/>
            <w:gridSpan w:val="3"/>
          </w:tcPr>
          <w:p w14:paraId="5277CDF1"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43232"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2EE2A" id="AutoShape 24" o:spid="_x0000_s1026" type="#_x0000_t32" style="position:absolute;margin-left:1.05pt;margin-top:15.9pt;width:467.2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A51A90" w:rsidRPr="00826C79" w14:paraId="76D7FAD3" w14:textId="77777777" w:rsidTr="008F371F">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Juristo (Professor, </w:t>
            </w:r>
            <w:proofErr w:type="spellStart"/>
            <w:r w:rsidRPr="00826C79">
              <w:rPr>
                <w:rFonts w:asciiTheme="minorHAnsi" w:hAnsiTheme="minorHAnsi" w:cs="Arial"/>
                <w:sz w:val="22"/>
                <w:szCs w:val="22"/>
              </w:rPr>
              <w:t>Univ</w:t>
            </w:r>
            <w:proofErr w:type="spellEnd"/>
            <w:r w:rsidRPr="00826C79">
              <w:rPr>
                <w:rFonts w:asciiTheme="minorHAnsi" w:hAnsiTheme="minorHAnsi" w:cs="Arial"/>
                <w:sz w:val="22"/>
                <w:szCs w:val="22"/>
              </w:rPr>
              <w:t xml:space="preserve">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w:t>
            </w:r>
            <w:proofErr w:type="spellStart"/>
            <w:r w:rsidRPr="00826C79">
              <w:rPr>
                <w:rFonts w:asciiTheme="minorHAnsi" w:hAnsiTheme="minorHAnsi" w:cs="Arial"/>
                <w:sz w:val="22"/>
                <w:szCs w:val="22"/>
              </w:rPr>
              <w:t>Fraunhofer</w:t>
            </w:r>
            <w:proofErr w:type="spellEnd"/>
            <w:r w:rsidRPr="00826C79">
              <w:rPr>
                <w:rFonts w:asciiTheme="minorHAnsi" w:hAnsiTheme="minorHAnsi" w:cs="Arial"/>
                <w:sz w:val="22"/>
                <w:szCs w:val="22"/>
              </w:rPr>
              <w:t xml:space="preserve">-Center Maryland), Claes Wohlin (Professor and Deputy Vice-Chancellor, </w:t>
            </w:r>
            <w:proofErr w:type="spellStart"/>
            <w:r w:rsidRPr="00826C79">
              <w:rPr>
                <w:rFonts w:asciiTheme="minorHAnsi" w:hAnsiTheme="minorHAnsi" w:cs="Arial"/>
                <w:sz w:val="22"/>
                <w:szCs w:val="22"/>
              </w:rPr>
              <w:t>Blekinge</w:t>
            </w:r>
            <w:proofErr w:type="spellEnd"/>
            <w:r w:rsidRPr="00826C79">
              <w:rPr>
                <w:rFonts w:asciiTheme="minorHAnsi" w:hAnsiTheme="minorHAnsi" w:cs="Arial"/>
                <w:sz w:val="22"/>
                <w:szCs w:val="22"/>
              </w:rPr>
              <w:t xml:space="preserv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8F371F">
        <w:trPr>
          <w:jc w:val="center"/>
        </w:trPr>
        <w:tc>
          <w:tcPr>
            <w:tcW w:w="9576" w:type="dxa"/>
            <w:gridSpan w:val="3"/>
          </w:tcPr>
          <w:p w14:paraId="56BE6218"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3913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F8EB9" id="AutoShape 17" o:spid="_x0000_s1026" type="#_x0000_t32" style="position:absolute;margin-left:1.05pt;margin-top:15.85pt;width:46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A51A90" w:rsidRPr="00826C79" w14:paraId="4CA4243D" w14:textId="77777777" w:rsidTr="008F371F">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w:t>
            </w:r>
            <w:proofErr w:type="spellStart"/>
            <w:r w:rsidRPr="00A728DF">
              <w:rPr>
                <w:rFonts w:asciiTheme="minorHAnsi" w:hAnsiTheme="minorHAnsi" w:cs="Arial"/>
                <w:color w:val="000000"/>
                <w:sz w:val="22"/>
                <w:szCs w:val="22"/>
              </w:rPr>
              <w:t>Shekhar</w:t>
            </w:r>
            <w:proofErr w:type="spellEnd"/>
            <w:r w:rsidRPr="00A728DF">
              <w:rPr>
                <w:rFonts w:asciiTheme="minorHAnsi" w:hAnsiTheme="minorHAnsi" w:cs="Arial"/>
                <w:color w:val="000000"/>
                <w:sz w:val="22"/>
                <w:szCs w:val="22"/>
              </w:rPr>
              <w:t xml:space="preserve"> Maddila</w:t>
            </w:r>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w:t>
            </w:r>
            <w:proofErr w:type="spellStart"/>
            <w:r w:rsidRPr="002A636B">
              <w:rPr>
                <w:rFonts w:asciiTheme="minorHAnsi" w:hAnsiTheme="minorHAnsi" w:cs="Arial"/>
                <w:color w:val="000000"/>
                <w:sz w:val="22"/>
                <w:szCs w:val="22"/>
              </w:rPr>
              <w:t>Universität</w:t>
            </w:r>
            <w:proofErr w:type="spellEnd"/>
            <w:r w:rsidRPr="002A636B">
              <w:rPr>
                <w:rFonts w:asciiTheme="minorHAnsi" w:hAnsiTheme="minorHAnsi" w:cs="Arial"/>
                <w:color w:val="000000"/>
                <w:sz w:val="22"/>
                <w:szCs w:val="22"/>
              </w:rPr>
              <w:t xml:space="preserve">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lastRenderedPageBreak/>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77777777" w:rsidR="008F371F" w:rsidRPr="00031332" w:rsidRDefault="008F371F" w:rsidP="008F371F">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49376"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06A29A" id="_x0000_t32" coordsize="21600,21600" o:spt="32" o:oned="t" path="m,l21600,21600e" filled="f">
                            <v:path arrowok="t" fillok="f" o:connecttype="none"/>
                            <o:lock v:ext="edit" shapetype="t"/>
                          </v:shapetype>
                          <v:shape id="AutoShape 6" o:spid="_x0000_s1026" type="#_x0000_t32" style="position:absolute;margin-left:1.8pt;margin-top:.15pt;width:467.2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mGgIAADsEAAAOAAAAZHJzL2Uyb0RvYy54bWysU82O2jAQvlfqO1i+s0kgSy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8F371F">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8F371F">
        <w:trPr>
          <w:jc w:val="center"/>
        </w:trPr>
        <w:tc>
          <w:tcPr>
            <w:tcW w:w="9576" w:type="dxa"/>
            <w:gridSpan w:val="3"/>
          </w:tcPr>
          <w:p w14:paraId="500F154C"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4016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E657D" id="AutoShape 18" o:spid="_x0000_s1026" type="#_x0000_t32" style="position:absolute;margin-left:1.8pt;margin-top:16.5pt;width:46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A51A90" w:rsidRPr="00826C79" w14:paraId="05542F4A" w14:textId="77777777" w:rsidTr="008F371F">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286188C8" w14:textId="77777777"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lastRenderedPageBreak/>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Janakiram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proofErr w:type="gramStart"/>
            <w:r>
              <w:rPr>
                <w:rFonts w:asciiTheme="minorHAnsi" w:hAnsiTheme="minorHAnsi" w:cs="Arial"/>
                <w:sz w:val="22"/>
                <w:szCs w:val="22"/>
              </w:rPr>
              <w:t>”.</w:t>
            </w:r>
            <w:proofErr w:type="gramEnd"/>
            <w:r>
              <w:rPr>
                <w:rFonts w:asciiTheme="minorHAnsi" w:hAnsiTheme="minorHAnsi" w:cs="Arial"/>
                <w:sz w:val="22"/>
                <w:szCs w:val="22"/>
              </w:rPr>
              <w:t xml:space="preserve">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lastRenderedPageBreak/>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xml:space="preserve">” ISSRE 2004, St. </w:t>
            </w:r>
            <w:proofErr w:type="spellStart"/>
            <w:r w:rsidRPr="00826C79">
              <w:rPr>
                <w:rFonts w:asciiTheme="minorHAnsi" w:hAnsiTheme="minorHAnsi" w:cs="Arial"/>
                <w:color w:val="000000"/>
                <w:sz w:val="22"/>
                <w:szCs w:val="22"/>
              </w:rPr>
              <w:t>Malo</w:t>
            </w:r>
            <w:proofErr w:type="spellEnd"/>
            <w:r w:rsidRPr="00826C79">
              <w:rPr>
                <w:rFonts w:asciiTheme="minorHAnsi" w:hAnsiTheme="minorHAnsi" w:cs="Arial"/>
                <w:color w:val="000000"/>
                <w:sz w:val="22"/>
                <w:szCs w:val="22"/>
              </w:rPr>
              <w:t>,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proofErr w:type="gramStart"/>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lastRenderedPageBreak/>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8F371F">
        <w:trPr>
          <w:jc w:val="center"/>
        </w:trPr>
        <w:tc>
          <w:tcPr>
            <w:tcW w:w="9576" w:type="dxa"/>
            <w:gridSpan w:val="3"/>
          </w:tcPr>
          <w:p w14:paraId="09A6E395"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4118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D27D4" id="AutoShape 19" o:spid="_x0000_s1026" type="#_x0000_t32" style="position:absolute;margin-left:-.45pt;margin-top:17.1pt;width:467.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A51A90" w:rsidRPr="00826C79" w14:paraId="0E081A10" w14:textId="77777777" w:rsidTr="008F371F">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7777777"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Pr>
                <w:rFonts w:asciiTheme="minorHAnsi" w:hAnsiTheme="minorHAnsi" w:cs="Arial"/>
                <w:sz w:val="22"/>
                <w:szCs w:val="22"/>
              </w:rPr>
              <w:t xml:space="preserve"> (Distinguished Scientist)</w:t>
            </w:r>
            <w:r w:rsidR="00C819E3">
              <w:rPr>
                <w:rFonts w:asciiTheme="minorHAnsi" w:hAnsiTheme="minorHAnsi" w:cs="Arial"/>
                <w:sz w:val="22"/>
                <w:szCs w:val="22"/>
              </w:rPr>
              <w:t>, ACM SIGSOFT.</w:t>
            </w:r>
          </w:p>
          <w:p w14:paraId="2116246A" w14:textId="1B436BC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 Senior Member, IEEE Reliability Society</w:t>
            </w:r>
          </w:p>
          <w:p w14:paraId="697FB30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proofErr w:type="gramStart"/>
            <w:r w:rsidRPr="00826C79">
              <w:rPr>
                <w:rFonts w:asciiTheme="minorHAnsi" w:hAnsiTheme="minorHAnsi" w:cs="Arial"/>
                <w:sz w:val="22"/>
                <w:szCs w:val="22"/>
              </w:rPr>
              <w:t>Trollhattan</w:t>
            </w:r>
            <w:proofErr w:type="spellEnd"/>
            <w:proofErr w:type="gram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Short papers Chair, ACM-IEEE International Symposium on Empirical Software Engineering and Measurement (ESEM) 2007, </w:t>
            </w:r>
            <w:proofErr w:type="gramStart"/>
            <w:r w:rsidRPr="00826C79">
              <w:rPr>
                <w:rFonts w:asciiTheme="minorHAnsi" w:hAnsiTheme="minorHAnsi" w:cs="Arial"/>
                <w:sz w:val="22"/>
                <w:szCs w:val="22"/>
              </w:rPr>
              <w:t>Madrid</w:t>
            </w:r>
            <w:proofErr w:type="gramEnd"/>
            <w:r w:rsidRPr="00826C79">
              <w:rPr>
                <w:rFonts w:asciiTheme="minorHAnsi" w:hAnsiTheme="minorHAnsi" w:cs="Arial"/>
                <w:sz w:val="22"/>
                <w:szCs w:val="22"/>
              </w:rPr>
              <w:t>,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39334D54" w14:textId="221F581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lastRenderedPageBreak/>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lastRenderedPageBreak/>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8F371F">
        <w:trPr>
          <w:jc w:val="center"/>
        </w:trPr>
        <w:tc>
          <w:tcPr>
            <w:tcW w:w="9576" w:type="dxa"/>
            <w:gridSpan w:val="3"/>
          </w:tcPr>
          <w:p w14:paraId="67DC873D"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220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F0E7D" id="AutoShape 20" o:spid="_x0000_s1026" type="#_x0000_t32" style="position:absolute;margin-left:-.45pt;margin-top:15.75pt;width:467.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Pr>
                <w:rFonts w:asciiTheme="minorHAnsi" w:hAnsiTheme="minorHAnsi" w:cs="Arial"/>
                <w:b/>
                <w:caps/>
                <w:sz w:val="24"/>
              </w:rPr>
              <w:t xml:space="preserve"> </w:t>
            </w:r>
          </w:p>
        </w:tc>
      </w:tr>
      <w:tr w:rsidR="00A51A90" w:rsidRPr="00826C79" w14:paraId="3FBF5E30" w14:textId="77777777" w:rsidTr="008F371F">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8F371F">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8F371F">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8F371F">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w:t>
            </w:r>
            <w:r w:rsidRPr="0072514F">
              <w:rPr>
                <w:rFonts w:asciiTheme="minorHAnsi" w:hAnsiTheme="minorHAnsi" w:cs="Arial"/>
                <w:sz w:val="22"/>
                <w:szCs w:val="22"/>
              </w:rPr>
              <w:lastRenderedPageBreak/>
              <w:t xml:space="preserve">an open source plug-in to the Eclipse IDE, the tool facilitates the rapid transition between unit test case completions and testing feedback. The color-coded results highlight inadequate testing efforts as well as 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8F371F">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lastRenderedPageBreak/>
              <w:t xml:space="preserve">PET (Peer evaluation tool) V 1.0: </w:t>
            </w:r>
            <w:r w:rsidRPr="0072514F">
              <w:rPr>
                <w:rFonts w:asciiTheme="minorHAnsi" w:hAnsiTheme="minorHAnsi" w:cs="Arial"/>
                <w:sz w:val="22"/>
                <w:szCs w:val="22"/>
              </w:rPr>
              <w:t xml:space="preserve">Used at NC State University by the classes CSC 116, CSC 326, CSC 517, </w:t>
            </w:r>
            <w:proofErr w:type="gramStart"/>
            <w:r w:rsidRPr="0072514F">
              <w:rPr>
                <w:rFonts w:asciiTheme="minorHAnsi" w:hAnsiTheme="minorHAnsi" w:cs="Arial"/>
                <w:sz w:val="22"/>
                <w:szCs w:val="22"/>
              </w:rPr>
              <w:t>ECE</w:t>
            </w:r>
            <w:proofErr w:type="gramEnd"/>
            <w:r w:rsidRPr="0072514F">
              <w:rPr>
                <w:rFonts w:asciiTheme="minorHAnsi" w:hAnsiTheme="minorHAnsi" w:cs="Arial"/>
                <w:sz w:val="22"/>
                <w:szCs w:val="22"/>
              </w:rPr>
              <w:t xml:space="preserv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8F371F">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44256"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8FEC5" id="AutoShape 23" o:spid="_x0000_s1026" type="#_x0000_t32" style="position:absolute;margin-left:-1.2pt;margin-top:4.7pt;width:467.2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77777777" w:rsidR="008F371F" w:rsidRPr="001D0283" w:rsidRDefault="008F371F" w:rsidP="008F371F">
                  <w:pPr>
                    <w:spacing w:before="60" w:after="60"/>
                    <w:rPr>
                      <w:rFonts w:asciiTheme="minorHAnsi" w:hAnsiTheme="minorHAnsi" w:cs="Arial"/>
                      <w:b/>
                      <w:bCs/>
                    </w:rPr>
                  </w:pPr>
                  <w:r w:rsidRPr="001D0283">
                    <w:rPr>
                      <w:rFonts w:asciiTheme="minorHAnsi" w:hAnsiTheme="minorHAnsi" w:cs="Arial"/>
                      <w:noProof/>
                    </w:rPr>
                    <mc:AlternateContent>
                      <mc:Choice Requires="wps">
                        <w:drawing>
                          <wp:anchor distT="0" distB="0" distL="114300" distR="114300" simplePos="0" relativeHeight="251747328" behindDoc="0" locked="0" layoutInCell="1" allowOverlap="1" wp14:anchorId="49C92AB6" wp14:editId="457854C5">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0BEDC" id="AutoShape 4" o:spid="_x0000_s1026" type="#_x0000_t32" style="position:absolute;margin-left:-.45pt;margin-top:17.4pt;width:467.2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proofErr w:type="spellStart"/>
                  <w:r w:rsidRPr="001D0283">
                    <w:rPr>
                      <w:rFonts w:asciiTheme="minorHAnsi" w:hAnsiTheme="minorHAnsi" w:cs="Arial"/>
                      <w:iCs/>
                      <w:sz w:val="22"/>
                      <w:szCs w:val="22"/>
                    </w:rPr>
                    <w:t>B.Tech</w:t>
                  </w:r>
                  <w:proofErr w:type="spellEnd"/>
                  <w:r w:rsidRPr="001D0283">
                    <w:rPr>
                      <w:rFonts w:asciiTheme="minorHAnsi" w:hAnsiTheme="minorHAnsi" w:cs="Arial"/>
                      <w:iCs/>
                      <w:sz w:val="22"/>
                      <w:szCs w:val="22"/>
                    </w:rPr>
                    <w:t>.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8F371F">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8F371F">
        <w:trPr>
          <w:trHeight w:val="342"/>
          <w:jc w:val="center"/>
        </w:trPr>
        <w:tc>
          <w:tcPr>
            <w:tcW w:w="4765"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4811"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8F371F">
        <w:trPr>
          <w:trHeight w:val="342"/>
          <w:jc w:val="center"/>
        </w:trPr>
        <w:tc>
          <w:tcPr>
            <w:tcW w:w="4765"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273777BB"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1"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p w14:paraId="029D5644" w14:textId="18DF4321"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15793411" w14:textId="77777777" w:rsidR="00E83170" w:rsidRDefault="00E83170" w:rsidP="00A51A90">
            <w:pPr>
              <w:pStyle w:val="Title"/>
              <w:jc w:val="left"/>
              <w:rPr>
                <w:rFonts w:asciiTheme="minorHAnsi" w:hAnsiTheme="minorHAnsi" w:cs="Arial"/>
                <w:sz w:val="22"/>
                <w:szCs w:val="22"/>
              </w:rPr>
            </w:pPr>
          </w:p>
          <w:p w14:paraId="583E1C54" w14:textId="77777777" w:rsidR="00A36F43" w:rsidRDefault="00A36F43" w:rsidP="00A51A90">
            <w:pPr>
              <w:pStyle w:val="Title"/>
              <w:jc w:val="left"/>
              <w:rPr>
                <w:rFonts w:asciiTheme="minorHAnsi" w:hAnsiTheme="minorHAnsi" w:cs="Arial"/>
                <w:sz w:val="22"/>
                <w:szCs w:val="22"/>
              </w:rPr>
            </w:pPr>
          </w:p>
          <w:p w14:paraId="69031597" w14:textId="65CF2EAA" w:rsidR="00A36F43" w:rsidRPr="000A7F22" w:rsidRDefault="00A36F43" w:rsidP="00A51A90">
            <w:pPr>
              <w:pStyle w:val="Title"/>
              <w:jc w:val="left"/>
              <w:rPr>
                <w:rFonts w:asciiTheme="minorHAnsi" w:hAnsiTheme="minorHAnsi" w:cs="Arial"/>
                <w:sz w:val="22"/>
                <w:szCs w:val="22"/>
              </w:rPr>
            </w:pPr>
          </w:p>
        </w:tc>
      </w:tr>
      <w:tr w:rsidR="000A7F22" w:rsidRPr="00826C79" w14:paraId="10110214" w14:textId="77777777" w:rsidTr="008F371F">
        <w:trPr>
          <w:trHeight w:val="342"/>
          <w:jc w:val="center"/>
        </w:trPr>
        <w:tc>
          <w:tcPr>
            <w:tcW w:w="4765"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lastRenderedPageBreak/>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45BFCF5"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 and Dean of the 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EPFL (</w:t>
            </w:r>
            <w:proofErr w:type="spellStart"/>
            <w:r w:rsidRPr="000A7F22">
              <w:rPr>
                <w:rFonts w:asciiTheme="minorHAnsi" w:hAnsiTheme="minorHAnsi" w:cs="Arial"/>
                <w:sz w:val="22"/>
                <w:szCs w:val="22"/>
              </w:rPr>
              <w:t>École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Polytechnique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3"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4" w:history="1">
              <w:r w:rsidRPr="00263DE2">
                <w:rPr>
                  <w:rStyle w:val="Hyperlink"/>
                  <w:rFonts w:asciiTheme="minorHAnsi" w:hAnsiTheme="minorHAnsi" w:cs="Arial"/>
                  <w:sz w:val="22"/>
                  <w:szCs w:val="22"/>
                </w:rPr>
                <w:t>murphy@cs.ubc.ca</w:t>
              </w:r>
            </w:hyperlink>
          </w:p>
        </w:tc>
      </w:tr>
      <w:tr w:rsidR="000A7F22" w:rsidRPr="00826C79" w14:paraId="1E6BACB1" w14:textId="77777777" w:rsidTr="008F371F">
        <w:trPr>
          <w:trHeight w:val="342"/>
          <w:jc w:val="center"/>
        </w:trPr>
        <w:tc>
          <w:tcPr>
            <w:tcW w:w="4765" w:type="dxa"/>
          </w:tcPr>
          <w:p w14:paraId="6FF658C2" w14:textId="61D1A3EC"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428A73AB" w14:textId="5BD9212B" w:rsidR="00A36F43" w:rsidRPr="00A36F43" w:rsidRDefault="00A36F43" w:rsidP="00E83170">
            <w:pPr>
              <w:pStyle w:val="Title"/>
              <w:jc w:val="left"/>
              <w:rPr>
                <w:rFonts w:asciiTheme="minorHAnsi" w:hAnsiTheme="minorHAnsi" w:cs="Arial"/>
                <w:i/>
                <w:sz w:val="22"/>
                <w:szCs w:val="22"/>
              </w:rPr>
            </w:pPr>
            <w:r w:rsidRPr="00A36F43">
              <w:rPr>
                <w:rFonts w:asciiTheme="minorHAnsi" w:hAnsiTheme="minorHAnsi" w:cs="Arial"/>
                <w:i/>
                <w:sz w:val="22"/>
                <w:szCs w:val="22"/>
              </w:rPr>
              <w:t>IEEE Fellow</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tzimmer@microsoft.com</w:t>
              </w:r>
            </w:hyperlink>
          </w:p>
        </w:tc>
        <w:tc>
          <w:tcPr>
            <w:tcW w:w="4811" w:type="dxa"/>
            <w:gridSpan w:val="2"/>
          </w:tcPr>
          <w:p w14:paraId="06484AD6" w14:textId="1717326E" w:rsidR="00E83170"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FD8E6" w14:textId="77777777" w:rsidR="006A7FB3" w:rsidRDefault="006A7FB3" w:rsidP="000D3861">
      <w:pPr>
        <w:pStyle w:val="Title"/>
      </w:pPr>
      <w:r>
        <w:separator/>
      </w:r>
    </w:p>
  </w:endnote>
  <w:endnote w:type="continuationSeparator" w:id="0">
    <w:p w14:paraId="6A05DB5B" w14:textId="77777777" w:rsidR="006A7FB3" w:rsidRDefault="006A7FB3"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BCA63" w14:textId="77777777" w:rsidR="006A7FB3" w:rsidRDefault="006A7FB3" w:rsidP="000D3861">
      <w:pPr>
        <w:pStyle w:val="Title"/>
      </w:pPr>
      <w:r>
        <w:separator/>
      </w:r>
    </w:p>
  </w:footnote>
  <w:footnote w:type="continuationSeparator" w:id="0">
    <w:p w14:paraId="69675093" w14:textId="77777777" w:rsidR="006A7FB3" w:rsidRDefault="006A7FB3"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47271"/>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548F"/>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A7FB3"/>
    <w:rsid w:val="006B05E8"/>
    <w:rsid w:val="006B081B"/>
    <w:rsid w:val="006B0D10"/>
    <w:rsid w:val="006B2F27"/>
    <w:rsid w:val="006B49D7"/>
    <w:rsid w:val="006C7FEA"/>
    <w:rsid w:val="006D4926"/>
    <w:rsid w:val="006D7E6B"/>
    <w:rsid w:val="006E1B59"/>
    <w:rsid w:val="006F28E2"/>
    <w:rsid w:val="00700F56"/>
    <w:rsid w:val="0070363D"/>
    <w:rsid w:val="007122C2"/>
    <w:rsid w:val="00712FC4"/>
    <w:rsid w:val="007160CC"/>
    <w:rsid w:val="00716938"/>
    <w:rsid w:val="0072514F"/>
    <w:rsid w:val="007262C5"/>
    <w:rsid w:val="007353D2"/>
    <w:rsid w:val="00744272"/>
    <w:rsid w:val="007663F6"/>
    <w:rsid w:val="007669FC"/>
    <w:rsid w:val="0078044F"/>
    <w:rsid w:val="00787B1C"/>
    <w:rsid w:val="00791ED1"/>
    <w:rsid w:val="007956A4"/>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6F43"/>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90F51"/>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yperlink" Target="http://icse08.upb.de/" TargetMode="Externa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research.microsoft.com/apps/pubs/default.aspx?id=118789" TargetMode="External"/><Relationship Id="rId42" Type="http://schemas.openxmlformats.org/officeDocument/2006/relationships/hyperlink" Target="mailto:ahmed@cs.queensu.ca"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18790" TargetMode="External"/><Relationship Id="rId38" Type="http://schemas.openxmlformats.org/officeDocument/2006/relationships/hyperlink" Target="http://icse08.upb.de/"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image" Target="media/image1.png"/><Relationship Id="rId41" Type="http://schemas.openxmlformats.org/officeDocument/2006/relationships/hyperlink" Target="mailto:ptdevanbu@ucdavi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chiappan.nagappan@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37315" TargetMode="External"/><Relationship Id="rId37" Type="http://schemas.openxmlformats.org/officeDocument/2006/relationships/hyperlink" Target="http://msr.uwaterloo.ca/msr2008" TargetMode="External"/><Relationship Id="rId40" Type="http://schemas.openxmlformats.org/officeDocument/2006/relationships/hyperlink" Target="http://icse08.upb.de/" TargetMode="External"/><Relationship Id="rId45" Type="http://schemas.openxmlformats.org/officeDocument/2006/relationships/hyperlink" Target="mailto:tzimmer@microsoft.co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s://scholar.google.com/citations?user=Nzx_7P8AAAAJ&amp;hl=en&amp;oi=ao" TargetMode="External"/><Relationship Id="rId36" Type="http://schemas.openxmlformats.org/officeDocument/2006/relationships/hyperlink" Target="http://research.microsoft.com/apps/pubs/default.aspx?id=102349"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www.informatik.uni-trier.de/~ley/db/journals/software/software26.html" TargetMode="External"/><Relationship Id="rId44" Type="http://schemas.openxmlformats.org/officeDocument/2006/relationships/hyperlink" Target="mailto:murphy@cs.ubc.c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oleObject" Target="embeddings/oleObject1.bin"/><Relationship Id="rId35" Type="http://schemas.openxmlformats.org/officeDocument/2006/relationships/hyperlink" Target="http://research.microsoft.com/apps/pubs/default.aspx?id=102348" TargetMode="External"/><Relationship Id="rId43" Type="http://schemas.openxmlformats.org/officeDocument/2006/relationships/hyperlink" Target="mailto:james.larus@epfl.ch"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4.xml><?xml version="1.0" encoding="utf-8"?>
<ds:datastoreItem xmlns:ds="http://schemas.openxmlformats.org/officeDocument/2006/customXml" ds:itemID="{9D638180-7C96-4DAC-B3B2-26E4E5F3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11201</Words>
  <Characters>63850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74902</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6</cp:revision>
  <cp:lastPrinted>2020-11-28T20:52:00Z</cp:lastPrinted>
  <dcterms:created xsi:type="dcterms:W3CDTF">2020-11-28T20:47:00Z</dcterms:created>
  <dcterms:modified xsi:type="dcterms:W3CDTF">2020-11-28T20:54:00Z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