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493F" w14:textId="77777777" w:rsidR="000F3AD3" w:rsidRDefault="000F3AD3" w:rsidP="000F3AD3">
      <w:pPr>
        <w:keepNext/>
        <w:spacing w:before="240" w:after="120"/>
        <w:rPr>
          <w:rFonts w:ascii="Roboto" w:hAnsi="Roboto"/>
          <w:b/>
          <w:color w:val="242C37"/>
          <w:sz w:val="28"/>
        </w:rPr>
      </w:pPr>
      <w:r w:rsidRPr="00EE4741">
        <w:rPr>
          <w:rFonts w:ascii="Roboto" w:hAnsi="Roboto"/>
          <w:b/>
          <w:color w:val="242C37"/>
          <w:sz w:val="28"/>
        </w:rPr>
        <w:t>References / Bibliography</w:t>
      </w:r>
    </w:p>
    <w:p w14:paraId="4BB3E3F5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Bard, E., Miramont, C., Capano, M., Guibal, F., Marschal, T., Kromer, M., Hoffmann, G., Tuna, A., Fagault, Y., Heaton, L., &amp; Timothy, A. (2023). A largest-ever solar storm identified in Late Glacial tree rings from the French Alps.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Philosophical Transactions of the Royal Society A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381(2261), 20220206.</w:t>
      </w:r>
    </w:p>
    <w:p w14:paraId="4F3D0153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Bogard, D. D., &amp; Garrison, D. H. (1998). Relative abundances of krypton and xenon isotopes in the Martian atmosphere: Refinement from shock-melt glass inclusions in shergottites.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Geochimica et Cosmochimica Acta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62(11), 1829–1846.</w:t>
      </w:r>
    </w:p>
    <w:p w14:paraId="7268A664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Brakenridge, G. R. (2021). Solar system exposure to supernova radiation: Terrestrial fingerprints and the radiocarbon record.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International Journal of Astrobiology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20(1), 45–59.</w:t>
      </w:r>
    </w:p>
    <w:p w14:paraId="33C430FB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Brakenridge, G. R. (2025). Late Quaternary supernovae in Earth history.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Monthly Notices of the Royal Astronomical Society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539(4), 3201–3215.</w:t>
      </w:r>
    </w:p>
    <w:p w14:paraId="0897E155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Chen, Z., Jowitt, S. M., et al. (2020). Paleomagnetic evidence for the Gothenburg geomagnetic excursion during the Pleistocene–Holocene transition recorded in the Paleo-Danyang Lake, eastern China.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Journal of Asian Earth Sciences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201, 104140.</w:t>
      </w:r>
    </w:p>
    <w:p w14:paraId="45AC2CAE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Conrad, P. G., Malespin, C. A., Franz, H. B., Pepin, R. O., Stern, J. C., Schwenzer, P. R., Pratt, B. D., &amp; Mahaffy, P. R. (2016). In situ measurement of atmospheric krypton and xenon on Mars with Mars Science Laboratory.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Earth and Planetary Science Letters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454, 1–9.</w:t>
      </w:r>
    </w:p>
    <w:p w14:paraId="793AEEE4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Curry, S. M., Luhmann, J. G., Dong, C., &amp; Jakosky, B. M. (2024). First direct observations of atmospheric sputtering at Mars using multi-instrument NGIMS and STATIC ion packages.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Science Advances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10(14), eadt1538.</w:t>
      </w:r>
    </w:p>
    <w:p w14:paraId="64EB9F4E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Fuentes, F., Castro, E., Cáceres, O., González, M. J., &amp; Saavedra, C. P. (2014). Perchlorate levels in soil and waters from the Atacama Desert.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Environmental Geochemistry and Health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36(2), 290–2,565.</w:t>
      </w:r>
    </w:p>
    <w:p w14:paraId="3E4B648E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Gellert, R., Rieder, J., Brückner, J., Clark, B. C., Dreibus, G., Klingelhöfer, G., Lugmair, G., &amp; Squyres, S. W. (2006). Alpha Particle X-Ray Spectrometer (APXS) surface measurements: Chlorine distribution and elemental analysis of regolith matrices in Gusev Crater.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Journal of Geophysical Research: Planets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111(E2), E02S05.</w:t>
      </w:r>
    </w:p>
    <w:p w14:paraId="6D5D60AB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Hecht, M. H., Kounaves, S. P., Quinn, R. C., West, S. J., &amp; Clark, B. C. (2009). Detection of perchlorate and the soluble chemistry of Martian regolith at the Phoenix landing site.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Science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325(5936), 64–67.</w:t>
      </w:r>
    </w:p>
    <w:p w14:paraId="32526C18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Hernández-Bernal, J., et al. (2026). Homogeneous ice Nucleation from Water Vapour Suggested by Elongated Clouds on Mars.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Nature Geoscience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1F09A4D2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Jackson, W. A., Davila, A. F., Sears, D. W. G., Coates, J. D., McKay, C. P., Brundrett, M., Estrada, N., &amp; Bohlke, J. K. (2015). Widespread occurrence of (per)chlorate in the Solar System.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Earth and Planetary Science Letters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430, 470–476.</w:t>
      </w:r>
    </w:p>
    <w:p w14:paraId="5004C66F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>Jakosky, B. M., Slipski, M., Benna, M., Mahaffy, P. R., &amp; Elrod, M. K. (2017). Mars' atmospheric history derived from upper-atmosphere measurements of ³</w:t>
      </w:r>
      <w:r w:rsidRPr="006E798A">
        <w:rPr>
          <w:rFonts w:ascii="Cambria Math" w:eastAsia="Times New Roman" w:hAnsi="Cambria Math" w:cs="Cambria Math"/>
          <w:kern w:val="0"/>
          <w14:ligatures w14:val="none"/>
        </w:rPr>
        <w:t>⁸</w:t>
      </w:r>
      <w:r w:rsidRPr="006E798A">
        <w:rPr>
          <w:rFonts w:ascii="Roboto" w:eastAsia="Times New Roman" w:hAnsi="Roboto" w:cs="Times New Roman"/>
          <w:kern w:val="0"/>
          <w14:ligatures w14:val="none"/>
        </w:rPr>
        <w:t>Ar/</w:t>
      </w:r>
      <w:r w:rsidRPr="006E798A">
        <w:rPr>
          <w:rFonts w:ascii="Roboto" w:eastAsia="Times New Roman" w:hAnsi="Roboto" w:cs="Roboto"/>
          <w:kern w:val="0"/>
          <w14:ligatures w14:val="none"/>
        </w:rPr>
        <w:t>³</w:t>
      </w:r>
      <w:r w:rsidRPr="006E798A">
        <w:rPr>
          <w:rFonts w:ascii="Cambria Math" w:eastAsia="Times New Roman" w:hAnsi="Cambria Math" w:cs="Cambria Math"/>
          <w:kern w:val="0"/>
          <w14:ligatures w14:val="none"/>
        </w:rPr>
        <w:t>⁶</w:t>
      </w: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Ar.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Science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355(6332), 1408–1410.</w:t>
      </w:r>
    </w:p>
    <w:p w14:paraId="623D685D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Kounaves, S. P., Carre, M. V. M., B. A. O'Neil, Stroble, G. D., &amp; Claire, M. W. (2014). Evidence of Martian perchlorate, chlorate, and nitrate in Mars meteorite EETA79001: Implications for oxidants and organics.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Icarus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229, 206–213.</w:t>
      </w:r>
    </w:p>
    <w:p w14:paraId="68D9A208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Mahaffy, P. R., Webster, C. R., Atreya, S. K., Franz, H. B., &amp; Wong, M. (2013). Abundance and isotopic composition of gases in the Martian atmosphere from the Curiosity Rover’s Sample Analysis at Mars (SAM) instrument suite.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Science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341(6143), 263–266.</w:t>
      </w:r>
    </w:p>
    <w:p w14:paraId="0029FC7B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Marty, K. (2012). The primordial noble gas signature of the Earth-Moon system: Constraints from solar wind implantation and meteoritic volatile records.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Science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336(6084), 1011–1014.</w:t>
      </w:r>
    </w:p>
    <w:p w14:paraId="65C7998D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Miyake, F., Nagaya, K., Masuda, K., &amp; Nakamura, T. (2012). A signature of cosmic-ray intensity </w:t>
      </w:r>
      <w:proofErr w:type="gramStart"/>
      <w:r w:rsidRPr="006E798A">
        <w:rPr>
          <w:rFonts w:ascii="Roboto" w:eastAsia="Times New Roman" w:hAnsi="Roboto" w:cs="Times New Roman"/>
          <w:kern w:val="0"/>
          <w14:ligatures w14:val="none"/>
        </w:rPr>
        <w:t>increase</w:t>
      </w:r>
      <w:proofErr w:type="gramEnd"/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 in BC 12</w:t>
      </w:r>
      <w:r>
        <w:rPr>
          <w:rFonts w:ascii="Roboto" w:eastAsia="Times New Roman" w:hAnsi="Roboto" w:cs="Times New Roman"/>
          <w:kern w:val="0"/>
          <w14:ligatures w14:val="none"/>
        </w:rPr>
        <w:t>,</w:t>
      </w: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350 recorded in annual tree rings.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Nature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486(7402), 240–242.</w:t>
      </w:r>
    </w:p>
    <w:p w14:paraId="355AB022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Mörner, N. A. (1977). The Gothenburg Magnetic Excursion.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Quaternary Research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7(3), 413–427.</w:t>
      </w:r>
    </w:p>
    <w:p w14:paraId="7323DE84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Mörner, N. A., &amp; Lanser, J. P. (1974). Gothenburg magnetic ‘flip’.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Nature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251, 408–409.</w:t>
      </w:r>
    </w:p>
    <w:p w14:paraId="421C69CF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Mörner, N. A., Lanser, J. P., &amp; Hospers, J. (1971). Late Weichselian paleomagnetic reversal.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Nature Physical Science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234, 173–174.</w:t>
      </w:r>
    </w:p>
    <w:p w14:paraId="57140DC7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NASA Planetary Data System (PDS). (2026).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Mars Science Laboratory Sample Analysis at Mars (SAM) Quadrupole Mass Spectrometer Evolved Gas Analysis Archive Product User Guide (Version 4.2)</w:t>
      </w:r>
      <w:r w:rsidRPr="006E798A">
        <w:rPr>
          <w:rFonts w:ascii="Roboto" w:eastAsia="Times New Roman" w:hAnsi="Roboto" w:cs="Times New Roman"/>
          <w:kern w:val="0"/>
          <w14:ligatures w14:val="none"/>
        </w:rPr>
        <w:t>. NASA Headquarters. nmsu.edu</w:t>
      </w:r>
    </w:p>
    <w:p w14:paraId="3761747E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NOAA National Centers for Environmental Information (NCEI) Paleoclimatology Dataset. (2025).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International Tree-Ring Data Bank (ITRDB) and GISP2 Central Greenland Temperature Reconstruction Chronologies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. World Data Service for Paleoclimatology. noaa.gov</w:t>
      </w:r>
    </w:p>
    <w:p w14:paraId="30BEE083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Nowaczyk, N. R., et al. (2025). Potential geomagnetic instability during the Last Deglaciation: High-resolution paleomagnetic evidence from the South China Sea.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Journal of Geophysical Research: Solid Earth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130(2), e2024JB030137.</w:t>
      </w:r>
    </w:p>
    <w:p w14:paraId="25B7DA28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Panyushkina, I. P., Fonti, M. V., Shishov, V. V., &amp; Myglan, V. S. (2025). Arctic-alpine larch biome sensitivity to late-Quaternary solar cosmic ray influx events using subfossil Larix sibirica chronologies.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Biogeosciences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22(4), 901–915.</w:t>
      </w:r>
    </w:p>
    <w:p w14:paraId="1938FED6" w14:textId="77777777" w:rsidR="000F3AD3" w:rsidRPr="006E798A" w:rsidRDefault="000F3AD3" w:rsidP="000F3AD3">
      <w:pPr>
        <w:spacing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E798A">
        <w:rPr>
          <w:rFonts w:ascii="Roboto" w:eastAsia="Times New Roman" w:hAnsi="Roboto" w:cs="Times New Roman"/>
          <w:kern w:val="0"/>
          <w14:ligatures w14:val="none"/>
        </w:rPr>
        <w:t xml:space="preserve">Usoskin, I., Rozanov, E., Sukhodolov, T., Mishev, M., &amp; Koldobskiy, S. (2025). Chemistry-climate modeling of extreme solar particle events under ancient atmospheric scenarios: The 12,350 BCE event horizon. </w:t>
      </w:r>
      <w:r w:rsidRPr="006E798A">
        <w:rPr>
          <w:rFonts w:ascii="Roboto" w:eastAsia="Times New Roman" w:hAnsi="Roboto" w:cs="Times New Roman"/>
          <w:i/>
          <w:iCs/>
          <w:kern w:val="0"/>
          <w14:ligatures w14:val="none"/>
        </w:rPr>
        <w:t>Journal of Geophysical Research: Space Physics</w:t>
      </w:r>
      <w:r w:rsidRPr="006E798A">
        <w:rPr>
          <w:rFonts w:ascii="Roboto" w:eastAsia="Times New Roman" w:hAnsi="Roboto" w:cs="Times New Roman"/>
          <w:kern w:val="0"/>
          <w14:ligatures w14:val="none"/>
        </w:rPr>
        <w:t>, 130(5), e2024JA032911.</w:t>
      </w:r>
    </w:p>
    <w:p w14:paraId="32D9ED47" w14:textId="77777777" w:rsidR="002D4D3E" w:rsidRDefault="002D4D3E"/>
    <w:sectPr w:rsidR="002D4D3E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D3"/>
    <w:rsid w:val="000F3AD3"/>
    <w:rsid w:val="00220FF2"/>
    <w:rsid w:val="002D4D3E"/>
    <w:rsid w:val="002F267D"/>
    <w:rsid w:val="0034494E"/>
    <w:rsid w:val="003639AD"/>
    <w:rsid w:val="003C78F0"/>
    <w:rsid w:val="005D074A"/>
    <w:rsid w:val="006932CA"/>
    <w:rsid w:val="008613B8"/>
    <w:rsid w:val="00891870"/>
    <w:rsid w:val="00EC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3EF0"/>
  <w15:chartTrackingRefBased/>
  <w15:docId w15:val="{20E8BDBE-9D1C-4CAD-9EFB-E3806BBB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AD3"/>
  </w:style>
  <w:style w:type="paragraph" w:styleId="Heading1">
    <w:name w:val="heading 1"/>
    <w:basedOn w:val="Normal"/>
    <w:next w:val="Normal"/>
    <w:link w:val="Heading1Char"/>
    <w:uiPriority w:val="9"/>
    <w:qFormat/>
    <w:rsid w:val="000F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1</cp:revision>
  <dcterms:created xsi:type="dcterms:W3CDTF">2026-10-20T06:44:00Z</dcterms:created>
  <dcterms:modified xsi:type="dcterms:W3CDTF">2026-10-20T06:45:00Z</dcterms:modified>
</cp:coreProperties>
</file>