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D916" w14:textId="77777777" w:rsidR="006B2055" w:rsidRDefault="006B2055" w:rsidP="006B2055">
      <w:pPr>
        <w:spacing w:before="480" w:after="480" w:line="240" w:lineRule="auto"/>
        <w:rPr>
          <w:rFonts w:ascii="Roboto" w:eastAsia="Times New Roman" w:hAnsi="Roboto" w:cs="Times New Roman"/>
          <w:b/>
          <w:bCs/>
          <w:kern w:val="0"/>
          <w14:ligatures w14:val="none"/>
        </w:rPr>
      </w:pPr>
      <w:r w:rsidRPr="00BF10C4">
        <w:rPr>
          <w:rFonts w:ascii="Roboto" w:eastAsia="Times New Roman" w:hAnsi="Roboto" w:cs="Times New Roman"/>
          <w:b/>
          <w:bCs/>
          <w:kern w:val="0"/>
          <w:sz w:val="32"/>
          <w:szCs w:val="32"/>
          <w14:ligatures w14:val="none"/>
        </w:rPr>
        <w:t>List of Figure Captions</w:t>
      </w:r>
    </w:p>
    <w:p w14:paraId="2802F7E9" w14:textId="77777777" w:rsidR="006B2055" w:rsidRPr="00EE0845" w:rsidRDefault="006B2055" w:rsidP="006B2055">
      <w:pPr>
        <w:rPr>
          <w:rFonts w:ascii="Roboto" w:hAnsi="Roboto"/>
        </w:rPr>
      </w:pPr>
      <w:r w:rsidRPr="00EE0845">
        <w:rPr>
          <w:rFonts w:ascii="Roboto" w:hAnsi="Roboto"/>
          <w:b/>
          <w:bCs/>
        </w:rPr>
        <w:t>Figure 1.</w:t>
      </w:r>
      <w:r w:rsidRPr="00EE0845">
        <w:rPr>
          <w:rFonts w:ascii="Roboto" w:hAnsi="Roboto"/>
        </w:rPr>
        <w:t xml:space="preserve"> </w:t>
      </w:r>
      <w:r w:rsidRPr="00EE0845">
        <w:rPr>
          <w:rFonts w:ascii="Roboto" w:hAnsi="Roboto"/>
          <w:b/>
          <w:bCs/>
        </w:rPr>
        <w:t xml:space="preserve">Dual-Planetary Cosmogenic, Geochemical, and Paleothermal Anomalies Across the Late Pleistocene Horizon. </w:t>
      </w:r>
    </w:p>
    <w:p w14:paraId="14ED7419" w14:textId="77777777" w:rsidR="006B2055" w:rsidRPr="00EE0845" w:rsidRDefault="006B2055" w:rsidP="006B2055">
      <w:pPr>
        <w:spacing w:after="0" w:line="240" w:lineRule="auto"/>
        <w:rPr>
          <w:rFonts w:ascii="Roboto" w:hAnsi="Roboto"/>
          <w:b/>
          <w:bCs/>
        </w:rPr>
      </w:pPr>
      <w:r w:rsidRPr="00EE0845">
        <w:rPr>
          <w:rFonts w:ascii="Roboto" w:hAnsi="Roboto"/>
          <w:b/>
          <w:bCs/>
        </w:rPr>
        <w:t>Stacked, chronologically calibrated timeline comparison mapping high-frequency raw signal tracks for Earth and Mars across a common historical axis (16,000 BCE to 8,000 BCE).</w:t>
      </w:r>
    </w:p>
    <w:p w14:paraId="748B9D60" w14:textId="77777777" w:rsidR="006B2055" w:rsidRPr="00EE0845" w:rsidRDefault="006B2055" w:rsidP="006B2055">
      <w:pPr>
        <w:spacing w:after="0" w:line="240" w:lineRule="auto"/>
        <w:rPr>
          <w:rFonts w:ascii="Roboto" w:hAnsi="Roboto"/>
          <w:b/>
          <w:bCs/>
        </w:rPr>
      </w:pPr>
    </w:p>
    <w:p w14:paraId="2B2151DB" w14:textId="77777777" w:rsidR="006B2055" w:rsidRPr="00EE0845" w:rsidRDefault="006B2055" w:rsidP="006B2055">
      <w:pPr>
        <w:spacing w:after="0" w:line="240" w:lineRule="auto"/>
        <w:rPr>
          <w:rFonts w:ascii="Roboto" w:hAnsi="Roboto"/>
        </w:rPr>
      </w:pPr>
      <w:r w:rsidRPr="00EE0845">
        <w:rPr>
          <w:rFonts w:ascii="Roboto" w:hAnsi="Roboto"/>
          <w:b/>
          <w:bCs/>
        </w:rPr>
        <w:t>Upper Panel White Box Outline (Earth Proxy Biosphere &amp; Paleothermal Data):</w:t>
      </w:r>
    </w:p>
    <w:p w14:paraId="384DFA47" w14:textId="77777777" w:rsidR="006B2055" w:rsidRPr="00EE0845" w:rsidRDefault="006B2055" w:rsidP="006B2055">
      <w:pPr>
        <w:spacing w:after="0" w:line="240" w:lineRule="auto"/>
        <w:rPr>
          <w:rFonts w:ascii="Roboto" w:hAnsi="Roboto"/>
        </w:rPr>
      </w:pPr>
      <w:r w:rsidRPr="00EE0845">
        <w:rPr>
          <w:rFonts w:ascii="Roboto" w:hAnsi="Roboto"/>
        </w:rPr>
        <w:t xml:space="preserve">High-frequency raw variance tracking steady-state terrestrial biosphere baselines alongside paleothermal ice core records. The high-frequency (peach colored) curve traces the NOAA/WDS Paleoclimatology GISP2 Central Greenland Temperature Reconstruction anomaly across the 16,000 BCE to 8,000 BCE chronological window, registering an abrupt upstep warming anomaly corresponding to the Bølling-Allerød Warm Period interstadial baseline (12,700 BCE to 10,900 BCE) , a rolling pre-collapse decay over the (olive green-brown) colored Vela Supernova pre-loading range (12,760 BCE to 12,529 BCE), and an immediate, catastrophic temperature plunge directly into the Younger Dryas freeze valley at the 12,350 BCE Miyake impact datum line. Concurrently, the independent radionuclide tracks display the sharp atmospheric synthesis of </w:t>
      </w:r>
      <w:r w:rsidRPr="00EE0845">
        <w:rPr>
          <w:rFonts w:ascii="Roboto" w:hAnsi="Roboto"/>
          <w:b/>
          <w:bCs/>
        </w:rPr>
        <w:t>Carbon-14</w:t>
      </w:r>
      <w:r w:rsidRPr="00EE0845">
        <w:rPr>
          <w:rFonts w:ascii="Roboto" w:hAnsi="Roboto"/>
        </w:rPr>
        <w:t xml:space="preserve"> (¹⁴C) and </w:t>
      </w:r>
      <w:r w:rsidRPr="00EE0845">
        <w:rPr>
          <w:rFonts w:ascii="Roboto" w:hAnsi="Roboto"/>
          <w:b/>
          <w:bCs/>
        </w:rPr>
        <w:t>Beryllium-10</w:t>
      </w:r>
      <w:r w:rsidRPr="00EE0845">
        <w:rPr>
          <w:rFonts w:ascii="Roboto" w:hAnsi="Roboto"/>
        </w:rPr>
        <w:t xml:space="preserve"> (¹</w:t>
      </w:r>
      <w:r w:rsidRPr="00EE0845">
        <w:rPr>
          <w:rFonts w:ascii="Cambria Math" w:hAnsi="Cambria Math" w:cs="Cambria Math"/>
        </w:rPr>
        <w:t>⁰</w:t>
      </w:r>
      <w:r w:rsidRPr="00EE0845">
        <w:rPr>
          <w:rFonts w:ascii="Roboto" w:hAnsi="Roboto"/>
        </w:rPr>
        <w:t>Be) spiking at the red-and-black dashed vertical Miyake (ESPS) Shock Line, relaxing exponentially toward the 9,700 BCE climate boundary.</w:t>
      </w:r>
    </w:p>
    <w:p w14:paraId="228746B8" w14:textId="77777777" w:rsidR="006B2055" w:rsidRPr="00EE0845" w:rsidRDefault="006B2055" w:rsidP="006B2055">
      <w:pPr>
        <w:spacing w:after="0" w:line="240" w:lineRule="auto"/>
        <w:rPr>
          <w:rFonts w:ascii="Roboto" w:hAnsi="Roboto"/>
        </w:rPr>
      </w:pPr>
    </w:p>
    <w:p w14:paraId="3AB0BAEA" w14:textId="77777777" w:rsidR="006B2055" w:rsidRPr="00EE0845" w:rsidRDefault="006B2055" w:rsidP="006B2055">
      <w:pPr>
        <w:spacing w:after="0" w:line="240" w:lineRule="auto"/>
        <w:rPr>
          <w:rFonts w:ascii="Roboto" w:hAnsi="Roboto"/>
        </w:rPr>
      </w:pPr>
      <w:r w:rsidRPr="00EE0845">
        <w:rPr>
          <w:rFonts w:ascii="Roboto" w:hAnsi="Roboto"/>
          <w:b/>
          <w:bCs/>
        </w:rPr>
        <w:t>Lower Panel Red Box Outline (Mars Regolith Oxidation Model):</w:t>
      </w:r>
    </w:p>
    <w:p w14:paraId="28FF7415" w14:textId="77777777" w:rsidR="006B2055" w:rsidRDefault="006B2055" w:rsidP="006B2055">
      <w:pPr>
        <w:spacing w:after="0" w:line="240" w:lineRule="auto"/>
      </w:pPr>
      <w:r w:rsidRPr="00EE0845">
        <w:rPr>
          <w:rFonts w:ascii="Roboto" w:hAnsi="Roboto"/>
        </w:rPr>
        <w:t>Stacked, time-series layout mapping simultaneous Martian geochemical step-functions subjected to the identical cosmic timeline. At the 12,350 BCE event horizon, the unmitigated energetic proton flux overtops planetary buffers to drive a permanent non-equilibrium bifurcation. The white trace tracks the abrupt structural rise in Carbon Dioxide (CO</w:t>
      </w:r>
      <w:r w:rsidRPr="00EE0845">
        <w:rPr>
          <w:rFonts w:ascii="Cambria Math" w:hAnsi="Cambria Math" w:cs="Cambria Math"/>
        </w:rPr>
        <w:t>₂</w:t>
      </w:r>
      <w:r w:rsidRPr="00EE0845">
        <w:rPr>
          <w:rFonts w:ascii="Roboto" w:hAnsi="Roboto"/>
        </w:rPr>
        <w:t>) Fixation (white trace) resulting from runaway biomass/methane combustion, while the lower yellow trace charts the parallel path of accelerated Perchlorate (ClO</w:t>
      </w:r>
      <w:r w:rsidRPr="00EE0845">
        <w:rPr>
          <w:rFonts w:ascii="Cambria Math" w:hAnsi="Cambria Math" w:cs="Cambria Math"/>
        </w:rPr>
        <w:t>₄⁻</w:t>
      </w:r>
      <w:r w:rsidRPr="00EE0845">
        <w:rPr>
          <w:rFonts w:ascii="Roboto" w:hAnsi="Roboto"/>
        </w:rPr>
        <w:t>) Accumulation  (yellow trace) within the near-surface regolith layers.</w:t>
      </w:r>
      <w:r>
        <w:t xml:space="preserve"> </w:t>
      </w:r>
    </w:p>
    <w:p w14:paraId="6B1511A2" w14:textId="77777777" w:rsidR="006B2055" w:rsidRDefault="006B2055" w:rsidP="006B2055"/>
    <w:p w14:paraId="2252630C" w14:textId="77777777" w:rsidR="006B2055" w:rsidRPr="00EE0845" w:rsidRDefault="006B2055" w:rsidP="006B2055">
      <w:pPr>
        <w:rPr>
          <w:rFonts w:ascii="Roboto" w:hAnsi="Roboto"/>
        </w:rPr>
      </w:pPr>
      <w:r w:rsidRPr="00EE0845">
        <w:rPr>
          <w:rFonts w:ascii="Roboto" w:hAnsi="Roboto"/>
          <w:b/>
          <w:bCs/>
        </w:rPr>
        <w:t>Figure 2.</w:t>
      </w:r>
      <w:r w:rsidRPr="00EE0845">
        <w:rPr>
          <w:rFonts w:ascii="Roboto" w:hAnsi="Roboto"/>
        </w:rPr>
        <w:t xml:space="preserve">  </w:t>
      </w:r>
      <w:r w:rsidRPr="00EE0845">
        <w:rPr>
          <w:rFonts w:ascii="Roboto" w:eastAsia="Times New Roman" w:hAnsi="Roboto" w:cs="Times New Roman"/>
          <w:b/>
          <w:bCs/>
          <w:kern w:val="0"/>
          <w14:ligatures w14:val="none"/>
        </w:rPr>
        <w:t>Earth (left) and Mars (right) as viewed today.</w:t>
      </w:r>
      <w:r w:rsidRPr="00EE0845">
        <w:rPr>
          <w:rFonts w:ascii="Roboto" w:eastAsia="Times New Roman" w:hAnsi="Roboto" w:cs="Times New Roman"/>
          <w:kern w:val="0"/>
          <w14:ligatures w14:val="none"/>
        </w:rPr>
        <w:t> </w:t>
      </w:r>
    </w:p>
    <w:p w14:paraId="4DAE8C1D" w14:textId="77777777" w:rsidR="006B2055" w:rsidRPr="00EE0845" w:rsidRDefault="006B2055" w:rsidP="006B2055">
      <w:pPr>
        <w:rPr>
          <w:rFonts w:ascii="Roboto" w:hAnsi="Roboto"/>
        </w:rPr>
      </w:pPr>
    </w:p>
    <w:p w14:paraId="3C421CB0" w14:textId="77777777" w:rsidR="006B2055" w:rsidRDefault="006B2055" w:rsidP="006B2055">
      <w:pPr>
        <w:spacing w:line="240" w:lineRule="auto"/>
      </w:pPr>
      <w:r w:rsidRPr="00EE0845">
        <w:rPr>
          <w:rFonts w:ascii="Roboto" w:hAnsi="Roboto"/>
          <w:b/>
          <w:bCs/>
        </w:rPr>
        <w:t>Figure 3.</w:t>
      </w:r>
      <w:r w:rsidRPr="00EE0845">
        <w:rPr>
          <w:rFonts w:ascii="Roboto" w:hAnsi="Roboto"/>
        </w:rPr>
        <w:t xml:space="preserve"> </w:t>
      </w:r>
      <w:r w:rsidRPr="00EE0845">
        <w:rPr>
          <w:rFonts w:ascii="Roboto" w:eastAsia="Times New Roman" w:hAnsi="Roboto" w:cs="Times New Roman"/>
          <w:b/>
          <w:bCs/>
          <w:kern w:val="0"/>
          <w14:ligatures w14:val="none"/>
        </w:rPr>
        <w:t xml:space="preserve">Earth and Mars as Imagined before simultaneous Miyake strike in 12,350 BCE </w:t>
      </w:r>
      <w:r w:rsidRPr="00EE0845">
        <w:rPr>
          <w:rFonts w:ascii="Roboto" w:eastAsia="Times New Roman" w:hAnsi="Roboto" w:cs="Times New Roman"/>
          <w:b/>
          <w:bCs/>
          <w:kern w:val="0"/>
          <w14:ligatures w14:val="none"/>
        </w:rPr>
        <w:br/>
      </w:r>
      <w:r w:rsidRPr="00EE0845">
        <w:rPr>
          <w:rFonts w:ascii="Roboto" w:hAnsi="Roboto"/>
          <w:b/>
          <w:bCs/>
        </w:rPr>
        <w:t xml:space="preserve">with Mars having blue lake system in a primordial state (prior to 12,350 BCE). </w:t>
      </w:r>
    </w:p>
    <w:p w14:paraId="4F5351D8" w14:textId="77777777" w:rsidR="006B2055" w:rsidRDefault="006B2055" w:rsidP="006B2055"/>
    <w:p w14:paraId="4A77B75D" w14:textId="77777777" w:rsidR="006B2055" w:rsidRPr="00EE0845" w:rsidRDefault="006B2055" w:rsidP="006B2055">
      <w:pPr>
        <w:spacing w:line="240" w:lineRule="auto"/>
        <w:rPr>
          <w:rFonts w:ascii="Roboto" w:eastAsia="Times New Roman" w:hAnsi="Roboto" w:cs="Times New Roman"/>
          <w:b/>
          <w:bCs/>
          <w:kern w:val="0"/>
          <w14:ligatures w14:val="none"/>
        </w:rPr>
      </w:pPr>
      <w:r w:rsidRPr="00EE0845">
        <w:rPr>
          <w:rFonts w:ascii="Roboto" w:hAnsi="Roboto"/>
          <w:b/>
          <w:bCs/>
        </w:rPr>
        <w:t>Figure 4.</w:t>
      </w:r>
      <w:r w:rsidRPr="00EE0845">
        <w:rPr>
          <w:rFonts w:ascii="Roboto" w:eastAsia="Times New Roman" w:hAnsi="Roboto" w:cs="Times New Roman"/>
          <w:b/>
          <w:bCs/>
          <w:kern w:val="0"/>
          <w14:ligatures w14:val="none"/>
        </w:rPr>
        <w:t xml:space="preserve"> Three-Dimensional Isometric Schematic of Interplanetary Magnetic Field (IMF) Parker Spiral Alignment and Wavefront Geometry During the 12,350 BCE Miyake ESPS Event. </w:t>
      </w:r>
      <w:r w:rsidRPr="00EE0845">
        <w:rPr>
          <w:rFonts w:ascii="Roboto" w:eastAsia="Times New Roman" w:hAnsi="Roboto" w:cs="Times New Roman"/>
          <w:b/>
          <w:bCs/>
          <w:kern w:val="0"/>
          <w14:ligatures w14:val="none"/>
        </w:rPr>
        <w:br/>
      </w:r>
      <w:r w:rsidRPr="00EE0845">
        <w:rPr>
          <w:rFonts w:ascii="Roboto" w:eastAsia="Times New Roman" w:hAnsi="Roboto" w:cs="Times New Roman"/>
          <w:kern w:val="0"/>
          <w14:ligatures w14:val="none"/>
        </w:rPr>
        <w:br/>
        <w:t>This heliophysics model illustrates the spatial and orbital configurations of Earth (1.0 AU) and Mars (~1.52 AU) during the onset of the ultra-high-energy Class 9 Extreme Solar Particle Storm (ESPS) Event. The Archimedean Parker Spiral topology—governed by a high solar wind velocity regime (υ</w:t>
      </w:r>
      <w:r w:rsidRPr="00EE0845">
        <w:rPr>
          <w:rFonts w:ascii="Cambria Math" w:eastAsia="Times New Roman" w:hAnsi="Cambria Math" w:cs="Cambria Math"/>
          <w:kern w:val="0"/>
          <w:vertAlign w:val="subscript"/>
          <w14:ligatures w14:val="none"/>
        </w:rPr>
        <w:t>𝑠𝑤</w:t>
      </w:r>
      <w:r w:rsidRPr="00EE0845">
        <w:rPr>
          <w:rFonts w:ascii="Roboto" w:eastAsia="Times New Roman" w:hAnsi="Roboto" w:cs="Times New Roman"/>
          <w:kern w:val="0"/>
          <w14:ligatures w14:val="none"/>
        </w:rPr>
        <w:t xml:space="preserve"> ≈ 800 km/s)—maps a highly coherent, magnetically conjugated transport highway linking the active solar region directly to both planetary magnetospheric boundaries. The shaded wedge (orange color) represents the ~120-degree macro-scale anisotropic emission profile of the relativistic proton flux. Because both planets occupied the same heliospheric quadrant along the corotating IMF streamlines, they were subjected to a simultaneous cosmic ray bombardment. Straight indicator vectors denote the path of the high-energy solar protons overtopping the terrestrial and Martian upper atmospheres. The dashed (white) concentric lines delineate the orbital planes, demonstrating how the wide-angle </w:t>
      </w:r>
      <w:r w:rsidRPr="00EE0845">
        <w:rPr>
          <w:rFonts w:ascii="Roboto" w:eastAsia="Times New Roman" w:hAnsi="Roboto" w:cs="Times New Roman"/>
          <w:kern w:val="0"/>
          <w14:ligatures w14:val="none"/>
        </w:rPr>
        <w:lastRenderedPageBreak/>
        <w:t>magnetic reconnection event overran the orbital separation distance to deliver a synchronized, system-wide radiative and electromagnetic shock to the inner Solar System. </w:t>
      </w:r>
    </w:p>
    <w:p w14:paraId="6DC25A33" w14:textId="77777777" w:rsidR="006B2055" w:rsidRPr="00EE0845" w:rsidRDefault="006B2055" w:rsidP="006B2055">
      <w:pPr>
        <w:spacing w:after="0" w:line="240" w:lineRule="auto"/>
        <w:rPr>
          <w:rFonts w:ascii="Roboto" w:eastAsia="Times New Roman" w:hAnsi="Roboto" w:cs="Times New Roman"/>
          <w:kern w:val="0"/>
          <w14:ligatures w14:val="none"/>
        </w:rPr>
      </w:pPr>
      <w:r w:rsidRPr="00EE0845">
        <w:rPr>
          <w:rFonts w:ascii="Roboto" w:eastAsia="Times New Roman" w:hAnsi="Roboto" w:cs="Times New Roman"/>
          <w:kern w:val="0"/>
          <w14:ligatures w14:val="none"/>
        </w:rPr>
        <w:t>Recent discoveries in dendrochronology (tree-ring analysis) have confirmed that a record-shattering Class 9 Miyake Extreme Solar Particle Storm (ESPS) event did occur precisely in 12,350 BCE (approximately 14,300 years ago), making it the most powerful solar particle storm ever identified in Earth's history. Scenarios and evidential data that support the premise that Earth and Mars were struck simultaneously by the Class 9 Miyake Extreme Solar Particle Storm ESPS) event are discussed in this paper.</w:t>
      </w:r>
      <w:r w:rsidRPr="00C213E1">
        <w:rPr>
          <w:rFonts w:ascii="Roboto" w:eastAsia="Times New Roman" w:hAnsi="Roboto" w:cs="Times New Roman"/>
          <w:kern w:val="0"/>
          <w14:ligatures w14:val="none"/>
        </w:rPr>
        <w:t> </w:t>
      </w:r>
    </w:p>
    <w:p w14:paraId="540B5A8D" w14:textId="77777777" w:rsidR="006B2055" w:rsidRDefault="006B2055" w:rsidP="006B2055"/>
    <w:p w14:paraId="529DAF29" w14:textId="77777777" w:rsidR="006B2055" w:rsidRPr="00EE0845" w:rsidRDefault="006B2055" w:rsidP="006B2055">
      <w:pPr>
        <w:spacing w:line="240" w:lineRule="auto"/>
        <w:rPr>
          <w:rFonts w:ascii="Roboto" w:eastAsia="Times New Roman" w:hAnsi="Roboto" w:cs="Times New Roman"/>
          <w:b/>
          <w:bCs/>
          <w:color w:val="EE0000"/>
          <w:kern w:val="0"/>
          <w14:ligatures w14:val="none"/>
        </w:rPr>
      </w:pPr>
      <w:r w:rsidRPr="00EE0845">
        <w:rPr>
          <w:rFonts w:ascii="Roboto" w:hAnsi="Roboto"/>
          <w:b/>
          <w:bCs/>
        </w:rPr>
        <w:t>Figure 5.</w:t>
      </w:r>
      <w:r w:rsidRPr="00EE0845">
        <w:rPr>
          <w:rFonts w:ascii="Roboto" w:hAnsi="Roboto"/>
        </w:rPr>
        <w:t xml:space="preserve"> </w:t>
      </w:r>
      <w:r w:rsidRPr="00EE0845">
        <w:rPr>
          <w:rFonts w:ascii="Roboto" w:hAnsi="Roboto"/>
          <w:b/>
          <w:bCs/>
        </w:rPr>
        <w:t>Scenario mapping a Miyake Event striking Mars but failing to cross the Earth .</w:t>
      </w:r>
    </w:p>
    <w:p w14:paraId="06558CDE" w14:textId="77777777" w:rsidR="006B2055" w:rsidRDefault="006B2055" w:rsidP="006B2055"/>
    <w:p w14:paraId="1B09D361" w14:textId="77777777" w:rsidR="006B2055" w:rsidRPr="005F3AA8" w:rsidRDefault="006B2055" w:rsidP="006B2055">
      <w:pPr>
        <w:spacing w:after="0" w:line="240" w:lineRule="auto"/>
        <w:rPr>
          <w:rFonts w:ascii="Roboto" w:hAnsi="Roboto"/>
          <w:b/>
          <w:bCs/>
        </w:rPr>
      </w:pPr>
      <w:r w:rsidRPr="005F3AA8">
        <w:rPr>
          <w:rFonts w:ascii="Roboto" w:hAnsi="Roboto"/>
          <w:b/>
          <w:bCs/>
        </w:rPr>
        <w:t>Figure 6.</w:t>
      </w:r>
      <w:r w:rsidRPr="005F3AA8">
        <w:rPr>
          <w:rFonts w:ascii="Roboto" w:hAnsi="Roboto"/>
        </w:rPr>
        <w:t xml:space="preserve"> </w:t>
      </w:r>
      <w:r w:rsidRPr="005F3AA8">
        <w:rPr>
          <w:rFonts w:ascii="Roboto" w:hAnsi="Roboto"/>
          <w:b/>
          <w:bCs/>
        </w:rPr>
        <w:t>High-Resolution Heliospheric Detail of Unshielded Local Boundary Ionization across the Martian Exosphere.</w:t>
      </w:r>
      <w:r w:rsidRPr="005F3AA8">
        <w:rPr>
          <w:rFonts w:ascii="Roboto" w:hAnsi="Roboto"/>
        </w:rPr>
        <w:t xml:space="preserve"> </w:t>
      </w:r>
    </w:p>
    <w:p w14:paraId="62FEE297" w14:textId="77777777" w:rsidR="006B2055" w:rsidRPr="00A07ED4" w:rsidRDefault="006B2055" w:rsidP="006B2055">
      <w:pPr>
        <w:spacing w:line="240" w:lineRule="auto"/>
        <w:rPr>
          <w:rFonts w:ascii="Roboto" w:hAnsi="Roboto"/>
        </w:rPr>
      </w:pPr>
      <w:r w:rsidRPr="00A07ED4">
        <w:rPr>
          <w:rFonts w:ascii="Roboto" w:hAnsi="Roboto"/>
        </w:rPr>
        <w:t xml:space="preserve">This localized sub-enlargement leverages the macro-scale system geometry established in </w:t>
      </w:r>
      <w:r w:rsidRPr="00A07ED4">
        <w:rPr>
          <w:rFonts w:ascii="Roboto" w:hAnsi="Roboto"/>
          <w:b/>
        </w:rPr>
        <w:t>Figure 4</w:t>
      </w:r>
      <w:r w:rsidRPr="00A07ED4">
        <w:rPr>
          <w:rFonts w:ascii="Roboto" w:hAnsi="Roboto"/>
        </w:rPr>
        <w:t xml:space="preserve"> to explicitly isolate the unshielded interaction boundary at Mars (~1.52 AU). Immersed within the active sector of the 120-Degree Anisotropic CME Wavefront, the planet receives an unmitigated flux of relativistic solar protons with zero structural macro-shielding. As modeled, while the upstream terrestrial magnetosphere (1.0 AU) actively deflects the kinetic shock, the unmagnetized Martian interface undergoes instantaneous global atmospheric ionization.</w:t>
      </w:r>
    </w:p>
    <w:p w14:paraId="67479717" w14:textId="77777777" w:rsidR="006B2055" w:rsidRDefault="006B2055" w:rsidP="006B2055">
      <w:pPr>
        <w:spacing w:line="240" w:lineRule="auto"/>
      </w:pPr>
    </w:p>
    <w:p w14:paraId="407C3E33" w14:textId="77777777" w:rsidR="006B2055" w:rsidRPr="005F3AA8" w:rsidRDefault="006B2055" w:rsidP="006B2055">
      <w:pPr>
        <w:spacing w:line="240" w:lineRule="auto"/>
        <w:rPr>
          <w:rFonts w:ascii="Roboto" w:hAnsi="Roboto"/>
        </w:rPr>
      </w:pPr>
      <w:r w:rsidRPr="005F3AA8">
        <w:rPr>
          <w:b/>
          <w:bCs/>
        </w:rPr>
        <w:t>Figure 7.</w:t>
      </w:r>
      <w:r>
        <w:t xml:space="preserve"> </w:t>
      </w:r>
      <w:r>
        <w:rPr>
          <w:rStyle w:val="Strong"/>
          <w:rFonts w:ascii="Roboto" w:hAnsi="Roboto"/>
        </w:rPr>
        <w:t xml:space="preserve">Scenario Mapping Collinear Earth-Mars Alignment and Partial Magnetospheric Shielding Wake During the 12,350 BCE Miyake Event. </w:t>
      </w:r>
      <w:r>
        <w:rPr>
          <w:rStyle w:val="Strong"/>
          <w:rFonts w:ascii="Roboto" w:hAnsi="Roboto"/>
        </w:rPr>
        <w:br/>
      </w:r>
      <w:r w:rsidRPr="008A71F6">
        <w:rPr>
          <w:rFonts w:ascii="Roboto" w:hAnsi="Roboto"/>
        </w:rPr>
        <w:t>Th</w:t>
      </w:r>
      <w:r>
        <w:rPr>
          <w:rFonts w:ascii="Roboto" w:hAnsi="Roboto"/>
        </w:rPr>
        <w:t>is</w:t>
      </w:r>
      <w:r w:rsidRPr="008A71F6">
        <w:rPr>
          <w:rFonts w:ascii="Roboto" w:hAnsi="Roboto"/>
        </w:rPr>
        <w:t xml:space="preserve"> heliophysics model illustrates a linear </w:t>
      </w:r>
      <w:r w:rsidRPr="000E1F8F">
        <w:rPr>
          <w:rFonts w:ascii="Roboto" w:hAnsi="Roboto"/>
          <w:b/>
          <w:bCs/>
        </w:rPr>
        <w:t>syzygy</w:t>
      </w:r>
      <w:r w:rsidRPr="008A71F6">
        <w:rPr>
          <w:rFonts w:ascii="Roboto" w:hAnsi="Roboto"/>
        </w:rPr>
        <w:t xml:space="preserve"> alignment where Earth (1.0 AU) and Mars (~1.52 AU) occupy the identical radial vector path within the 120-Degree Anisotropic CME Wavefront. As demonstrated, Earth’s full magnetosphere acts as a primary upstream obstacle, absorbing and deflecting the initial wavefront energy. Mars is positioned downstream directly within the structural geometric wake of the terrestrial magnetotail path. This configuration introduces a partial physical shield; however, the unmitigated </w:t>
      </w:r>
      <w:r w:rsidRPr="005F3AA8">
        <w:rPr>
          <w:rFonts w:ascii="Roboto" w:hAnsi="Roboto"/>
        </w:rPr>
        <w:t>relativistic proton stream expands past the terrestrial boundary thresholds, overtopping Mars's weak, partial magnetospheric barrier to drive the surface regolith oxidation cascade.</w:t>
      </w:r>
    </w:p>
    <w:p w14:paraId="796AF321" w14:textId="77777777" w:rsidR="006B2055" w:rsidRPr="005F3AA8" w:rsidRDefault="006B2055" w:rsidP="006B2055">
      <w:pPr>
        <w:rPr>
          <w:rFonts w:ascii="Roboto" w:hAnsi="Roboto"/>
        </w:rPr>
      </w:pPr>
    </w:p>
    <w:p w14:paraId="16FE3991" w14:textId="77777777" w:rsidR="006B2055" w:rsidRPr="005F3AA8" w:rsidRDefault="006B2055" w:rsidP="006B2055">
      <w:pPr>
        <w:spacing w:after="0" w:line="240" w:lineRule="auto"/>
        <w:rPr>
          <w:rFonts w:ascii="Roboto" w:eastAsia="Times New Roman" w:hAnsi="Roboto" w:cs="Times New Roman"/>
          <w:kern w:val="0"/>
          <w14:ligatures w14:val="none"/>
        </w:rPr>
      </w:pPr>
      <w:r w:rsidRPr="005F3AA8">
        <w:rPr>
          <w:rFonts w:ascii="Roboto" w:hAnsi="Roboto"/>
          <w:b/>
          <w:bCs/>
        </w:rPr>
        <w:t>Figure 8.</w:t>
      </w:r>
      <w:r w:rsidRPr="005F3AA8">
        <w:rPr>
          <w:rFonts w:ascii="Roboto" w:hAnsi="Roboto"/>
        </w:rPr>
        <w:t xml:space="preserve"> </w:t>
      </w:r>
      <w:r w:rsidRPr="005F3AA8">
        <w:rPr>
          <w:rFonts w:ascii="Roboto" w:hAnsi="Roboto"/>
          <w:b/>
          <w:bCs/>
        </w:rPr>
        <w:t xml:space="preserve">Heliospheric Schematic of Synodic Gravitational Capture and Orbital Migration Dynamics of the Martian Volatile Ice-Cloud Torus.  </w:t>
      </w:r>
      <w:r w:rsidRPr="005F3AA8">
        <w:rPr>
          <w:rFonts w:ascii="Roboto" w:eastAsia="Times New Roman" w:hAnsi="Roboto" w:cs="Times New Roman"/>
          <w:b/>
          <w:bCs/>
          <w:kern w:val="0"/>
          <w14:ligatures w14:val="none"/>
        </w:rPr>
        <w:br/>
      </w:r>
      <w:r w:rsidRPr="005F3AA8">
        <w:rPr>
          <w:rFonts w:ascii="Roboto" w:hAnsi="Roboto"/>
        </w:rPr>
        <w:t>Top-down heliocentric projection mapping the cross-planetary transport highway connecting the Martian node (~1.52 AU) to the terrestrial interface (1.0 AU). Following the 12,350 BCE event horizon, the flash-volatilized water vapor envelope undergoes instantaneous desublimation in the space vacuum, coalescing into a diffuse, trailing orbital ice-crystal torus along Mars's orbital plane. The vectors demonstrate the inward transport of the micro-ice crystals directed along the corotating Interplanetary Magnetic Field (IMF) Parker Spiral lines. As Earth intersects this expanding debris field during successive 2.13-year synodic opposition cycles, its superior gravitational well functions as a planetary vacuum, sweeping up the core volatile mass within an accelerated window to force the stratospheric water-injection and super-monsoonal cloud-nucleation loops driving the explosive flash-volatilization of active surface water networks across Mars's distributed shallow lake system and northern deltaic flood basins.</w:t>
      </w:r>
    </w:p>
    <w:p w14:paraId="31F33DD4" w14:textId="77777777" w:rsidR="006B2055" w:rsidRPr="005F3AA8" w:rsidRDefault="006B2055" w:rsidP="006B2055">
      <w:pPr>
        <w:spacing w:after="0" w:line="240" w:lineRule="auto"/>
        <w:rPr>
          <w:rFonts w:ascii="Roboto" w:eastAsia="Times New Roman" w:hAnsi="Roboto" w:cs="Times New Roman"/>
          <w:kern w:val="0"/>
          <w14:ligatures w14:val="none"/>
        </w:rPr>
      </w:pPr>
    </w:p>
    <w:p w14:paraId="5B97B2CC" w14:textId="77777777" w:rsidR="006B2055" w:rsidRPr="005F3AA8" w:rsidRDefault="006B2055" w:rsidP="006B2055">
      <w:pPr>
        <w:rPr>
          <w:rFonts w:ascii="Roboto" w:hAnsi="Roboto"/>
        </w:rPr>
      </w:pPr>
      <w:r w:rsidRPr="005F3AA8">
        <w:rPr>
          <w:rFonts w:ascii="Roboto" w:hAnsi="Roboto"/>
          <w:b/>
          <w:bCs/>
        </w:rPr>
        <w:t>Figure 9. Subsurface Stratigraphy and Quantitative Mineralogical Phase Distribution Matrix across the Upper 50 Feet of the Martian Crust .</w:t>
      </w:r>
      <w:r w:rsidRPr="005F3AA8">
        <w:rPr>
          <w:rFonts w:ascii="Roboto" w:hAnsi="Roboto"/>
        </w:rPr>
        <w:t xml:space="preserve"> </w:t>
      </w:r>
      <w:r w:rsidRPr="005F3AA8">
        <w:rPr>
          <w:rFonts w:ascii="Roboto" w:hAnsi="Roboto"/>
        </w:rPr>
        <w:br/>
        <w:t>Depth-dependent XY profile mapping the cumulative volume percentages (vol%) of crystalline and amorphous phases within the altered regolith columns. The topmost interface isolates the unmitigated footprint of the 12,350 BCE event horizon, characterized by localized spikes in ferric skin minerals (Hematite, Goethite) and the acute, surficial precipitation of oxychlorine salts (Mg/Ca Perchlorates). As depth increases, the profile models the transition through an unaltered basaltic silicate baseline (Plagioclase Feldspar, Pyroxene, Olivine) punctuated by secondary hydrated clay phyllosilicates. Crucially, the non-linear cross-over transition past the 5-foot mark documents the progressive phase dominance of deep-carbonate minerals (Magnesite, Siderite, Calcite). Reaching 85% volumetric allocation at the 50-foot boundary layer, this deep stratigraphy provides the empirical footprint of the catastrophic, groundwater-driven atmospheric fixation sequence</w:t>
      </w:r>
    </w:p>
    <w:p w14:paraId="2189317C" w14:textId="77777777" w:rsidR="002D4D3E" w:rsidRDefault="002D4D3E"/>
    <w:sectPr w:rsidR="002D4D3E" w:rsidSect="00EC7FA5">
      <w:pgSz w:w="11907" w:h="16840" w:code="9"/>
      <w:pgMar w:top="720" w:right="432" w:bottom="720" w:left="0" w:header="578" w:footer="578" w:gutter="57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55"/>
    <w:rsid w:val="00220FF2"/>
    <w:rsid w:val="00224FA1"/>
    <w:rsid w:val="002D4D3E"/>
    <w:rsid w:val="002F267D"/>
    <w:rsid w:val="0034494E"/>
    <w:rsid w:val="003C78F0"/>
    <w:rsid w:val="005D074A"/>
    <w:rsid w:val="006932CA"/>
    <w:rsid w:val="006B2055"/>
    <w:rsid w:val="008613B8"/>
    <w:rsid w:val="00891870"/>
    <w:rsid w:val="00E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D9BE"/>
  <w15:chartTrackingRefBased/>
  <w15:docId w15:val="{EF0B599F-CBA9-4A45-B49C-8020B223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55"/>
  </w:style>
  <w:style w:type="paragraph" w:styleId="Heading1">
    <w:name w:val="heading 1"/>
    <w:basedOn w:val="Normal"/>
    <w:next w:val="Normal"/>
    <w:link w:val="Heading1Char"/>
    <w:uiPriority w:val="9"/>
    <w:qFormat/>
    <w:rsid w:val="006B2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055"/>
    <w:rPr>
      <w:rFonts w:eastAsiaTheme="majorEastAsia" w:cstheme="majorBidi"/>
      <w:color w:val="272727" w:themeColor="text1" w:themeTint="D8"/>
    </w:rPr>
  </w:style>
  <w:style w:type="paragraph" w:styleId="Title">
    <w:name w:val="Title"/>
    <w:basedOn w:val="Normal"/>
    <w:next w:val="Normal"/>
    <w:link w:val="TitleChar"/>
    <w:uiPriority w:val="10"/>
    <w:qFormat/>
    <w:rsid w:val="006B2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055"/>
    <w:pPr>
      <w:spacing w:before="160"/>
      <w:jc w:val="center"/>
    </w:pPr>
    <w:rPr>
      <w:i/>
      <w:iCs/>
      <w:color w:val="404040" w:themeColor="text1" w:themeTint="BF"/>
    </w:rPr>
  </w:style>
  <w:style w:type="character" w:customStyle="1" w:styleId="QuoteChar">
    <w:name w:val="Quote Char"/>
    <w:basedOn w:val="DefaultParagraphFont"/>
    <w:link w:val="Quote"/>
    <w:uiPriority w:val="29"/>
    <w:rsid w:val="006B2055"/>
    <w:rPr>
      <w:i/>
      <w:iCs/>
      <w:color w:val="404040" w:themeColor="text1" w:themeTint="BF"/>
    </w:rPr>
  </w:style>
  <w:style w:type="paragraph" w:styleId="ListParagraph">
    <w:name w:val="List Paragraph"/>
    <w:basedOn w:val="Normal"/>
    <w:uiPriority w:val="34"/>
    <w:qFormat/>
    <w:rsid w:val="006B2055"/>
    <w:pPr>
      <w:ind w:left="720"/>
      <w:contextualSpacing/>
    </w:pPr>
  </w:style>
  <w:style w:type="character" w:styleId="IntenseEmphasis">
    <w:name w:val="Intense Emphasis"/>
    <w:basedOn w:val="DefaultParagraphFont"/>
    <w:uiPriority w:val="21"/>
    <w:qFormat/>
    <w:rsid w:val="006B2055"/>
    <w:rPr>
      <w:i/>
      <w:iCs/>
      <w:color w:val="0F4761" w:themeColor="accent1" w:themeShade="BF"/>
    </w:rPr>
  </w:style>
  <w:style w:type="paragraph" w:styleId="IntenseQuote">
    <w:name w:val="Intense Quote"/>
    <w:basedOn w:val="Normal"/>
    <w:next w:val="Normal"/>
    <w:link w:val="IntenseQuoteChar"/>
    <w:uiPriority w:val="30"/>
    <w:qFormat/>
    <w:rsid w:val="006B2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055"/>
    <w:rPr>
      <w:i/>
      <w:iCs/>
      <w:color w:val="0F4761" w:themeColor="accent1" w:themeShade="BF"/>
    </w:rPr>
  </w:style>
  <w:style w:type="character" w:styleId="IntenseReference">
    <w:name w:val="Intense Reference"/>
    <w:basedOn w:val="DefaultParagraphFont"/>
    <w:uiPriority w:val="32"/>
    <w:qFormat/>
    <w:rsid w:val="006B2055"/>
    <w:rPr>
      <w:b/>
      <w:bCs/>
      <w:smallCaps/>
      <w:color w:val="0F4761" w:themeColor="accent1" w:themeShade="BF"/>
      <w:spacing w:val="5"/>
    </w:rPr>
  </w:style>
  <w:style w:type="character" w:styleId="Strong">
    <w:name w:val="Strong"/>
    <w:basedOn w:val="DefaultParagraphFont"/>
    <w:uiPriority w:val="22"/>
    <w:qFormat/>
    <w:rsid w:val="006B20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1</cp:revision>
  <dcterms:created xsi:type="dcterms:W3CDTF">2026-10-26T19:10:00Z</dcterms:created>
  <dcterms:modified xsi:type="dcterms:W3CDTF">2026-10-26T19:11:00Z</dcterms:modified>
</cp:coreProperties>
</file>