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415A" w14:textId="77777777" w:rsidR="00EF4DDC" w:rsidRPr="005F6599" w:rsidRDefault="00EF4DDC" w:rsidP="00EF4DDC">
      <w:pPr>
        <w:rPr>
          <w:rFonts w:ascii="Roboto" w:eastAsia="Times New Roman" w:hAnsi="Roboto" w:cs="Times New Roman"/>
          <w:kern w:val="0"/>
          <w14:ligatures w14:val="none"/>
        </w:rPr>
      </w:pPr>
      <w:r w:rsidRPr="005F6599">
        <w:rPr>
          <w:rFonts w:ascii="Roboto" w:eastAsia="Times New Roman" w:hAnsi="Roboto" w:cs="Times New Roman"/>
          <w:b/>
          <w:bCs/>
          <w:kern w:val="0"/>
          <w14:ligatures w14:val="none"/>
        </w:rPr>
        <w:t>Abstract —</w:t>
      </w:r>
      <w:r w:rsidRPr="005F6599">
        <w:rPr>
          <w:rFonts w:ascii="Roboto" w:eastAsia="Times New Roman" w:hAnsi="Roboto" w:cs="Times New Roman"/>
          <w:kern w:val="0"/>
          <w14:ligatures w14:val="none"/>
        </w:rPr>
        <w:t xml:space="preserve"> Contemporary models of Martian atmospheric evolution introduce severe stratigraphic contradictions when attempting to reconcile superficial regolith chemistry with deep-time timelines. Most notably, surface exploration hardware reveals a highly concentrated, loose, and completely unburied superficial perchlorate </w:t>
      </w:r>
      <w:r w:rsidRPr="005F6599">
        <w:rPr>
          <w:rFonts w:ascii="Roboto" w:eastAsia="Times New Roman" w:hAnsi="Roboto" w:cs="Times New Roman"/>
          <w:color w:val="000000" w:themeColor="text1"/>
          <w:kern w:val="0"/>
          <w14:ligatures w14:val="none"/>
        </w:rPr>
        <w:t>(ClO</w:t>
      </w:r>
      <w:r w:rsidRPr="005F6599">
        <w:rPr>
          <w:rFonts w:ascii="Roboto" w:eastAsia="Times New Roman" w:hAnsi="Roboto" w:cs="Times New Roman"/>
          <w:color w:val="000000" w:themeColor="text1"/>
          <w:kern w:val="0"/>
          <w:vertAlign w:val="subscript"/>
          <w14:ligatures w14:val="none"/>
        </w:rPr>
        <w:t>4</w:t>
      </w:r>
      <w:r w:rsidRPr="005F6599">
        <w:rPr>
          <w:rFonts w:ascii="Roboto" w:eastAsia="Times New Roman" w:hAnsi="Roboto" w:cs="Times New Roman"/>
          <w:b/>
          <w:bCs/>
          <w:color w:val="000000" w:themeColor="text1"/>
          <w:kern w:val="0"/>
          <w:vertAlign w:val="superscript"/>
          <w14:ligatures w14:val="none"/>
        </w:rPr>
        <w:t>-</w:t>
      </w:r>
      <w:r w:rsidRPr="005F6599">
        <w:rPr>
          <w:rFonts w:ascii="Roboto" w:eastAsia="Times New Roman" w:hAnsi="Roboto" w:cs="Times New Roman"/>
          <w:color w:val="000000" w:themeColor="text1"/>
          <w:kern w:val="0"/>
          <w14:ligatures w14:val="none"/>
        </w:rPr>
        <w:t xml:space="preserve">) </w:t>
      </w:r>
      <w:r w:rsidRPr="005F6599">
        <w:rPr>
          <w:rFonts w:ascii="Roboto" w:eastAsia="Times New Roman" w:hAnsi="Roboto" w:cs="Times New Roman"/>
          <w:kern w:val="0"/>
          <w14:ligatures w14:val="none"/>
        </w:rPr>
        <w:t>blanket alongside a mass-independent fractionation anomaly of radiogenic</w:t>
      </w:r>
      <w:r w:rsidRPr="005F6599">
        <w:rPr>
          <w:rFonts w:ascii="Roboto" w:eastAsia="Times New Roman" w:hAnsi="Roboto" w:cs="Times New Roman"/>
          <w:b/>
          <w:bCs/>
          <w:kern w:val="0"/>
          <w14:ligatures w14:val="none"/>
        </w:rPr>
        <w:t xml:space="preserve"> </w:t>
      </w:r>
      <w:r w:rsidRPr="005F6599">
        <w:rPr>
          <w:rFonts w:ascii="Roboto" w:eastAsia="Times New Roman" w:hAnsi="Roboto" w:cs="Times New Roman"/>
          <w:kern w:val="0"/>
          <w14:ligatures w14:val="none"/>
        </w:rPr>
        <w:t>Xenon-129 (</w:t>
      </w:r>
      <w:r w:rsidRPr="005F6599">
        <w:rPr>
          <w:rFonts w:ascii="Roboto" w:eastAsia="Times New Roman" w:hAnsi="Roboto" w:cs="Times New Roman"/>
          <w:color w:val="000000" w:themeColor="text1"/>
          <w:kern w:val="0"/>
          <w:vertAlign w:val="superscript"/>
          <w14:ligatures w14:val="none"/>
        </w:rPr>
        <w:t>129</w:t>
      </w:r>
      <w:r w:rsidRPr="005F6599">
        <w:rPr>
          <w:rFonts w:ascii="Roboto" w:eastAsia="Times New Roman" w:hAnsi="Roboto" w:cs="Times New Roman"/>
          <w:color w:val="000000" w:themeColor="text1"/>
          <w:kern w:val="0"/>
          <w14:ligatures w14:val="none"/>
        </w:rPr>
        <w:t xml:space="preserve">Xe) </w:t>
      </w:r>
      <w:r w:rsidRPr="005F6599">
        <w:rPr>
          <w:rFonts w:ascii="Roboto" w:eastAsia="Times New Roman" w:hAnsi="Roboto" w:cs="Times New Roman"/>
          <w:kern w:val="0"/>
          <w14:ligatures w14:val="none"/>
        </w:rPr>
        <w:t xml:space="preserve">both of which resist gradualist, eon-scale explanations </w:t>
      </w:r>
      <w:r w:rsidRPr="005F6599">
        <w:rPr>
          <w:rFonts w:ascii="Roboto" w:hAnsi="Roboto"/>
          <w:b/>
          <w:bCs/>
        </w:rPr>
        <w:t>(Bogard &amp; Garrison, 1998; Hecht et al., 2009)</w:t>
      </w:r>
      <w:r w:rsidRPr="005F6599">
        <w:rPr>
          <w:rFonts w:ascii="Roboto" w:eastAsia="Times New Roman" w:hAnsi="Roboto" w:cs="Times New Roman"/>
          <w:b/>
          <w:bCs/>
          <w:kern w:val="0"/>
          <w14:ligatures w14:val="none"/>
        </w:rPr>
        <w:t>.</w:t>
      </w:r>
      <w:r w:rsidRPr="005F6599">
        <w:rPr>
          <w:rFonts w:ascii="Roboto" w:eastAsia="Times New Roman" w:hAnsi="Roboto" w:cs="Times New Roman"/>
          <w:kern w:val="0"/>
          <w14:ligatures w14:val="none"/>
        </w:rPr>
        <w:t xml:space="preserve"> </w:t>
      </w:r>
    </w:p>
    <w:p w14:paraId="3F0C163A" w14:textId="77777777" w:rsidR="00EF4DDC" w:rsidRPr="005F6599" w:rsidRDefault="00EF4DDC" w:rsidP="00EF4DDC">
      <w:pPr>
        <w:rPr>
          <w:rFonts w:ascii="Roboto" w:hAnsi="Roboto"/>
        </w:rPr>
      </w:pPr>
      <w:r w:rsidRPr="005F6599">
        <w:rPr>
          <w:rFonts w:ascii="Roboto" w:hAnsi="Roboto"/>
        </w:rPr>
        <w:t xml:space="preserve">This study presents a novel, cross-planetary non-equilibrium kinetics framework that accounts for these anomalies via an intense late-Quaternary radiolytic forcing event rather than steady-state ultraviolet photolysis. Geochemical and paleothermal proxy archives document that this vulnerability window was pre-ionized by a prolonged baseline atmospheric ionization sequence—matching G. R. Brakenridge's predicted model for cosmic-ray pre-loading by the Vela Supernova remnant </w:t>
      </w:r>
      <w:r w:rsidRPr="005F6599">
        <w:rPr>
          <w:rFonts w:ascii="Roboto" w:hAnsi="Roboto"/>
          <w:b/>
          <w:bCs/>
        </w:rPr>
        <w:t>(Brakenridge, 2021; Brakenridge, 2025)</w:t>
      </w:r>
      <w:r w:rsidRPr="005F6599">
        <w:rPr>
          <w:rFonts w:ascii="Roboto" w:hAnsi="Roboto"/>
        </w:rPr>
        <w:t>. This pre-conditioned system was subsequently punctuated by a high-energy cosmic forcing sequence: the ultra-high-energy, Class 9 Miyake Extreme Solar Particle Storm (ESPS) wavefront in 12,350 BCE (</w:t>
      </w:r>
      <w:r w:rsidRPr="005F6599">
        <w:rPr>
          <w:rFonts w:ascii="Roboto" w:hAnsi="Roboto"/>
          <w:b/>
          <w:bCs/>
        </w:rPr>
        <w:t>Miyake et al., 2012; Usoskin et al., 2025).</w:t>
      </w:r>
      <w:r w:rsidRPr="005F6599">
        <w:rPr>
          <w:rFonts w:ascii="Roboto" w:hAnsi="Roboto"/>
        </w:rPr>
        <w:t xml:space="preserve"> </w:t>
      </w:r>
    </w:p>
    <w:p w14:paraId="4DBD84B6" w14:textId="77777777" w:rsidR="00EF4DDC" w:rsidRPr="00C42EA9" w:rsidRDefault="00EF4DDC" w:rsidP="00EF4DDC">
      <w:pPr>
        <w:rPr>
          <w:rFonts w:ascii="Roboto" w:hAnsi="Roboto"/>
        </w:rPr>
      </w:pPr>
      <w:r w:rsidRPr="005F6599">
        <w:rPr>
          <w:rFonts w:ascii="Roboto" w:hAnsi="Roboto"/>
        </w:rPr>
        <w:t xml:space="preserve">We model the multi-step, gas-phase oxychlorine cascade (Cl </w:t>
      </w:r>
      <w:r w:rsidRPr="005F6599">
        <w:rPr>
          <w:rFonts w:ascii="Times New Roman" w:hAnsi="Times New Roman" w:cs="Times New Roman"/>
        </w:rPr>
        <w:t>──►</w:t>
      </w:r>
      <w:r w:rsidRPr="005F6599">
        <w:rPr>
          <w:rFonts w:ascii="Roboto" w:hAnsi="Roboto"/>
        </w:rPr>
        <w:t xml:space="preserve"> ClO </w:t>
      </w:r>
      <w:r w:rsidRPr="005F6599">
        <w:rPr>
          <w:rFonts w:ascii="Times New Roman" w:hAnsi="Times New Roman" w:cs="Times New Roman"/>
        </w:rPr>
        <w:t>──►</w:t>
      </w:r>
      <w:r w:rsidRPr="005F6599">
        <w:rPr>
          <w:rFonts w:ascii="Roboto" w:hAnsi="Roboto"/>
        </w:rPr>
        <w:t xml:space="preserve"> ClO</w:t>
      </w:r>
      <w:r w:rsidRPr="005F6599">
        <w:rPr>
          <w:rFonts w:ascii="Cambria Math" w:hAnsi="Cambria Math" w:cs="Cambria Math"/>
        </w:rPr>
        <w:t>₂</w:t>
      </w:r>
      <w:r w:rsidRPr="005F6599">
        <w:rPr>
          <w:rFonts w:ascii="Roboto" w:hAnsi="Roboto"/>
        </w:rPr>
        <w:t xml:space="preserve"> </w:t>
      </w:r>
      <w:r w:rsidRPr="005F6599">
        <w:rPr>
          <w:rFonts w:ascii="Times New Roman" w:hAnsi="Times New Roman" w:cs="Times New Roman"/>
        </w:rPr>
        <w:t>──►</w:t>
      </w:r>
      <w:r w:rsidRPr="005F6599">
        <w:rPr>
          <w:rFonts w:ascii="Roboto" w:hAnsi="Roboto"/>
        </w:rPr>
        <w:t xml:space="preserve"> ClO</w:t>
      </w:r>
      <w:r w:rsidRPr="005F6599">
        <w:rPr>
          <w:rFonts w:ascii="Cambria Math" w:hAnsi="Cambria Math" w:cs="Cambria Math"/>
        </w:rPr>
        <w:t>₃</w:t>
      </w:r>
      <w:r w:rsidRPr="005F6599">
        <w:rPr>
          <w:rFonts w:ascii="Roboto" w:hAnsi="Roboto"/>
        </w:rPr>
        <w:t xml:space="preserve"> </w:t>
      </w:r>
      <w:r w:rsidRPr="005F6599">
        <w:rPr>
          <w:rFonts w:ascii="Times New Roman" w:hAnsi="Times New Roman" w:cs="Times New Roman"/>
        </w:rPr>
        <w:t>──►</w:t>
      </w:r>
      <w:r w:rsidRPr="005F6599">
        <w:rPr>
          <w:rFonts w:ascii="Roboto" w:hAnsi="Roboto"/>
        </w:rPr>
        <w:t xml:space="preserve"> ClO</w:t>
      </w:r>
      <w:r w:rsidRPr="005F6599">
        <w:rPr>
          <w:rFonts w:ascii="Cambria Math" w:hAnsi="Cambria Math" w:cs="Cambria Math"/>
        </w:rPr>
        <w:t>₄</w:t>
      </w:r>
      <w:r w:rsidRPr="005F6599">
        <w:rPr>
          <w:rFonts w:ascii="Roboto" w:hAnsi="Roboto"/>
        </w:rPr>
        <w:t>) initiated when this event intersected the unshielded Martian interface.</w:t>
      </w:r>
    </w:p>
    <w:p w14:paraId="6A7B8ED8" w14:textId="77777777" w:rsidR="002D4D3E" w:rsidRDefault="002D4D3E"/>
    <w:sectPr w:rsidR="002D4D3E" w:rsidSect="00EC7FA5">
      <w:pgSz w:w="11907" w:h="16840" w:code="9"/>
      <w:pgMar w:top="720" w:right="432" w:bottom="720" w:left="0" w:header="578" w:footer="578" w:gutter="576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DC"/>
    <w:rsid w:val="00220FF2"/>
    <w:rsid w:val="00224FA1"/>
    <w:rsid w:val="002D4D3E"/>
    <w:rsid w:val="002F267D"/>
    <w:rsid w:val="0034494E"/>
    <w:rsid w:val="003C78F0"/>
    <w:rsid w:val="005D074A"/>
    <w:rsid w:val="006932CA"/>
    <w:rsid w:val="008613B8"/>
    <w:rsid w:val="00891870"/>
    <w:rsid w:val="00EC7FA5"/>
    <w:rsid w:val="00EF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0D19"/>
  <w15:chartTrackingRefBased/>
  <w15:docId w15:val="{89A3E86A-AF4F-4834-BD71-17A56D7C7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DDC"/>
  </w:style>
  <w:style w:type="paragraph" w:styleId="Heading1">
    <w:name w:val="heading 1"/>
    <w:basedOn w:val="Normal"/>
    <w:next w:val="Normal"/>
    <w:link w:val="Heading1Char"/>
    <w:uiPriority w:val="9"/>
    <w:qFormat/>
    <w:rsid w:val="00EF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bvcrist</dc:creator>
  <cp:keywords/>
  <dc:description/>
  <cp:lastModifiedBy>bvcrist</cp:lastModifiedBy>
  <cp:revision>1</cp:revision>
  <dcterms:created xsi:type="dcterms:W3CDTF">2026-10-26T19:07:00Z</dcterms:created>
  <dcterms:modified xsi:type="dcterms:W3CDTF">2026-10-26T19:07:00Z</dcterms:modified>
</cp:coreProperties>
</file>