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6903" w14:textId="77777777" w:rsidR="00B61358" w:rsidRDefault="00B61358" w:rsidP="00B61358">
      <w:pPr>
        <w:keepNext/>
        <w:spacing w:before="240" w:after="120"/>
        <w:rPr>
          <w:rFonts w:ascii="Roboto" w:hAnsi="Roboto"/>
          <w:b/>
          <w:color w:val="242C37"/>
          <w:sz w:val="28"/>
        </w:rPr>
      </w:pPr>
      <w:r w:rsidRPr="00EE4741">
        <w:rPr>
          <w:rFonts w:ascii="Roboto" w:hAnsi="Roboto"/>
          <w:b/>
          <w:color w:val="242C37"/>
          <w:sz w:val="28"/>
        </w:rPr>
        <w:t>References / Bibliography</w:t>
      </w:r>
    </w:p>
    <w:p w14:paraId="09E56AAA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Bard, E., Miramont, C., Capano, M., Guibal, F., Marschal, T., Kromer, M., Hoffmann, G., Tuna, A., Fagault, Y., Heaton, L., &amp; Timothy, A. (2023). A largest-ever solar storm identified in Late Glacial tree rings from the French Alps.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Philosophical Transactions of the Royal Society A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381(2261), 20220206.</w:t>
      </w:r>
    </w:p>
    <w:p w14:paraId="4139B5AD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D71FDB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Bogard, 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D. D., &amp; Garrison, D. H. (1998). Relative abundances of krypton and xenon isotopes in the Martian atmosphere: Refinement from shock-melt glass inclusions in shergottites.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Geochimica et Cosmochimica Acta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62(11), 1829–1846.</w:t>
      </w:r>
    </w:p>
    <w:p w14:paraId="5DFB9758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Brakenridge, G. R. (2021). Solar system exposure to supernova radiation: Terrestrial fingerprints and the radiocarbon record.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International Journal of Astrobiology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20(1), 45–59.</w:t>
      </w:r>
    </w:p>
    <w:p w14:paraId="17EA0195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Brakenridge, G. R. (2025). Late Quaternary supernovae in Earth history.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Monthly Notices of the Royal Astronomical Society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539(4), 3201–3215.</w:t>
      </w:r>
    </w:p>
    <w:p w14:paraId="074B7937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D71FDB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Chen, 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Z., Jowitt, S. M., et al. (2020). Paleomagnetic evidence for the Gothenburg geomagnetic excursion during the Pleistocene–Holocene transition recorded in the Paleo-Danyang Lake, eastern China.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Journal of Asian Earth Sciences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201, 104140.</w:t>
      </w:r>
    </w:p>
    <w:p w14:paraId="7575DC6A" w14:textId="77777777" w:rsidR="00B61358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Conrad, P. G., Malespin, C. A., Franz, H. B., Pepin, R. O., Stern, J. C., Schwenzer, P. R., Pratt, B. D., &amp; Mahaffy, P. R. (2016). In situ measurement of atmospheric krypton and xenon on Mars with Mars Science Laboratory.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Earth and Planetary Science Letters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454, 1–9.</w:t>
      </w:r>
    </w:p>
    <w:p w14:paraId="577C8FB2" w14:textId="686FF4E9" w:rsidR="00BA70FC" w:rsidRPr="00BA70FC" w:rsidRDefault="00BA70FC" w:rsidP="00B61358">
      <w:pPr>
        <w:spacing w:line="240" w:lineRule="auto"/>
        <w:rPr>
          <w:rFonts w:ascii="Roboto" w:eastAsia="Times New Roman" w:hAnsi="Roboto" w:cs="Times New Roman"/>
          <w:kern w:val="0"/>
          <w:sz w:val="16"/>
          <w:szCs w:val="16"/>
          <w14:ligatures w14:val="none"/>
        </w:rPr>
      </w:pPr>
      <w:r w:rsidRPr="009C14B6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Curiosity </w:t>
      </w:r>
      <w:r w:rsidRPr="00BA70FC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(Mars Science Laboratory / MSL) Atmospheric Telemetry Matrices</w:t>
      </w:r>
      <w:r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, </w:t>
      </w:r>
      <w:r w:rsidRPr="00BA70FC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NASA Planetary Data System (PDS) — Atmospheric Node</w:t>
      </w:r>
      <w:r w:rsidR="0082670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, </w:t>
      </w:r>
      <w:r w:rsidR="00826703" w:rsidRPr="0082670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Sample Analysis at Mars (</w:t>
      </w:r>
      <w:r w:rsidR="00826703" w:rsidRPr="00826703">
        <w:rPr>
          <w:rFonts w:ascii="Roboto" w:eastAsia="Times New Roman" w:hAnsi="Roboto" w:cs="Times New Roman"/>
          <w:b/>
          <w:bCs/>
          <w:kern w:val="0"/>
          <w:sz w:val="22"/>
          <w:szCs w:val="22"/>
          <w14:ligatures w14:val="none"/>
        </w:rPr>
        <w:t>SAM</w:t>
      </w:r>
      <w:r w:rsidR="00826703" w:rsidRPr="0082670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) Quadrupole Mass Spectrometer (QMS) Evolved Gas Analysis Archive</w:t>
      </w:r>
    </w:p>
    <w:p w14:paraId="4595B981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D71FDB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Curry, 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S. M., Luhmann, J. G., Dong, C., &amp; Jakosky, B. M. (2024). First direct observations of atmospheric sputtering at Mars using multi-instrument NGIMS and STATIC ion packages.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Science Advances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10(14), eadt1538.</w:t>
      </w:r>
    </w:p>
    <w:p w14:paraId="1BFA7264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Fuentes, F., Castro, E., Cáceres, O., González, M. J., &amp; Saavedra, C. P. (2014). Perchlorate levels in soil and waters from the Atacama Desert.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Environmental Geochemistry and Health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36(2), 290–2,565.</w:t>
      </w:r>
    </w:p>
    <w:p w14:paraId="720328B6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Gellert, R., Rieder, J., Brückner, J., Clark, B. C., Dreibus, G., Klingelhöfer, G., Lugmair, G., &amp; Squyres, S. W. (2006). Alpha Particle X-Ray Spectrometer (APXS) surface measurements: Chlorine distribution and elemental analysis of regolith matrices in Gusev Crater.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Journal of Geophysical Research: Planets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111(E2), E02S05.</w:t>
      </w:r>
    </w:p>
    <w:p w14:paraId="7E3DCBC5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Hecht, M. H., Kounaves, S. P., Quinn, R. C., West, S. J., &amp; Clark, B. C. (2009). Detection of perchlorate and the soluble chemistry of Martian regolith at the Phoenix landing site.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Science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325(5936), 64–67.</w:t>
      </w:r>
    </w:p>
    <w:p w14:paraId="23BF35EF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Hernández-Bernal, J., et al. (2026). Homogeneous ice Nucleation from Water Vapour Suggested by Elongated Clouds on Mars.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Nature Geoscience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.</w:t>
      </w:r>
    </w:p>
    <w:p w14:paraId="7984E4EB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Jackson, W. A., Davila, A. F., Sears, D. W. G., Coates, J. D., McKay, C. P., Brundrett, M., Estrada, N., &amp; Bohlke, J. K. (2015). Widespread occurrence of (per)chlorate in the Solar System.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Earth and Planetary Science Letters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430, 470–476.</w:t>
      </w:r>
    </w:p>
    <w:p w14:paraId="7A4EF611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Jakosky, B. M., Slipski, M., Benna, M., Mahaffy, P. R., &amp; Elrod, M. K. (2017). Mars' atmospheric history derived from upper-atmosphere measurements of ³</w:t>
      </w:r>
      <w:r w:rsidRPr="007E24CE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⁸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Ar/</w:t>
      </w:r>
      <w:r w:rsidRPr="007E24CE">
        <w:rPr>
          <w:rFonts w:ascii="Roboto" w:eastAsia="Times New Roman" w:hAnsi="Roboto" w:cs="Roboto"/>
          <w:kern w:val="0"/>
          <w:sz w:val="22"/>
          <w:szCs w:val="22"/>
          <w14:ligatures w14:val="none"/>
        </w:rPr>
        <w:t>³</w:t>
      </w:r>
      <w:r w:rsidRPr="007E24CE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⁶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Ar.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Science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355(6332), 1408–1410.</w:t>
      </w:r>
    </w:p>
    <w:p w14:paraId="4242DD31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Kounaves, S. P., Carre, M. V. M., B. A. O'Neil, Stroble, G. D., &amp; Claire, M. W. (2014). Evidence of Martian perchlorate, chlorate, and nitrate in Mars meteorite EETA79001: Implications for oxidants and organics.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Icarus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229, 206–213.</w:t>
      </w:r>
    </w:p>
    <w:p w14:paraId="1A2C73C0" w14:textId="77777777" w:rsidR="00B61358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Mahaffy, P. R., Webster, C. R., Atreya, S. K., Franz, H. B., &amp; Wong, M. (2013). Abundance and isotopic composition of gases in the Martian atmosphere from the Curiosity Rover’s Sample Analysis at Mars (SAM) instrument suite.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Science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341(6143), 263–266.</w:t>
      </w:r>
    </w:p>
    <w:p w14:paraId="6EA5ED60" w14:textId="08EE5A3A" w:rsidR="00C90080" w:rsidRPr="00C90080" w:rsidRDefault="00C90080" w:rsidP="00C90080">
      <w:pPr>
        <w:spacing w:line="240" w:lineRule="auto"/>
        <w:rPr>
          <w:rFonts w:ascii="Roboto" w:eastAsia="Times New Roman" w:hAnsi="Roboto" w:cs="Times New Roman"/>
          <w:b/>
          <w:bCs/>
          <w:kern w:val="0"/>
          <w:sz w:val="22"/>
          <w:szCs w:val="22"/>
          <w14:ligatures w14:val="none"/>
        </w:rPr>
      </w:pPr>
      <w:r w:rsidRPr="009C14B6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Martian </w:t>
      </w:r>
      <w:r w:rsidRPr="00C90080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Elemental Regolith Chemistry and Surface Salt Mappings</w:t>
      </w:r>
      <w:r w:rsidRPr="00C90080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, </w:t>
      </w:r>
      <w:r w:rsidRPr="00C90080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NASA Planetary Data System (PDS) — Geosciences Node</w:t>
      </w:r>
      <w:r w:rsidR="00A723F1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, </w:t>
      </w:r>
      <w:r w:rsidR="00A723F1" w:rsidRPr="00A723F1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Alpha Particle X-ray Spectrometer (</w:t>
      </w:r>
      <w:r w:rsidR="00A723F1" w:rsidRPr="00A723F1">
        <w:rPr>
          <w:rFonts w:ascii="Roboto" w:eastAsia="Times New Roman" w:hAnsi="Roboto" w:cs="Times New Roman"/>
          <w:b/>
          <w:bCs/>
          <w:kern w:val="0"/>
          <w:sz w:val="22"/>
          <w:szCs w:val="22"/>
          <w14:ligatures w14:val="none"/>
        </w:rPr>
        <w:t>APXS</w:t>
      </w:r>
      <w:r w:rsidR="00A723F1" w:rsidRPr="00A723F1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) and Chemistry and Camera (</w:t>
      </w:r>
      <w:r w:rsidR="00A723F1" w:rsidRPr="00A723F1">
        <w:rPr>
          <w:rFonts w:ascii="Roboto" w:eastAsia="Times New Roman" w:hAnsi="Roboto" w:cs="Times New Roman"/>
          <w:b/>
          <w:bCs/>
          <w:kern w:val="0"/>
          <w:sz w:val="22"/>
          <w:szCs w:val="22"/>
          <w14:ligatures w14:val="none"/>
        </w:rPr>
        <w:t>ChemCam</w:t>
      </w:r>
      <w:r w:rsidR="00A723F1" w:rsidRPr="00A723F1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) Laser-Induced Breakdown Spectroscopy (LIBS) calibrated data records</w:t>
      </w:r>
    </w:p>
    <w:p w14:paraId="45B6CB73" w14:textId="6E907076" w:rsidR="00C90080" w:rsidRPr="007E24CE" w:rsidRDefault="00C90080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</w:p>
    <w:p w14:paraId="36614326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Marty, K. (2012). The primordial noble gas signature of the Earth-Moon system: Constraints from solar wind implantation and meteoritic volatile records.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Science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336(6084), 1011–1014.</w:t>
      </w:r>
    </w:p>
    <w:p w14:paraId="4C59DDB3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Miyake, F., Nagaya, K., Masuda, K., &amp; Nakamura, T. (2012). A signature of cosmic-ray intensity </w:t>
      </w:r>
      <w:proofErr w:type="gramStart"/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increase</w:t>
      </w:r>
      <w:proofErr w:type="gramEnd"/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in BC 12350 recorded in annual tree rings.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Nature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486(7402), 240–242.</w:t>
      </w:r>
    </w:p>
    <w:p w14:paraId="2E9AEE26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D71FDB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Mörner, 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N. A., &amp; Lanser, J. P. (1974). Gothenburg magnetic ‘flip’.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Nature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251, 408–409.</w:t>
      </w:r>
    </w:p>
    <w:p w14:paraId="08AF04A5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D71FDB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Mörner, 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N. A. (1977). The Gothenburg Magnetic Excursion.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Quaternary Research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7(3), 413–427.</w:t>
      </w:r>
    </w:p>
    <w:p w14:paraId="3D51E371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D71FDB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Mörner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, N. A., Lanser, J. P., &amp; Hospers, J. (1971). Late Weichselian paleomagnetic reversal.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Nature Physical Science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234, 173–174.</w:t>
      </w:r>
    </w:p>
    <w:p w14:paraId="098F340E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NASA Planetary Data System. (2026).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Mars Science Laboratory Sample Analysis at Mars (SAM) Quadrupole Mass Spectrometer Evolved Gas Analysis Archive Product User Guide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(Version 4.2). NASA Headquarters.</w:t>
      </w:r>
    </w:p>
    <w:p w14:paraId="55CCB3EF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D71FDB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Nowaczyk, 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N. R., et al. (2025). Potential geomagnetic instability during the Last Deglaciation: High-resolution paleomagnetic evidence from the South China Sea.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Journal of Geophysical Research: Solid Earth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130(2), e2024JB030137.</w:t>
      </w:r>
    </w:p>
    <w:p w14:paraId="291FB02B" w14:textId="77777777" w:rsidR="00B61358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D71FDB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Panyushkina, 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I. P., Fonti, M. V., Shishov, V. V., &amp; Myglan, V. S. (2025). Arctic-alpine larch biome sensitivity to late-Quaternary solar cosmic ray influx events using subfossil Larix sibirica chronologies.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Biogeosciences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22(4), 901–915.</w:t>
      </w:r>
    </w:p>
    <w:p w14:paraId="4DFDF4D8" w14:textId="593E8BDE" w:rsidR="00CE3AB2" w:rsidRPr="00A95122" w:rsidRDefault="00CE3AB2" w:rsidP="00B61358">
      <w:pPr>
        <w:spacing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9C14B6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Terrestrial </w:t>
      </w:r>
      <w:r w:rsidRPr="00F00785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Late-Quaternary High-Resolution Proxy Calibration Archives</w:t>
      </w:r>
      <w:r w:rsidRPr="00F00785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, </w:t>
      </w:r>
      <w:r w:rsidRPr="00F00785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NOAA National Centers for Environmental Information (NCEI) — Paleoclimatology Database</w:t>
      </w:r>
      <w:r w:rsidR="00A95122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, </w:t>
      </w:r>
      <w:r w:rsidR="00A95122" w:rsidRPr="00A95122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NOAA/WDS Paleoclimatology GISP2 Central Greenland Temperature Reconstruction anomaly alongside the International Tree-Ring Data Bank (ITRDB).</w:t>
      </w:r>
    </w:p>
    <w:p w14:paraId="309CC3BD" w14:textId="58BD28A8" w:rsidR="003647A5" w:rsidRPr="00CE3AB2" w:rsidRDefault="003647A5" w:rsidP="00B61358">
      <w:pPr>
        <w:spacing w:line="240" w:lineRule="auto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9C14B6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Upper</w:t>
      </w:r>
      <w:r w:rsidRPr="00CE3AB2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-Atmospheric Ion Loss Rates and Heliospheric Quad Impact Coordinate Vectors</w:t>
      </w:r>
      <w:r w:rsidR="00CE3AB2" w:rsidRPr="00CE3AB2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, </w:t>
      </w:r>
      <w:r w:rsidR="00CE3AB2" w:rsidRPr="00CE3AB2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NASA Planetary Data System (PDS) — Particles and Fields Node</w:t>
      </w:r>
      <w:r w:rsidR="007C7549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, </w:t>
      </w:r>
      <w:r w:rsidR="007C7549" w:rsidRPr="007C7549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Mars Atmosphere and Volatile EvolutioN (</w:t>
      </w:r>
      <w:r w:rsidR="007C7549" w:rsidRPr="007C7549">
        <w:rPr>
          <w:rFonts w:ascii="Roboto" w:eastAsia="Times New Roman" w:hAnsi="Roboto" w:cs="Times New Roman"/>
          <w:b/>
          <w:bCs/>
          <w:kern w:val="0"/>
          <w:sz w:val="22"/>
          <w:szCs w:val="22"/>
          <w14:ligatures w14:val="none"/>
        </w:rPr>
        <w:t>MAVEN</w:t>
      </w:r>
      <w:r w:rsidR="007C7549" w:rsidRPr="007C7549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) orbiter instruments, specifically the Suprathermal and Thermal Ion Composition (</w:t>
      </w:r>
      <w:r w:rsidR="007C7549" w:rsidRPr="007C7549">
        <w:rPr>
          <w:rFonts w:ascii="Roboto" w:eastAsia="Times New Roman" w:hAnsi="Roboto" w:cs="Times New Roman"/>
          <w:b/>
          <w:bCs/>
          <w:kern w:val="0"/>
          <w:sz w:val="22"/>
          <w:szCs w:val="22"/>
          <w14:ligatures w14:val="none"/>
        </w:rPr>
        <w:t>STATIC</w:t>
      </w:r>
      <w:r w:rsidR="007C7549" w:rsidRPr="007C7549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), Solar Wind Ion Analyzer (</w:t>
      </w:r>
      <w:r w:rsidR="007C7549" w:rsidRPr="007C7549">
        <w:rPr>
          <w:rFonts w:ascii="Roboto" w:eastAsia="Times New Roman" w:hAnsi="Roboto" w:cs="Times New Roman"/>
          <w:b/>
          <w:bCs/>
          <w:kern w:val="0"/>
          <w:sz w:val="22"/>
          <w:szCs w:val="22"/>
          <w14:ligatures w14:val="none"/>
        </w:rPr>
        <w:t>SWIA</w:t>
      </w:r>
      <w:r w:rsidR="007C7549" w:rsidRPr="007C7549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), and Neutral Gas and Ion Mass Spectrometer (</w:t>
      </w:r>
      <w:r w:rsidR="007C7549" w:rsidRPr="007C7549">
        <w:rPr>
          <w:rFonts w:ascii="Roboto" w:eastAsia="Times New Roman" w:hAnsi="Roboto" w:cs="Times New Roman"/>
          <w:b/>
          <w:bCs/>
          <w:kern w:val="0"/>
          <w:sz w:val="22"/>
          <w:szCs w:val="22"/>
          <w14:ligatures w14:val="none"/>
        </w:rPr>
        <w:t>NGIMS</w:t>
      </w:r>
      <w:r w:rsidR="007C7549" w:rsidRPr="007C7549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).</w:t>
      </w:r>
    </w:p>
    <w:p w14:paraId="3FB61B04" w14:textId="77777777" w:rsidR="00B61358" w:rsidRPr="007E24CE" w:rsidRDefault="00B61358" w:rsidP="00B61358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Usoskin, I., Rozanov, E., Sukhodolov, T., Mishev, M., &amp; Koldobskiy, S. (2025). Chemistry-climate modeling of extreme solar particle events under ancient atmospheric scenarios: The 12,350 BCE event horizon. </w:t>
      </w:r>
      <w:r w:rsidRPr="007E24CE">
        <w:rPr>
          <w:rFonts w:ascii="Roboto" w:eastAsia="Times New Roman" w:hAnsi="Roboto" w:cs="Times New Roman"/>
          <w:i/>
          <w:iCs/>
          <w:kern w:val="0"/>
          <w:sz w:val="22"/>
          <w:szCs w:val="22"/>
          <w14:ligatures w14:val="none"/>
        </w:rPr>
        <w:t>Journal of Geophysical Research: Space Physics</w:t>
      </w:r>
      <w:r w:rsidRPr="007E24C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, 130(5), e2024JA032911.</w:t>
      </w:r>
    </w:p>
    <w:p w14:paraId="0C6F7275" w14:textId="77777777" w:rsidR="002D4D3E" w:rsidRDefault="002D4D3E"/>
    <w:sectPr w:rsidR="002D4D3E" w:rsidSect="00EC7FA5">
      <w:pgSz w:w="11907" w:h="16840" w:code="9"/>
      <w:pgMar w:top="720" w:right="432" w:bottom="720" w:left="0" w:header="578" w:footer="578" w:gutter="57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8"/>
    <w:rsid w:val="00220FF2"/>
    <w:rsid w:val="00250279"/>
    <w:rsid w:val="002D4D3E"/>
    <w:rsid w:val="002F267D"/>
    <w:rsid w:val="0034494E"/>
    <w:rsid w:val="003647A5"/>
    <w:rsid w:val="003C78F0"/>
    <w:rsid w:val="005D074A"/>
    <w:rsid w:val="006932CA"/>
    <w:rsid w:val="007C7549"/>
    <w:rsid w:val="00826703"/>
    <w:rsid w:val="008613B8"/>
    <w:rsid w:val="00891870"/>
    <w:rsid w:val="009C14B6"/>
    <w:rsid w:val="00A723F1"/>
    <w:rsid w:val="00A95122"/>
    <w:rsid w:val="00B61358"/>
    <w:rsid w:val="00BA70FC"/>
    <w:rsid w:val="00BF6984"/>
    <w:rsid w:val="00C90080"/>
    <w:rsid w:val="00CE3AB2"/>
    <w:rsid w:val="00EC7FA5"/>
    <w:rsid w:val="00F0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0FF4"/>
  <w15:chartTrackingRefBased/>
  <w15:docId w15:val="{A6DF787F-6F4F-45A2-ACB5-D5EFAFCA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358"/>
  </w:style>
  <w:style w:type="paragraph" w:styleId="Heading1">
    <w:name w:val="heading 1"/>
    <w:basedOn w:val="Normal"/>
    <w:next w:val="Normal"/>
    <w:link w:val="Heading1Char"/>
    <w:uiPriority w:val="9"/>
    <w:qFormat/>
    <w:rsid w:val="00B6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bvcrist</dc:creator>
  <cp:keywords/>
  <dc:description/>
  <cp:lastModifiedBy>bvcrist</cp:lastModifiedBy>
  <cp:revision>9</cp:revision>
  <dcterms:created xsi:type="dcterms:W3CDTF">2026-10-20T04:38:00Z</dcterms:created>
  <dcterms:modified xsi:type="dcterms:W3CDTF">2026-10-20T04:47:00Z</dcterms:modified>
</cp:coreProperties>
</file>