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So sánh Monolithic và Microservices</w:t>
      </w:r>
    </w:p>
    <w:p>
      <w:pPr>
        <w:pStyle w:val="Heading2"/>
        <w:spacing w:after="150" w:before="150"/>
      </w:pPr>
      <w:r>
        <w:t xml:space="preserve">So sánh ngắn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000000" w:sz="1"/>
              <w:left w:val="single" w:color="000000" w:sz="1"/>
              <w:bottom w:val="single" w:color="000000" w:sz="1"/>
              <w:right w:val="single" w:color="000000" w:sz="1"/>
            </w:tcBorders>
          </w:tcPr>
          <w:p>
            <w:r>
              <w:t xml:space="preserve">Tiêu chí</w:t>
            </w:r>
          </w:p>
        </w:tc>
        <w:tc>
          <w:tcPr>
            <w:tcW w:type="pct" w:w="33.333333333333336%"/>
            <w:tcBorders>
              <w:top w:val="single" w:color="000000" w:sz="1"/>
              <w:left w:val="single" w:color="000000" w:sz="1"/>
              <w:bottom w:val="single" w:color="000000" w:sz="1"/>
              <w:right w:val="single" w:color="000000" w:sz="1"/>
            </w:tcBorders>
          </w:tcPr>
          <w:p>
            <w:r>
              <w:t xml:space="preserve">Monolithic</w:t>
            </w:r>
          </w:p>
        </w:tc>
        <w:tc>
          <w:tcPr>
            <w:tcW w:type="pct" w:w="33.333333333333336%"/>
            <w:tcBorders>
              <w:top w:val="single" w:color="000000" w:sz="1"/>
              <w:left w:val="single" w:color="000000" w:sz="1"/>
              <w:bottom w:val="single" w:color="000000" w:sz="1"/>
              <w:right w:val="single" w:color="000000" w:sz="1"/>
            </w:tcBorders>
          </w:tcPr>
          <w:p>
            <w:r>
              <w:t xml:space="preserve">Microservices</w:t>
            </w:r>
          </w:p>
        </w:tc>
      </w:tr>
      <w:tr>
        <w:tc>
          <w:tcPr>
            <w:tcW w:type="pct" w:w="33.333333333333336%"/>
            <w:tcBorders>
              <w:top w:val="single" w:color="000000" w:sz="1"/>
              <w:left w:val="single" w:color="000000" w:sz="1"/>
              <w:bottom w:val="single" w:color="000000" w:sz="1"/>
              <w:right w:val="single" w:color="000000" w:sz="1"/>
            </w:tcBorders>
          </w:tcPr>
          <w:p>
            <w:r>
              <w:t xml:space="preserve">Cấu trúc</w:t>
            </w:r>
          </w:p>
        </w:tc>
        <w:tc>
          <w:tcPr>
            <w:tcW w:type="pct" w:w="33.333333333333336%"/>
            <w:tcBorders>
              <w:top w:val="single" w:color="000000" w:sz="1"/>
              <w:left w:val="single" w:color="000000" w:sz="1"/>
              <w:bottom w:val="single" w:color="000000" w:sz="1"/>
              <w:right w:val="single" w:color="000000" w:sz="1"/>
            </w:tcBorders>
          </w:tcPr>
          <w:p>
            <w:r>
              <w:t xml:space="preserve">Toàn bộ người dùng, sách và đơn hàng nằm trong một ứng dụng, một tiến trình</w:t>
            </w:r>
          </w:p>
        </w:tc>
        <w:tc>
          <w:tcPr>
            <w:tcW w:type="pct" w:w="33.333333333333336%"/>
            <w:tcBorders>
              <w:top w:val="single" w:color="000000" w:sz="1"/>
              <w:left w:val="single" w:color="000000" w:sz="1"/>
              <w:bottom w:val="single" w:color="000000" w:sz="1"/>
              <w:right w:val="single" w:color="000000" w:sz="1"/>
            </w:tcBorders>
          </w:tcPr>
          <w:p>
            <w:r>
              <w:t xml:space="preserve">Tách thành `user-service`, `product-service` và `order-service`, mỗi service chạy riêng</w:t>
            </w:r>
          </w:p>
        </w:tc>
      </w:tr>
      <w:tr>
        <w:tc>
          <w:tcPr>
            <w:tcW w:type="pct" w:w="33.333333333333336%"/>
            <w:tcBorders>
              <w:top w:val="single" w:color="000000" w:sz="1"/>
              <w:left w:val="single" w:color="000000" w:sz="1"/>
              <w:bottom w:val="single" w:color="000000" w:sz="1"/>
              <w:right w:val="single" w:color="000000" w:sz="1"/>
            </w:tcBorders>
          </w:tcPr>
          <w:p>
            <w:r>
              <w:t xml:space="preserve">Triển khai</w:t>
            </w:r>
          </w:p>
        </w:tc>
        <w:tc>
          <w:tcPr>
            <w:tcW w:type="pct" w:w="33.333333333333336%"/>
            <w:tcBorders>
              <w:top w:val="single" w:color="000000" w:sz="1"/>
              <w:left w:val="single" w:color="000000" w:sz="1"/>
              <w:bottom w:val="single" w:color="000000" w:sz="1"/>
              <w:right w:val="single" w:color="000000" w:sz="1"/>
            </w:tcBorders>
          </w:tcPr>
          <w:p>
            <w:r>
              <w:t xml:space="preserve">Sửa một phần vẫn phải build và chạy lại cả ứng dụng</w:t>
            </w:r>
          </w:p>
        </w:tc>
        <w:tc>
          <w:tcPr>
            <w:tcW w:type="pct" w:w="33.333333333333336%"/>
            <w:tcBorders>
              <w:top w:val="single" w:color="000000" w:sz="1"/>
              <w:left w:val="single" w:color="000000" w:sz="1"/>
              <w:bottom w:val="single" w:color="000000" w:sz="1"/>
              <w:right w:val="single" w:color="000000" w:sz="1"/>
            </w:tcBorders>
          </w:tcPr>
          <w:p>
            <w:r>
              <w:t xml:space="preserve">Sửa và triển khai từng service</w:t>
            </w:r>
          </w:p>
        </w:tc>
      </w:tr>
      <w:tr>
        <w:tc>
          <w:tcPr>
            <w:tcW w:type="pct" w:w="33.333333333333336%"/>
            <w:tcBorders>
              <w:top w:val="single" w:color="000000" w:sz="1"/>
              <w:left w:val="single" w:color="000000" w:sz="1"/>
              <w:bottom w:val="single" w:color="000000" w:sz="1"/>
              <w:right w:val="single" w:color="000000" w:sz="1"/>
            </w:tcBorders>
          </w:tcPr>
          <w:p>
            <w:r>
              <w:t xml:space="preserve">Mở rộng</w:t>
            </w:r>
          </w:p>
        </w:tc>
        <w:tc>
          <w:tcPr>
            <w:tcW w:type="pct" w:w="33.333333333333336%"/>
            <w:tcBorders>
              <w:top w:val="single" w:color="000000" w:sz="1"/>
              <w:left w:val="single" w:color="000000" w:sz="1"/>
              <w:bottom w:val="single" w:color="000000" w:sz="1"/>
              <w:right w:val="single" w:color="000000" w:sz="1"/>
            </w:tcBorders>
          </w:tcPr>
          <w:p>
            <w:r>
              <w:t xml:space="preserve">Phải nhân bản cả ứng dụng khi chỉ đơn hàng tăng tải</w:t>
            </w:r>
          </w:p>
        </w:tc>
        <w:tc>
          <w:tcPr>
            <w:tcW w:type="pct" w:w="33.333333333333336%"/>
            <w:tcBorders>
              <w:top w:val="single" w:color="000000" w:sz="1"/>
              <w:left w:val="single" w:color="000000" w:sz="1"/>
              <w:bottom w:val="single" w:color="000000" w:sz="1"/>
              <w:right w:val="single" w:color="000000" w:sz="1"/>
            </w:tcBorders>
          </w:tcPr>
          <w:p>
            <w:r>
              <w:t xml:space="preserve">Có thể tăng riêng service đang chịu tải, ví dụ `order-service` lúc có đợt bán</w:t>
            </w:r>
          </w:p>
        </w:tc>
      </w:tr>
      <w:tr>
        <w:tc>
          <w:tcPr>
            <w:tcW w:type="pct" w:w="33.333333333333336%"/>
            <w:tcBorders>
              <w:top w:val="single" w:color="000000" w:sz="1"/>
              <w:left w:val="single" w:color="000000" w:sz="1"/>
              <w:bottom w:val="single" w:color="000000" w:sz="1"/>
              <w:right w:val="single" w:color="000000" w:sz="1"/>
            </w:tcBorders>
          </w:tcPr>
          <w:p>
            <w:r>
              <w:t xml:space="preserve">Sự cố</w:t>
            </w:r>
          </w:p>
        </w:tc>
        <w:tc>
          <w:tcPr>
            <w:tcW w:type="pct" w:w="33.333333333333336%"/>
            <w:tcBorders>
              <w:top w:val="single" w:color="000000" w:sz="1"/>
              <w:left w:val="single" w:color="000000" w:sz="1"/>
              <w:bottom w:val="single" w:color="000000" w:sz="1"/>
              <w:right w:val="single" w:color="000000" w:sz="1"/>
            </w:tcBorders>
          </w:tcPr>
          <w:p>
            <w:r>
              <w:t xml:space="preserve">Lỗi ở một phần có thể làm cả hệ thống ngừng phục vụ</w:t>
            </w:r>
          </w:p>
        </w:tc>
        <w:tc>
          <w:tcPr>
            <w:tcW w:type="pct" w:w="33.333333333333336%"/>
            <w:tcBorders>
              <w:top w:val="single" w:color="000000" w:sz="1"/>
              <w:left w:val="single" w:color="000000" w:sz="1"/>
              <w:bottom w:val="single" w:color="000000" w:sz="1"/>
              <w:right w:val="single" w:color="000000" w:sz="1"/>
            </w:tcBorders>
          </w:tcPr>
          <w:p>
            <w:r>
              <w:t xml:space="preserve">Sự cố được khoanh trong service đó; hai service còn lại vẫn chạy</w:t>
            </w:r>
          </w:p>
        </w:tc>
      </w:tr>
      <w:tr>
        <w:tc>
          <w:tcPr>
            <w:tcW w:type="pct" w:w="33.333333333333336%"/>
            <w:tcBorders>
              <w:top w:val="single" w:color="000000" w:sz="1"/>
              <w:left w:val="single" w:color="000000" w:sz="1"/>
              <w:bottom w:val="single" w:color="000000" w:sz="1"/>
              <w:right w:val="single" w:color="000000" w:sz="1"/>
            </w:tcBorders>
          </w:tcPr>
          <w:p>
            <w:r>
              <w:t xml:space="preserve">Dữ liệu</w:t>
            </w:r>
          </w:p>
        </w:tc>
        <w:tc>
          <w:tcPr>
            <w:tcW w:type="pct" w:w="33.333333333333336%"/>
            <w:tcBorders>
              <w:top w:val="single" w:color="000000" w:sz="1"/>
              <w:left w:val="single" w:color="000000" w:sz="1"/>
              <w:bottom w:val="single" w:color="000000" w:sz="1"/>
              <w:right w:val="single" w:color="000000" w:sz="1"/>
            </w:tcBorders>
          </w:tcPr>
          <w:p>
            <w:r>
              <w:t xml:space="preserve">Thường dùng chung một cơ sở dữ liệu</w:t>
            </w:r>
          </w:p>
        </w:tc>
        <w:tc>
          <w:tcPr>
            <w:tcW w:type="pct" w:w="33.333333333333336%"/>
            <w:tcBorders>
              <w:top w:val="single" w:color="000000" w:sz="1"/>
              <w:left w:val="single" w:color="000000" w:sz="1"/>
              <w:bottom w:val="single" w:color="000000" w:sz="1"/>
              <w:right w:val="single" w:color="000000" w:sz="1"/>
            </w:tcBorders>
          </w:tcPr>
          <w:p>
            <w:r>
              <w:t xml:space="preserve">Mỗi service sở hữu dữ liệu của mình, giao tiếp qua API</w:t>
            </w:r>
          </w:p>
        </w:tc>
      </w:tr>
      <w:tr>
        <w:tc>
          <w:tcPr>
            <w:tcW w:type="pct" w:w="33.333333333333336%"/>
            <w:tcBorders>
              <w:top w:val="single" w:color="000000" w:sz="1"/>
              <w:left w:val="single" w:color="000000" w:sz="1"/>
              <w:bottom w:val="single" w:color="000000" w:sz="1"/>
              <w:right w:val="single" w:color="000000" w:sz="1"/>
            </w:tcBorders>
          </w:tcPr>
          <w:p>
            <w:r>
              <w:t xml:space="preserve">Độ phức tạp ban đầu</w:t>
            </w:r>
          </w:p>
        </w:tc>
        <w:tc>
          <w:tcPr>
            <w:tcW w:type="pct" w:w="33.333333333333336%"/>
            <w:tcBorders>
              <w:top w:val="single" w:color="000000" w:sz="1"/>
              <w:left w:val="single" w:color="000000" w:sz="1"/>
              <w:bottom w:val="single" w:color="000000" w:sz="1"/>
              <w:right w:val="single" w:color="000000" w:sz="1"/>
            </w:tcBorders>
          </w:tcPr>
          <w:p>
            <w:r>
              <w:t xml:space="preserve">Thấp: một project, gọi hàm trong cùng tiến trình</w:t>
            </w:r>
          </w:p>
        </w:tc>
        <w:tc>
          <w:tcPr>
            <w:tcW w:type="pct" w:w="33.333333333333336%"/>
            <w:tcBorders>
              <w:top w:val="single" w:color="000000" w:sz="1"/>
              <w:left w:val="single" w:color="000000" w:sz="1"/>
              <w:bottom w:val="single" w:color="000000" w:sz="1"/>
              <w:right w:val="single" w:color="000000" w:sz="1"/>
            </w:tcBorders>
          </w:tcPr>
          <w:p>
            <w:r>
              <w:t xml:space="preserve">Cao hơn: cần API Gateway, Service Discovery và xử lý lỗi mạng</w:t>
            </w:r>
          </w:p>
        </w:tc>
      </w:tr>
      <w:tr>
        <w:tc>
          <w:tcPr>
            <w:tcW w:type="pct" w:w="33.333333333333336%"/>
            <w:tcBorders>
              <w:top w:val="single" w:color="000000" w:sz="1"/>
              <w:left w:val="single" w:color="000000" w:sz="1"/>
              <w:bottom w:val="single" w:color="000000" w:sz="1"/>
              <w:right w:val="single" w:color="000000" w:sz="1"/>
            </w:tcBorders>
          </w:tcPr>
          <w:p>
            <w:r>
              <w:t xml:space="preserve">Phù hợp BookMart ở môn này</w:t>
            </w:r>
          </w:p>
        </w:tc>
        <w:tc>
          <w:tcPr>
            <w:tcW w:type="pct" w:w="33.333333333333336%"/>
            <w:tcBorders>
              <w:top w:val="single" w:color="000000" w:sz="1"/>
              <w:left w:val="single" w:color="000000" w:sz="1"/>
              <w:bottom w:val="single" w:color="000000" w:sz="1"/>
              <w:right w:val="single" w:color="000000" w:sz="1"/>
            </w:tcBorders>
          </w:tcPr>
          <w:p>
            <w:r>
              <w:t xml:space="preserve">Dễ làm nhanh nhưng không đáp ứng chuẩn đầu ra MSS301</w:t>
            </w:r>
          </w:p>
        </w:tc>
        <w:tc>
          <w:tcPr>
            <w:tcW w:type="pct" w:w="33.333333333333336%"/>
            <w:tcBorders>
              <w:top w:val="single" w:color="000000" w:sz="1"/>
              <w:left w:val="single" w:color="000000" w:sz="1"/>
              <w:bottom w:val="single" w:color="000000" w:sz="1"/>
              <w:right w:val="single" w:color="000000" w:sz="1"/>
            </w:tcBorders>
          </w:tcPr>
          <w:p>
            <w:r>
              <w:t xml:space="preserve">Đúng yêu cầu môn: Spring Cloud, Discovery, Gateway, sau đó Docker</w:t>
            </w:r>
          </w:p>
        </w:tc>
      </w:tr>
    </w:tbl>
    <w:p>
      <w:pPr>
        <w:spacing w:after="200"/>
      </w:pPr>
    </w:p>
    <w:p>
      <w:pPr>
        <w:pStyle w:val="Heading2"/>
        <w:spacing w:after="150" w:before="150"/>
      </w:pPr>
      <w:r>
        <w:t xml:space="preserve">Lý do chọn Microservices</w:t>
      </w:r>
    </w:p>
    <w:p>
      <w:pPr>
        <w:spacing w:after="100"/>
      </w:pPr>
      <w:r>
        <w:t xml:space="preserve">Nhóm chọn microservices vì ba miền của BookMart tách được rõ:</w:t>
      </w:r>
    </w:p>
    <w:p>
      <w:pPr>
        <w:pStyle w:val="ListParagraph"/>
        <w:numPr>
          <w:ilvl w:val="0"/>
          <w:numId w:val="1"/>
        </w:numPr>
        <w:spacing w:after="50"/>
      </w:pPr>
      <w:r>
        <w:t xml:space="preserve">Hồ sơ khách hàng không cần nằm cùng code với kho sách.</w:t>
      </w:r>
    </w:p>
    <w:p>
      <w:pPr>
        <w:pStyle w:val="ListParagraph"/>
        <w:numPr>
          <w:ilvl w:val="0"/>
          <w:numId w:val="1"/>
        </w:numPr>
        <w:spacing w:after="50"/>
      </w:pPr>
      <w:r>
        <w:t xml:space="preserve">Danh mục sách thay đổi độc lập với trạng thái đơn hàng.</w:t>
      </w:r>
    </w:p>
    <w:p>
      <w:pPr>
        <w:pStyle w:val="ListParagraph"/>
        <w:numPr>
          <w:ilvl w:val="0"/>
          <w:numId w:val="1"/>
        </w:numPr>
        <w:spacing w:after="50"/>
      </w:pPr>
      <w:r>
        <w:t xml:space="preserve">Tạo đơn cần đọc dữ liệu khách và dữ liệu sách, nhưng chỉ cần gọi REST, không cần dùng chung một project.</w:t>
      </w:r>
    </w:p>
    <w:p>
      <w:pPr>
        <w:spacing w:after="100"/>
      </w:pPr>
      <w:r>
        <w:t xml:space="preserve">Cách tách này cũng khớp yêu cầu môn MSS301: hệ thống phải có Service Discovery, API Gateway, ít nhất ba microservices, và sau này chạy bằng Docker Compose. Monolithic không có chỗ cho Eureka và Gateway hoạt động đúng vai trò của chúng.</w:t>
      </w:r>
    </w:p>
    <w:p>
      <w:pPr>
        <w:spacing w:after="100"/>
      </w:pPr>
      <w:r>
        <w:t xml:space="preserve">Chi phí chấp nhận được ở đồ án là hệ thống phức tạp hơn lúc đầu: phải cấu hình cổng, đăng ký service và định tuyến. Phần đó được làm dần ở giai đoạn 2 và giai đoạn 3, sau khi ranh giới từng service đã cố định ở giai đoạn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2026-09-27T07:12:01.228Z</dcterms:created>
  <dcterms:modified xsi:type="dcterms:W3CDTF">2026-09-27T07:12:01.228Z</dcterms:modified>
</cp:coreProperties>
</file>

<file path=docProps/custom.xml><?xml version="1.0" encoding="utf-8"?>
<Properties xmlns="http://schemas.openxmlformats.org/officeDocument/2006/custom-properties" xmlns:vt="http://schemas.openxmlformats.org/officeDocument/2006/docPropsVTypes"/>
</file>