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t xml:space="preserve">Artifact 2: Dynatrace — Target Customer Profile</w:t>
      </w:r>
    </w:p>
    <w:p>
      <w:pPr>
        <w:spacing w:after="80"/>
      </w:pPr>
      <w:r>
        <w:rPr>
          <w:i/>
          <w:iCs/>
          <w:color w:val="555555"/>
        </w:rPr>
        <w:t xml:space="preserve">Prepared: May 31, 2026</w:t>
      </w:r>
    </w:p>
    <w:p>
      <w:pPr>
        <w:spacing w:after="80"/>
      </w:pPr>
      <w:r>
        <w:rPr>
          <w:i/>
          <w:iCs/>
          <w:color w:val="555555"/>
        </w:rPr>
        <w:t xml:space="preserve">Subject: who Dynatrace, Inc. (NYSE: DT) sells to</w:t>
      </w:r>
    </w:p>
    <w:p>
      <w:pPr>
        <w:spacing w:after="280"/>
      </w:pPr>
      <w:r>
        <w:rPr>
          <w:i/>
          <w:iCs/>
          <w:color w:val="555555"/>
        </w:rPr>
        <w:t xml:space="preserve">Purpose: internal sales research brief for initial call preparation</w:t>
      </w:r>
    </w:p>
    <w:p>
      <w:pPr>
        <w:spacing w:after="280"/>
      </w:pPr>
      <w:r>
        <w:rPr>
          <w:b/>
          <w:bCs/>
        </w:rPr>
        <w:t xml:space="preserve">Scope note. </w:t>
      </w:r>
      <w:r>
        <w:t xml:space="preserve">This artifact characterizes Dynatrace's customer base — the enterprises buying observability and security platforms from Dynatrace. It is a companion to Artifact 1 (which profiles Dynatrace itself). Public-source research only; no internal CRM or proprietary data.</w:t>
      </w:r>
    </w:p>
    <w:p>
      <w:pPr>
        <w:pStyle w:val="Heading2"/>
        <w:spacing w:after="160" w:before="280"/>
      </w:pPr>
      <w:r>
        <w:t xml:space="preserve">1. Core Verticals</w:t>
      </w:r>
    </w:p>
    <w:p>
      <w:pPr>
        <w:spacing w:after="120"/>
      </w:pPr>
      <w:r>
        <w:t xml:space="preserve">Dynatrace does not publicly break out revenue by industry. The vertical ranking below is inferred from frequency of mention in the FY25 10-K, frequency of named customers across its public case-study library, and earnings-call commentary. Order is best-effort and approximate.</w:t>
      </w:r>
    </w:p>
    <w:p>
      <w:pPr>
        <w:spacing w:after="200"/>
      </w:pPr>
      <w:r>
        <w:t xml:space="preserve">Per the FY25 10-K (filed May 22, 2025), Dynatrace describes its target industries as: </w:t>
      </w:r>
      <w:r>
        <w:rPr>
          <w:b/>
          <w:bCs/>
        </w:rPr>
        <w:t xml:space="preserve">"banking and financial services, government, insurance, retail and wholesale, transportation,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400"/>
        <w:gridCol w:w="6080"/>
      </w:tblGrid>
      <w:tr>
        <w:tc>
          <w:tcPr>
            <w:tcW w:type="dxa" w:w="880"/>
            <w:tcBorders>
              <w:top w:val="single" w:color="CCCCCC" w:sz="4"/>
              <w:left w:val="single" w:color="CCCCCC" w:sz="4"/>
              <w:bottom w:val="single" w:color="CCCCCC" w:sz="4"/>
              <w:right w:val="single" w:color="CCCCCC" w:sz="4"/>
            </w:tcBorders>
            <w:shd w:fill="E7EDF3" w:val="clear"/>
            <w:tcMar>
              <w:top w:type="dxa" w:w="100"/>
              <w:left w:type="dxa" w:w="140"/>
              <w:bottom w:type="dxa" w:w="100"/>
              <w:right w:type="dxa" w:w="140"/>
            </w:tcMar>
          </w:tcPr>
          <w:p>
            <w:pPr>
              <w:spacing w:after="40"/>
            </w:pPr>
            <w:r>
              <w:rPr>
                <w:b/>
                <w:bCs/>
              </w:rPr>
              <w:t xml:space="preserve">Rank</w:t>
            </w:r>
          </w:p>
        </w:tc>
        <w:tc>
          <w:tcPr>
            <w:tcW w:type="dxa" w:w="2400"/>
            <w:tcBorders>
              <w:top w:val="single" w:color="CCCCCC" w:sz="4"/>
              <w:left w:val="single" w:color="CCCCCC" w:sz="4"/>
              <w:bottom w:val="single" w:color="CCCCCC" w:sz="4"/>
              <w:right w:val="single" w:color="CCCCCC" w:sz="4"/>
            </w:tcBorders>
            <w:shd w:fill="E7EDF3" w:val="clear"/>
            <w:tcMar>
              <w:top w:type="dxa" w:w="100"/>
              <w:left w:type="dxa" w:w="140"/>
              <w:bottom w:type="dxa" w:w="100"/>
              <w:right w:type="dxa" w:w="140"/>
            </w:tcMar>
          </w:tcPr>
          <w:p>
            <w:pPr>
              <w:spacing w:after="40"/>
            </w:pPr>
            <w:r>
              <w:rPr>
                <w:b/>
                <w:bCs/>
              </w:rPr>
              <w:t xml:space="preserve">Vertical</w:t>
            </w:r>
          </w:p>
        </w:tc>
        <w:tc>
          <w:tcPr>
            <w:tcW w:type="dxa" w:w="6080"/>
            <w:tcBorders>
              <w:top w:val="single" w:color="CCCCCC" w:sz="4"/>
              <w:left w:val="single" w:color="CCCCCC" w:sz="4"/>
              <w:bottom w:val="single" w:color="CCCCCC" w:sz="4"/>
              <w:right w:val="single" w:color="CCCCCC" w:sz="4"/>
            </w:tcBorders>
            <w:shd w:fill="E7EDF3" w:val="clear"/>
            <w:tcMar>
              <w:top w:type="dxa" w:w="100"/>
              <w:left w:type="dxa" w:w="140"/>
              <w:bottom w:type="dxa" w:w="100"/>
              <w:right w:type="dxa" w:w="140"/>
            </w:tcMar>
          </w:tcPr>
          <w:p>
            <w:pPr>
              <w:spacing w:after="40"/>
            </w:pPr>
            <w:r>
              <w:rPr>
                <w:b/>
                <w:bCs/>
              </w:rPr>
              <w:t xml:space="preserve">Evidence and representative named customers</w:t>
            </w:r>
          </w:p>
        </w:tc>
      </w:tr>
      <w:tr>
        <w:tc>
          <w:tcPr>
            <w:tcW w:type="dxa" w:w="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Banking &amp; Financial Services</w:t>
            </w:r>
          </w:p>
        </w:tc>
        <w:tc>
          <w:tcPr>
            <w:tcW w:type="dxa" w:w="6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Most prominent vertical in Dynatrace case-study library. Named customers include TD Bank (27M customers, $1.4T assets), BMO, Nationwide Building Society, Citigroup, Soldo, Shriram Capital. Dedicated industry solution page at dynatrace.com/solutions/industry/financial-services.</w:t>
            </w:r>
          </w:p>
        </w:tc>
      </w:tr>
      <w:tr>
        <w:tc>
          <w:tcPr>
            <w:tcW w:type="dxa" w:w="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Retail &amp; Wholesale</w:t>
            </w:r>
          </w:p>
        </w:tc>
        <w:tc>
          <w:tcPr>
            <w:tcW w:type="dxa" w:w="6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Named customers include Kroger, Abercrombie &amp; Fitch, Rack Room Shoes, Next (UK), Walmart, Home Depot, Ahold Delhaize USA. Use cases emphasize digital experience monitoring and peak-event reliability.</w:t>
            </w:r>
          </w:p>
        </w:tc>
      </w:tr>
      <w:tr>
        <w:tc>
          <w:tcPr>
            <w:tcW w:type="dxa" w:w="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Government / Public Sector</w:t>
            </w:r>
          </w:p>
        </w:tc>
        <w:tc>
          <w:tcPr>
            <w:tcW w:type="dxa" w:w="6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FedRAMP Moderate authorized (initial 2020, reauthorized 2024 with Rev.5 transition); StateRAMP Moderate; pursuing FedRAMP High. Named customers include the U.S. Department of Veterans Affairs and the Federal Communications Commission. Public sector practice covers federal civilian, DoD, intelligence community, and SLED.</w:t>
            </w:r>
          </w:p>
        </w:tc>
      </w:tr>
      <w:tr>
        <w:tc>
          <w:tcPr>
            <w:tcW w:type="dxa" w:w="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Software / Technology</w:t>
            </w:r>
          </w:p>
        </w:tc>
        <w:tc>
          <w:tcPr>
            <w:tcW w:type="dxa" w:w="6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Named customers include Adobe, SAP. Customers in this segment typically run cloud-native production workloads at scale.</w:t>
            </w:r>
          </w:p>
        </w:tc>
      </w:tr>
      <w:tr>
        <w:tc>
          <w:tcPr>
            <w:tcW w:type="dxa" w:w="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Manufacturing &amp; Industrial</w:t>
            </w:r>
          </w:p>
        </w:tc>
        <w:tc>
          <w:tcPr>
            <w:tcW w:type="dxa" w:w="6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Named customers include BMW, Volkswagen, Linde, British American Tobacco. Use cases emphasize plant-floor systems modernization and connected-product platforms.</w:t>
            </w:r>
          </w:p>
        </w:tc>
      </w:tr>
      <w:tr>
        <w:tc>
          <w:tcPr>
            <w:tcW w:type="dxa" w:w="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Healthcare &amp; Pharmaceuticals</w:t>
            </w:r>
          </w:p>
        </w:tc>
        <w:tc>
          <w:tcPr>
            <w:tcW w:type="dxa" w:w="6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Named customers include Pfizer, Philips, Bristol Myers Squibb. HIPAA-aware deployments. Less prominent in the case-study library than banking or retail.</w:t>
            </w:r>
          </w:p>
        </w:tc>
      </w:tr>
      <w:tr>
        <w:tc>
          <w:tcPr>
            <w:tcW w:type="dxa" w:w="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7</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Insurance</w:t>
            </w:r>
          </w:p>
        </w:tc>
        <w:tc>
          <w:tcPr>
            <w:tcW w:type="dxa" w:w="6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Called out by name in the 10-K industry list. Discussed in DXC partner sessions at Perform 2026 (an insurance operation processing $110B annually in claims was referenced).</w:t>
            </w:r>
          </w:p>
        </w:tc>
      </w:tr>
      <w:tr>
        <w:tc>
          <w:tcPr>
            <w:tcW w:type="dxa" w:w="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8</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Transportation / Telecom</w:t>
            </w:r>
          </w:p>
        </w:tc>
        <w:tc>
          <w:tcPr>
            <w:tcW w:type="dxa" w:w="6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Called out by name in the 10-K. Named customers include T-Mobile.</w:t>
            </w:r>
          </w:p>
        </w:tc>
      </w:tr>
    </w:tbl>
    <w:p>
      <w:pPr>
        <w:spacing w:after="0" w:before="120"/>
      </w:pPr>
      <w:r>
        <w:rPr>
          <w:i/>
          <w:iCs/>
          <w:color w:val="555555"/>
        </w:rPr>
        <w:t xml:space="preserve">Note: Top customers most cited by aggregators (ReadyContacts, FeaturedCustomers, Cuspera) include Adobe, BMW, Citigroup, Home Depot, Pfizer, Philips, SAP, T-Mobile, Volkswagen, Walmart. Aggregator customer lists should be treated as directional, not authoritative.</w:t>
      </w:r>
    </w:p>
    <w:p>
      <w:pPr>
        <w:pStyle w:val="Heading2"/>
        <w:spacing w:after="160" w:before="280"/>
      </w:pPr>
      <w:r>
        <w:t xml:space="preserve">2. Sub-vertical Specificity</w:t>
      </w:r>
    </w:p>
    <w:p>
      <w:pPr>
        <w:spacing w:after="120"/>
      </w:pPr>
      <w:r>
        <w:t xml:space="preserve">Dynatrace does not publish a formal sub-vertical taxonomy. The sub-segments below are inferred from named customer types, solution pages, and partner activity.</w:t>
      </w:r>
    </w:p>
    <w:p>
      <w:pPr>
        <w:pStyle w:val="Heading3"/>
        <w:spacing w:after="100" w:before="200"/>
      </w:pPr>
      <w:r>
        <w:t xml:space="preserve">Banking &amp; Financial Services</w:t>
      </w:r>
    </w:p>
    <w:p>
      <w:pPr>
        <w:pStyle w:val="ListParagraph"/>
        <w:numPr>
          <w:ilvl w:val="0"/>
          <w:numId w:val="2"/>
        </w:numPr>
        <w:spacing w:after="80"/>
      </w:pPr>
      <w:r>
        <w:t xml:space="preserve">Tier 1 commercial banks with multi-channel digital banking platforms (TD Bank, BMO, Citigroup). Heavy hybrid-cloud and mainframe co-existence; broad business-process observability is the typical entry use case.</w:t>
      </w:r>
    </w:p>
    <w:p>
      <w:pPr>
        <w:pStyle w:val="ListParagraph"/>
        <w:numPr>
          <w:ilvl w:val="0"/>
          <w:numId w:val="2"/>
        </w:numPr>
        <w:spacing w:after="80"/>
      </w:pPr>
      <w:r>
        <w:t xml:space="preserve">UK and European retail / building society banks (Nationwide). DORA and PRA compliance posture; resilience reporting requirements drive observability spend.</w:t>
      </w:r>
    </w:p>
    <w:p>
      <w:pPr>
        <w:pStyle w:val="ListParagraph"/>
        <w:numPr>
          <w:ilvl w:val="0"/>
          <w:numId w:val="2"/>
        </w:numPr>
        <w:spacing w:after="80"/>
      </w:pPr>
      <w:r>
        <w:t xml:space="preserve">Fintech and digital-native financial services (Soldo). Cloud-native from inception; security and DevSecOps modules sold together with observability.</w:t>
      </w:r>
    </w:p>
    <w:p>
      <w:pPr>
        <w:pStyle w:val="ListParagraph"/>
        <w:numPr>
          <w:ilvl w:val="0"/>
          <w:numId w:val="2"/>
        </w:numPr>
        <w:spacing w:after="80"/>
      </w:pPr>
      <w:r>
        <w:t xml:space="preserve">Capital markets / asset management — less visible in the case-study library; presumed FINRA/SEC-regulated.</w:t>
      </w:r>
    </w:p>
    <w:p>
      <w:pPr>
        <w:pStyle w:val="Heading3"/>
        <w:spacing w:after="100" w:before="200"/>
      </w:pPr>
      <w:r>
        <w:t xml:space="preserve">Government / Public Sector</w:t>
      </w:r>
    </w:p>
    <w:p>
      <w:pPr>
        <w:pStyle w:val="ListParagraph"/>
        <w:numPr>
          <w:ilvl w:val="0"/>
          <w:numId w:val="2"/>
        </w:numPr>
        <w:spacing w:after="80"/>
      </w:pPr>
      <w:r>
        <w:t xml:space="preserve">U.S. federal civilian (Department of Veterans Affairs, FCC, others) — FedRAMP Moderate baseline; cloud-modernization mandates.</w:t>
      </w:r>
    </w:p>
    <w:p>
      <w:pPr>
        <w:pStyle w:val="ListParagraph"/>
        <w:numPr>
          <w:ilvl w:val="0"/>
          <w:numId w:val="2"/>
        </w:numPr>
        <w:spacing w:after="80"/>
      </w:pPr>
      <w:r>
        <w:t xml:space="preserve">Department of Defense and intelligence community — FedRAMP High pursued; air-gapped and battlefield deployments referenced on the public-sector page.</w:t>
      </w:r>
    </w:p>
    <w:p>
      <w:pPr>
        <w:pStyle w:val="ListParagraph"/>
        <w:numPr>
          <w:ilvl w:val="0"/>
          <w:numId w:val="2"/>
        </w:numPr>
        <w:spacing w:after="80"/>
      </w:pPr>
      <w:r>
        <w:t xml:space="preserve">State, Local, and Education (SLED) — StateRAMP Moderate authorized; first observability platform to achieve this designation.</w:t>
      </w:r>
    </w:p>
    <w:p>
      <w:pPr>
        <w:pStyle w:val="ListParagraph"/>
        <w:numPr>
          <w:ilvl w:val="0"/>
          <w:numId w:val="2"/>
        </w:numPr>
        <w:spacing w:after="80"/>
      </w:pPr>
      <w:r>
        <w:t xml:space="preserve">International public sector — referenced in 10-K but specific sub-segments not publicly broken out.</w:t>
      </w:r>
    </w:p>
    <w:p>
      <w:pPr>
        <w:pStyle w:val="Heading3"/>
        <w:spacing w:after="100" w:before="200"/>
      </w:pPr>
      <w:r>
        <w:t xml:space="preserve">Retail &amp; Wholesale</w:t>
      </w:r>
    </w:p>
    <w:p>
      <w:pPr>
        <w:pStyle w:val="ListParagraph"/>
        <w:numPr>
          <w:ilvl w:val="0"/>
          <w:numId w:val="2"/>
        </w:numPr>
        <w:spacing w:after="80"/>
      </w:pPr>
      <w:r>
        <w:t xml:space="preserve">Grocery and mass-market retail (Kroger, Walmart, Ahold Delhaize USA). Peak-event reliability (Black Friday, holiday) drives heavy DEM and synthetic monitoring usage.</w:t>
      </w:r>
    </w:p>
    <w:p>
      <w:pPr>
        <w:pStyle w:val="ListParagraph"/>
        <w:numPr>
          <w:ilvl w:val="0"/>
          <w:numId w:val="2"/>
        </w:numPr>
        <w:spacing w:after="80"/>
      </w:pPr>
      <w:r>
        <w:t xml:space="preserve">Apparel and specialty retail (Abercrombie &amp; Fitch, Rack Room Shoes, Next). E-commerce modernization, often on Red Hat OpenShift or Kubernetes; session replay and RUM heavy.</w:t>
      </w:r>
    </w:p>
    <w:p>
      <w:pPr>
        <w:pStyle w:val="ListParagraph"/>
        <w:numPr>
          <w:ilvl w:val="0"/>
          <w:numId w:val="2"/>
        </w:numPr>
        <w:spacing w:after="80"/>
      </w:pPr>
      <w:r>
        <w:t xml:space="preserve">Home improvement and big-box (Home Depot). Cited frequently in aggregator lists; specifics not publicly disclosed.</w:t>
      </w:r>
    </w:p>
    <w:p>
      <w:pPr>
        <w:pStyle w:val="Heading3"/>
        <w:spacing w:after="100" w:before="200"/>
      </w:pPr>
      <w:r>
        <w:t xml:space="preserve">Insurance</w:t>
      </w:r>
    </w:p>
    <w:p>
      <w:pPr>
        <w:pStyle w:val="ListParagraph"/>
        <w:numPr>
          <w:ilvl w:val="0"/>
          <w:numId w:val="2"/>
        </w:numPr>
        <w:spacing w:after="80"/>
      </w:pPr>
      <w:r>
        <w:t xml:space="preserve">Large-claims-volume insurers (referenced in DXC partner sessions, $110B annual claims volume). Mainframe-to-cloud modernization typical.</w:t>
      </w:r>
    </w:p>
    <w:p>
      <w:pPr>
        <w:pStyle w:val="ListParagraph"/>
        <w:numPr>
          <w:ilvl w:val="0"/>
          <w:numId w:val="2"/>
        </w:numPr>
        <w:spacing w:after="80"/>
      </w:pPr>
      <w:r>
        <w:t xml:space="preserve">Insurance brokerage and reinsurance — not specifically broken out publicly.</w:t>
      </w:r>
    </w:p>
    <w:p>
      <w:pPr>
        <w:pStyle w:val="Heading2"/>
        <w:spacing w:after="160" w:before="280"/>
      </w:pPr>
      <w:r>
        <w:t xml:space="preserve">3. Company Size Band</w:t>
      </w:r>
    </w:p>
    <w:p>
      <w:pPr>
        <w:spacing w:after="120"/>
      </w:pPr>
      <w:r>
        <w:t xml:space="preserve">Dynatrace targets large enterprises. The FY25 10-K (filed May 22, 2025) describes the direct-sales motion as targeting "the largest 15,000 companies globally," and the company runs a strategic-account program internally referred to as the IT 500 covering the 500 largest enterprises.</w:t>
      </w:r>
    </w:p>
    <w:p>
      <w:pPr>
        <w:pStyle w:val="Heading3"/>
        <w:spacing w:after="100" w:before="200"/>
      </w:pPr>
      <w:r>
        <w:t xml:space="preserve">Quantitative anchors</w:t>
      </w:r>
    </w:p>
    <w:p>
      <w:pPr>
        <w:pStyle w:val="ListParagraph"/>
        <w:numPr>
          <w:ilvl w:val="0"/>
          <w:numId w:val="2"/>
        </w:numPr>
        <w:spacing w:after="80"/>
      </w:pPr>
      <w:r>
        <w:rPr>
          <w:b/>
          <w:bCs/>
        </w:rPr>
        <w:t xml:space="preserve">Customer count: </w:t>
      </w:r>
      <w:r>
        <w:t xml:space="preserve">approximately 4,100 customers across 105+ countries as of March 31, 2025 (FY25 10-K).</w:t>
      </w:r>
    </w:p>
    <w:p>
      <w:pPr>
        <w:pStyle w:val="ListParagraph"/>
        <w:numPr>
          <w:ilvl w:val="0"/>
          <w:numId w:val="2"/>
        </w:numPr>
        <w:spacing w:after="80"/>
      </w:pPr>
      <w:r>
        <w:rPr>
          <w:b/>
          <w:bCs/>
        </w:rPr>
        <w:t xml:space="preserve">Median enterprise annual contract: </w:t>
      </w:r>
      <w:r>
        <w:t xml:space="preserve">approximately $182,883 (third-party transaction data, Checkthat.ai, 2026).</w:t>
      </w:r>
    </w:p>
    <w:p>
      <w:pPr>
        <w:pStyle w:val="ListParagraph"/>
        <w:numPr>
          <w:ilvl w:val="0"/>
          <w:numId w:val="2"/>
        </w:numPr>
        <w:spacing w:after="80"/>
      </w:pPr>
      <w:r>
        <w:rPr>
          <w:b/>
          <w:bCs/>
        </w:rPr>
        <w:t xml:space="preserve">Average new-logo "land": </w:t>
      </w:r>
      <w:r>
        <w:t xml:space="preserve">above $200,000 (Q4 FY26 earnings call, May 13, 2026).</w:t>
      </w:r>
    </w:p>
    <w:p>
      <w:pPr>
        <w:pStyle w:val="ListParagraph"/>
        <w:numPr>
          <w:ilvl w:val="0"/>
          <w:numId w:val="2"/>
        </w:numPr>
        <w:spacing w:after="80"/>
      </w:pPr>
      <w:r>
        <w:rPr>
          <w:b/>
          <w:bCs/>
        </w:rPr>
        <w:t xml:space="preserve">Seven-figure deals: </w:t>
      </w:r>
      <w:r>
        <w:t xml:space="preserve">22 deals with incremental ACV &gt;$1M in Q4 FY26, of which 9 were new-logo wins (May 13, 2026 earnings release).</w:t>
      </w:r>
    </w:p>
    <w:p>
      <w:pPr>
        <w:pStyle w:val="ListParagraph"/>
        <w:numPr>
          <w:ilvl w:val="0"/>
          <w:numId w:val="2"/>
        </w:numPr>
        <w:spacing w:after="80"/>
      </w:pPr>
      <w:r>
        <w:rPr>
          <w:b/>
          <w:bCs/>
        </w:rPr>
        <w:t xml:space="preserve">Largest strategic accounts: </w:t>
      </w:r>
      <w:r>
        <w:t xml:space="preserve">multi-million-dollar multi-year deals, typically GSI-led for the IT 500 segment.</w:t>
      </w:r>
    </w:p>
    <w:p>
      <w:pPr>
        <w:pStyle w:val="Heading3"/>
        <w:spacing w:after="100" w:before="200"/>
      </w:pPr>
      <w:r>
        <w:t xml:space="preserve">Inferred ICP band</w:t>
      </w:r>
    </w:p>
    <w:p>
      <w:pPr>
        <w:spacing w:after="120"/>
      </w:pPr>
      <w:r>
        <w:t xml:space="preserve">Combining the above signals:</w:t>
      </w:r>
    </w:p>
    <w:p>
      <w:pPr>
        <w:pStyle w:val="ListParagraph"/>
        <w:numPr>
          <w:ilvl w:val="0"/>
          <w:numId w:val="2"/>
        </w:numPr>
        <w:spacing w:after="80"/>
      </w:pPr>
      <w:r>
        <w:t xml:space="preserve">Primary band: $1B+ annual revenue, 5,000+ employees, Global 2000 / Fortune 1000 / equivalent international.</w:t>
      </w:r>
    </w:p>
    <w:p>
      <w:pPr>
        <w:pStyle w:val="ListParagraph"/>
        <w:numPr>
          <w:ilvl w:val="0"/>
          <w:numId w:val="2"/>
        </w:numPr>
        <w:spacing w:after="80"/>
      </w:pPr>
      <w:r>
        <w:t xml:space="preserve">Strategic band (IT 500): $10B+ annual revenue, 25,000+ employees, Fortune 500 / Global 500.</w:t>
      </w:r>
    </w:p>
    <w:p>
      <w:pPr>
        <w:pStyle w:val="ListParagraph"/>
        <w:numPr>
          <w:ilvl w:val="0"/>
          <w:numId w:val="2"/>
        </w:numPr>
        <w:spacing w:after="80"/>
      </w:pPr>
      <w:r>
        <w:t xml:space="preserve">Commercial / mid-market: cloud-native scale-ups and mid-market enterprises (sub-$1B revenue), typically partner-led and entering via infrastructure or Kubernetes-monitoring use cases. Smaller share of ACV but referenced in marketplace and partner motion.</w:t>
      </w:r>
    </w:p>
    <w:p>
      <w:pPr>
        <w:pStyle w:val="Heading2"/>
        <w:spacing w:after="160" w:before="280"/>
      </w:pPr>
      <w:r>
        <w:t xml:space="preserve">4. Buying Center Composition</w:t>
      </w:r>
    </w:p>
    <w:p>
      <w:pPr>
        <w:spacing w:after="120"/>
      </w:pPr>
      <w:r>
        <w:t xml:space="preserve">Buying observability at the platform tier typically involves a multi-stakeholder committee spanning infrastructure, application, security, and procurement functions. Roles below are inferred from named customer testimonials, Gartner Peer Insights reviewer titles, Dynatrace marketing collateral, and Dynatrace's own 2023 Global CIO Report (survey of 1,300 CIOs and senior IT practitioners).</w:t>
      </w:r>
    </w:p>
    <w:p>
      <w:pPr>
        <w:pStyle w:val="Heading3"/>
        <w:spacing w:after="100" w:before="200"/>
      </w:pPr>
      <w:r>
        <w:t xml:space="preserve">Economic buyer roles</w:t>
      </w:r>
    </w:p>
    <w:p>
      <w:pPr>
        <w:pStyle w:val="ListParagraph"/>
        <w:numPr>
          <w:ilvl w:val="0"/>
          <w:numId w:val="2"/>
        </w:numPr>
        <w:spacing w:after="80"/>
      </w:pPr>
      <w:r>
        <w:rPr>
          <w:b/>
          <w:bCs/>
        </w:rPr>
        <w:t xml:space="preserve">CIO / SVP Technology — </w:t>
      </w:r>
      <w:r>
        <w:t xml:space="preserve">most common platform-tier economic buyer. Dynatrace marketing is heavily CIO-targeted (industry CIO Reports, CIO.com partnerships).</w:t>
      </w:r>
    </w:p>
    <w:p>
      <w:pPr>
        <w:pStyle w:val="ListParagraph"/>
        <w:numPr>
          <w:ilvl w:val="0"/>
          <w:numId w:val="2"/>
        </w:numPr>
        <w:spacing w:after="80"/>
      </w:pPr>
      <w:r>
        <w:rPr>
          <w:b/>
          <w:bCs/>
        </w:rPr>
        <w:t xml:space="preserve">CTO — </w:t>
      </w:r>
      <w:r>
        <w:t xml:space="preserve">in technology-led companies and cloud-native firms.</w:t>
      </w:r>
    </w:p>
    <w:p>
      <w:pPr>
        <w:pStyle w:val="ListParagraph"/>
        <w:numPr>
          <w:ilvl w:val="0"/>
          <w:numId w:val="2"/>
        </w:numPr>
        <w:spacing w:after="80"/>
      </w:pPr>
      <w:r>
        <w:rPr>
          <w:b/>
          <w:bCs/>
        </w:rPr>
        <w:t xml:space="preserve">CISO — </w:t>
      </w:r>
      <w:r>
        <w:t xml:space="preserve">when Application Security or Cloud Security Posture Management modules are in scope. Dynatrace's 2023 CIO Report found 88% of CIOs view observability/security convergence as critical, positioning CISO as a co-buyer.</w:t>
      </w:r>
    </w:p>
    <w:p>
      <w:pPr>
        <w:pStyle w:val="ListParagraph"/>
        <w:numPr>
          <w:ilvl w:val="0"/>
          <w:numId w:val="2"/>
        </w:numPr>
        <w:spacing w:after="80"/>
      </w:pPr>
      <w:r>
        <w:rPr>
          <w:b/>
          <w:bCs/>
        </w:rPr>
        <w:t xml:space="preserve">CFO — </w:t>
      </w:r>
      <w:r>
        <w:t xml:space="preserve">involved on enterprise commercial review and consolidation business cases (replacing 7+ legacy tools is a common pitch — TD Bank publicly cited up to 45% monitoring cost reduction).</w:t>
      </w:r>
    </w:p>
    <w:p>
      <w:pPr>
        <w:pStyle w:val="Heading3"/>
        <w:spacing w:after="100" w:before="200"/>
      </w:pPr>
      <w:r>
        <w:t xml:space="preserve">Technical evaluator roles</w:t>
      </w:r>
    </w:p>
    <w:p>
      <w:pPr>
        <w:pStyle w:val="ListParagraph"/>
        <w:numPr>
          <w:ilvl w:val="0"/>
          <w:numId w:val="2"/>
        </w:numPr>
        <w:spacing w:after="80"/>
      </w:pPr>
      <w:r>
        <w:t xml:space="preserve">VP / Director of Platform Engineering or Cloud Engineering — typical technical owner for the deal.</w:t>
      </w:r>
    </w:p>
    <w:p>
      <w:pPr>
        <w:pStyle w:val="ListParagraph"/>
        <w:numPr>
          <w:ilvl w:val="0"/>
          <w:numId w:val="2"/>
        </w:numPr>
        <w:spacing w:after="80"/>
      </w:pPr>
      <w:r>
        <w:t xml:space="preserve">VP / Director of Site Reliability Engineering (SRE) — primary day-to-day user persona; heavy influence on POC outcome.</w:t>
      </w:r>
    </w:p>
    <w:p>
      <w:pPr>
        <w:pStyle w:val="ListParagraph"/>
        <w:numPr>
          <w:ilvl w:val="0"/>
          <w:numId w:val="2"/>
        </w:numPr>
        <w:spacing w:after="80"/>
      </w:pPr>
      <w:r>
        <w:t xml:space="preserve">VP / Head of Application Development — for APM-led entry deals.</w:t>
      </w:r>
    </w:p>
    <w:p>
      <w:pPr>
        <w:pStyle w:val="ListParagraph"/>
        <w:numPr>
          <w:ilvl w:val="0"/>
          <w:numId w:val="2"/>
        </w:numPr>
        <w:spacing w:after="80"/>
      </w:pPr>
      <w:r>
        <w:t xml:space="preserve">VP / Head of Information Security or DevSecOps — when security capabilities are in the deal.</w:t>
      </w:r>
    </w:p>
    <w:p>
      <w:pPr>
        <w:pStyle w:val="ListParagraph"/>
        <w:numPr>
          <w:ilvl w:val="0"/>
          <w:numId w:val="2"/>
        </w:numPr>
        <w:spacing w:after="80"/>
      </w:pPr>
      <w:r>
        <w:t xml:space="preserve">Enterprise Architects and Cloud Architects — standards/integration veto authority.</w:t>
      </w:r>
    </w:p>
    <w:p>
      <w:pPr>
        <w:pStyle w:val="Heading3"/>
        <w:spacing w:after="100" w:before="200"/>
      </w:pPr>
      <w:r>
        <w:t xml:space="preserve">Influencer and veto roles</w:t>
      </w:r>
    </w:p>
    <w:p>
      <w:pPr>
        <w:pStyle w:val="ListParagraph"/>
        <w:numPr>
          <w:ilvl w:val="0"/>
          <w:numId w:val="2"/>
        </w:numPr>
        <w:spacing w:after="80"/>
      </w:pPr>
      <w:r>
        <w:t xml:space="preserve">Lead SREs and senior platform engineers (technical champion or veto).</w:t>
      </w:r>
    </w:p>
    <w:p>
      <w:pPr>
        <w:pStyle w:val="ListParagraph"/>
        <w:numPr>
          <w:ilvl w:val="0"/>
          <w:numId w:val="2"/>
        </w:numPr>
        <w:spacing w:after="80"/>
      </w:pPr>
      <w:r>
        <w:t xml:space="preserve">Security architecture review boards (compliance review for SaaS data-residency, FedRAMP, etc.).</w:t>
      </w:r>
    </w:p>
    <w:p>
      <w:pPr>
        <w:pStyle w:val="ListParagraph"/>
        <w:numPr>
          <w:ilvl w:val="0"/>
          <w:numId w:val="2"/>
        </w:numPr>
        <w:spacing w:after="80"/>
      </w:pPr>
      <w:r>
        <w:t xml:space="preserve">Procurement — heavily involved given multi-year DPS commitments; "Director of Procurement" appears among Gartner Voice of the Customer reviewers.</w:t>
      </w:r>
    </w:p>
    <w:p>
      <w:pPr>
        <w:pStyle w:val="ListParagraph"/>
        <w:numPr>
          <w:ilvl w:val="0"/>
          <w:numId w:val="2"/>
        </w:numPr>
        <w:spacing w:after="80"/>
      </w:pPr>
      <w:r>
        <w:t xml:space="preserve">Legal — MSA, data-processing-addenda, and AI-risk language (recent FY26 risk factor disclosure references AI regulatory scrutiny).</w:t>
      </w:r>
    </w:p>
    <w:p>
      <w:pPr>
        <w:pStyle w:val="Heading3"/>
        <w:spacing w:after="100" w:before="200"/>
      </w:pPr>
      <w:r>
        <w:t xml:space="preserve">Approximate seniority distribution</w:t>
      </w:r>
    </w:p>
    <w:p>
      <w:pPr>
        <w:spacing w:after="120"/>
      </w:pPr>
      <w:r>
        <w:t xml:space="preserve">Strategic IT 500 deals: CIO-sponsored, VP-led evaluation, director-led day-to-day. Commercial mid-market deals: VP-sponsored, director-led evaluation, partner-supported procurement. Largest deals often involve board-level technology committee visibility because of cost consolidation (multi-tool retirement) angles.</w:t>
      </w:r>
    </w:p>
    <w:p>
      <w:pPr>
        <w:pStyle w:val="Heading2"/>
        <w:spacing w:after="160" w:before="280"/>
      </w:pPr>
      <w:r>
        <w:t xml:space="preserve">5. Regulatory &amp; Compliance Context</w:t>
      </w:r>
    </w:p>
    <w:p>
      <w:pPr>
        <w:spacing w:after="120"/>
      </w:pPr>
      <w:r>
        <w:t xml:space="preserve">Because Dynatrace sells into regulated enterprises across multiple geographies and verticals, its customer base operates under a wide compliance envelope. Material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80"/>
        <w:gridCol w:w="2880"/>
      </w:tblGrid>
      <w:tr>
        <w:tc>
          <w:tcPr>
            <w:tcW w:type="dxa" w:w="1600"/>
            <w:tcBorders>
              <w:top w:val="single" w:color="CCCCCC" w:sz="4"/>
              <w:left w:val="single" w:color="CCCCCC" w:sz="4"/>
              <w:bottom w:val="single" w:color="CCCCCC" w:sz="4"/>
              <w:right w:val="single" w:color="CCCCCC" w:sz="4"/>
            </w:tcBorders>
            <w:shd w:fill="E7EDF3" w:val="clear"/>
            <w:tcMar>
              <w:top w:type="dxa" w:w="100"/>
              <w:left w:type="dxa" w:w="140"/>
              <w:bottom w:type="dxa" w:w="100"/>
              <w:right w:type="dxa" w:w="140"/>
            </w:tcMar>
          </w:tcPr>
          <w:p>
            <w:pPr>
              <w:spacing w:after="40"/>
            </w:pPr>
            <w:r>
              <w:rPr>
                <w:b/>
                <w:bCs/>
              </w:rPr>
              <w:t xml:space="preserve">Regime</w:t>
            </w:r>
          </w:p>
        </w:tc>
        <w:tc>
          <w:tcPr>
            <w:tcW w:type="dxa" w:w="2400"/>
            <w:tcBorders>
              <w:top w:val="single" w:color="CCCCCC" w:sz="4"/>
              <w:left w:val="single" w:color="CCCCCC" w:sz="4"/>
              <w:bottom w:val="single" w:color="CCCCCC" w:sz="4"/>
              <w:right w:val="single" w:color="CCCCCC" w:sz="4"/>
            </w:tcBorders>
            <w:shd w:fill="E7EDF3" w:val="clear"/>
            <w:tcMar>
              <w:top w:type="dxa" w:w="100"/>
              <w:left w:type="dxa" w:w="140"/>
              <w:bottom w:type="dxa" w:w="100"/>
              <w:right w:type="dxa" w:w="140"/>
            </w:tcMar>
          </w:tcPr>
          <w:p>
            <w:pPr>
              <w:spacing w:after="40"/>
            </w:pPr>
            <w:r>
              <w:rPr>
                <w:b/>
                <w:bCs/>
              </w:rPr>
              <w:t xml:space="preserve">One-line description</w:t>
            </w:r>
          </w:p>
        </w:tc>
        <w:tc>
          <w:tcPr>
            <w:tcW w:type="dxa" w:w="2480"/>
            <w:tcBorders>
              <w:top w:val="single" w:color="CCCCCC" w:sz="4"/>
              <w:left w:val="single" w:color="CCCCCC" w:sz="4"/>
              <w:bottom w:val="single" w:color="CCCCCC" w:sz="4"/>
              <w:right w:val="single" w:color="CCCCCC" w:sz="4"/>
            </w:tcBorders>
            <w:shd w:fill="E7EDF3" w:val="clear"/>
            <w:tcMar>
              <w:top w:type="dxa" w:w="100"/>
              <w:left w:type="dxa" w:w="140"/>
              <w:bottom w:type="dxa" w:w="100"/>
              <w:right w:type="dxa" w:w="140"/>
            </w:tcMar>
          </w:tcPr>
          <w:p>
            <w:pPr>
              <w:spacing w:after="40"/>
            </w:pPr>
            <w:r>
              <w:rPr>
                <w:b/>
                <w:bCs/>
              </w:rPr>
              <w:t xml:space="preserve">Customer segments most affected</w:t>
            </w:r>
          </w:p>
        </w:tc>
        <w:tc>
          <w:tcPr>
            <w:tcW w:type="dxa" w:w="2880"/>
            <w:tcBorders>
              <w:top w:val="single" w:color="CCCCCC" w:sz="4"/>
              <w:left w:val="single" w:color="CCCCCC" w:sz="4"/>
              <w:bottom w:val="single" w:color="CCCCCC" w:sz="4"/>
              <w:right w:val="single" w:color="CCCCCC" w:sz="4"/>
            </w:tcBorders>
            <w:shd w:fill="E7EDF3" w:val="clear"/>
            <w:tcMar>
              <w:top w:type="dxa" w:w="100"/>
              <w:left w:type="dxa" w:w="140"/>
              <w:bottom w:type="dxa" w:w="100"/>
              <w:right w:type="dxa" w:w="140"/>
            </w:tcMar>
          </w:tcPr>
          <w:p>
            <w:pPr>
              <w:spacing w:after="40"/>
            </w:pPr>
            <w:r>
              <w:rPr>
                <w:b/>
                <w:bCs/>
              </w:rPr>
              <w:t xml:space="preserve">Deal-mechanics impact</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FedRAMP Moderate / High</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U.S. federal cloud-service security baseline</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U.S. federal civilian, DoD, intelligence community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Federal-only deployment required (Dynatrace for Government); separate sales motion; longer ATO timelines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StateRAMP</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State/local/education cloud security baseline (U.S.)</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U.S. state agencies, municipalities, public universities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Dynatrace was first observability platform StateRAMP-authorized; competitive moat in SLED</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FIPS 140-2 / NIST 800-53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Federal cryptography and security control standards</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Federal customers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Required for federal procurement</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HIPAA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U.S. health-information privacy &amp; security</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Healthcare providers, payers, pharma, healthtech</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Business Associate Agreement required; PHI handling in logs/traces is sensitive</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PCI-DSS</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Payment card data security</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Retail, banking, payments, hospitality, e-commerce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Cardholder data segregation in observability data; scope-reduction value prop</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SOX</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U.S. public-company financial controls</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All U.S. public-company customers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ITGC implications for observability of financial reporting systems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GDPR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EU data protection</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All customers operating in EU (large share given EU R&amp;D footprint)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Data residency, DPA, sub-processor disclosure</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DORA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EU Digital Operational Resilience Act (in force Jan 17, 2025)</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EU financial entities and their critical ICT providers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Resilience reporting; ICT third-party risk; recent regulatory tailwind</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NIS2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EU cybersecurity directive for essential &amp; important entities</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EU enterprises in 18 sectors including finance, energy, transport, health, public admin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Incident reporting timelines; risk management requirements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FINRA / SEC</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U.S. broker-dealer and securities regulation</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Capital markets, banks with brokerage arms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Books-and-records, surveillance, audit trails</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SOC 2 / ISO 27001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Third-party security assurance</w:t>
            </w:r>
          </w:p>
        </w:tc>
        <w:tc>
          <w:tcPr>
            <w:tcW w:type="dxa" w:w="24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Most enterprise customers as buyer-side requirement</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pPr>
            <w:r>
              <w:rPr>
                <w:b w:val="false"/>
                <w:bCs w:val="false"/>
              </w:rPr>
              <w:t xml:space="preserve">Vendor security questionnaires; standard ask</w:t>
            </w:r>
          </w:p>
        </w:tc>
      </w:tr>
    </w:tbl>
    <w:p>
      <w:pPr>
        <w:spacing w:after="0" w:before="200"/>
      </w:pPr>
      <w:r>
        <w:t xml:space="preserve">Implication for first-call context: customers in Dynatrace's base typically have hardened procurement and security-review processes. Security review alone often adds </w:t>
      </w:r>
      <w:r>
        <w:rPr>
          <w:b/>
          <w:bCs/>
        </w:rPr>
        <w:t xml:space="preserve">8–12 weeks</w:t>
      </w:r>
      <w:r>
        <w:t xml:space="preserve"> to enterprise procurement cycles. Federal deals run separately under Dynatrace for Government with longer ATO timelines.</w:t>
      </w:r>
    </w:p>
    <w:p>
      <w:pPr>
        <w:pStyle w:val="Heading2"/>
        <w:spacing w:after="160" w:before="280"/>
      </w:pPr>
      <w:r>
        <w:t xml:space="preserve">6. Technical Environment Norms</w:t>
      </w:r>
    </w:p>
    <w:p>
      <w:pPr>
        <w:pStyle w:val="Heading3"/>
        <w:spacing w:after="100" w:before="200"/>
      </w:pPr>
      <w:r>
        <w:t xml:space="preserve">Cloud posture</w:t>
      </w:r>
    </w:p>
    <w:p>
      <w:pPr>
        <w:pStyle w:val="ListParagraph"/>
        <w:numPr>
          <w:ilvl w:val="0"/>
          <w:numId w:val="2"/>
        </w:numPr>
        <w:spacing w:after="80"/>
      </w:pPr>
      <w:r>
        <w:t xml:space="preserve">Heavily multicloud. Dynatrace markets deep integrations with AWS (100+ AWS services covered), Microsoft Azure (AKS, Functions, Cosmos DB, Spring Cloud), and Google Cloud. AWS Marketplace surpassed $1B in lifetime sales as of February 2026 — customers actively procure through hyperscaler marketplaces.</w:t>
      </w:r>
    </w:p>
    <w:p>
      <w:pPr>
        <w:pStyle w:val="ListParagraph"/>
        <w:numPr>
          <w:ilvl w:val="0"/>
          <w:numId w:val="2"/>
        </w:numPr>
        <w:spacing w:after="80"/>
      </w:pPr>
      <w:r>
        <w:t xml:space="preserve">Hybrid is the norm in large enterprise customers. TD Bank case study: hybrid (private + public cloud + legacy on-prem), retiring up to 7 legacy monitoring tools.</w:t>
      </w:r>
    </w:p>
    <w:p>
      <w:pPr>
        <w:pStyle w:val="ListParagraph"/>
        <w:numPr>
          <w:ilvl w:val="0"/>
          <w:numId w:val="2"/>
        </w:numPr>
        <w:spacing w:after="80"/>
      </w:pPr>
      <w:r>
        <w:t xml:space="preserve">On-prem and mainframe still material. DXC Perform 2026 session described a banking customer running 500+ business processes spanning legacy (.NET, Java) and modern Kubernetes, including mainframe interactions.</w:t>
      </w:r>
    </w:p>
    <w:p>
      <w:pPr>
        <w:pStyle w:val="Heading3"/>
        <w:spacing w:after="100" w:before="200"/>
      </w:pPr>
      <w:r>
        <w:t xml:space="preserve">Container and Kubernetes posture</w:t>
      </w:r>
    </w:p>
    <w:p>
      <w:pPr>
        <w:pStyle w:val="ListParagraph"/>
        <w:numPr>
          <w:ilvl w:val="0"/>
          <w:numId w:val="2"/>
        </w:numPr>
        <w:spacing w:after="80"/>
      </w:pPr>
      <w:r>
        <w:t xml:space="preserve">Kubernetes is a primary entry use case. Dynatrace named Leader in 2024 GigaOm Radar Report for Kubernetes Observability.</w:t>
      </w:r>
    </w:p>
    <w:p>
      <w:pPr>
        <w:pStyle w:val="ListParagraph"/>
        <w:numPr>
          <w:ilvl w:val="0"/>
          <w:numId w:val="2"/>
        </w:numPr>
        <w:spacing w:after="80"/>
      </w:pPr>
      <w:r>
        <w:t xml:space="preserve">76% of technology leaders surveyed by Dynatrace report Kubernetes visibility is harder than traditional stacks (Dynatrace research, 2024).</w:t>
      </w:r>
    </w:p>
    <w:p>
      <w:pPr>
        <w:pStyle w:val="ListParagraph"/>
        <w:numPr>
          <w:ilvl w:val="0"/>
          <w:numId w:val="2"/>
        </w:numPr>
        <w:spacing w:after="80"/>
      </w:pPr>
      <w:r>
        <w:t xml:space="preserve">Red Hat OpenShift commonly cited in deployments (Abercrombie &amp; Fitch, financial services).</w:t>
      </w:r>
    </w:p>
    <w:p>
      <w:pPr>
        <w:pStyle w:val="Heading3"/>
        <w:spacing w:after="100" w:before="200"/>
      </w:pPr>
      <w:r>
        <w:t xml:space="preserve">Vendor concentration / tool sprawl</w:t>
      </w:r>
    </w:p>
    <w:p>
      <w:pPr>
        <w:pStyle w:val="ListParagraph"/>
        <w:numPr>
          <w:ilvl w:val="0"/>
          <w:numId w:val="2"/>
        </w:numPr>
        <w:spacing w:after="80"/>
      </w:pPr>
      <w:r>
        <w:t xml:space="preserve">High tool sprawl. Per the CIO/Dynatrace partnership content, organizations on average use 10 different monitoring tools across applications, infrastructure, and user experiences.</w:t>
      </w:r>
    </w:p>
    <w:p>
      <w:pPr>
        <w:pStyle w:val="ListParagraph"/>
        <w:numPr>
          <w:ilvl w:val="0"/>
          <w:numId w:val="2"/>
        </w:numPr>
        <w:spacing w:after="80"/>
      </w:pPr>
      <w:r>
        <w:t xml:space="preserve">85% of technology leaders believe their problems are compounded by the number of tools/platforms/dashboards they rely on (Dynatrace-commissioned research).</w:t>
      </w:r>
    </w:p>
    <w:p>
      <w:pPr>
        <w:pStyle w:val="ListParagraph"/>
        <w:numPr>
          <w:ilvl w:val="0"/>
          <w:numId w:val="2"/>
        </w:numPr>
        <w:spacing w:after="80"/>
      </w:pPr>
      <w:r>
        <w:t xml:space="preserve">Customers consolidate aggressively: TD Bank cited up to 45% reduction in monitoring infrastructure and licensing costs; eliminating 7+ legacy tools cited as typical.</w:t>
      </w:r>
    </w:p>
    <w:p>
      <w:pPr>
        <w:pStyle w:val="Heading3"/>
        <w:spacing w:after="100" w:before="200"/>
      </w:pPr>
      <w:r>
        <w:t xml:space="preserve">Build vs. buy bias</w:t>
      </w:r>
    </w:p>
    <w:p>
      <w:pPr>
        <w:pStyle w:val="ListParagraph"/>
        <w:numPr>
          <w:ilvl w:val="0"/>
          <w:numId w:val="2"/>
        </w:numPr>
        <w:spacing w:after="80"/>
      </w:pPr>
      <w:r>
        <w:t xml:space="preserve">Typical Dynatrace customer is a buy-heavy enterprise. Open-source observability (Prometheus, Grafana, OpenTelemetry, Jaeger) is present but increasingly used as instrumentation source rather than full stack — Dynatrace embraces OpenTelemetry and recently acquired Bindplane (telemetry pipelines) for this reason.</w:t>
      </w:r>
    </w:p>
    <w:p>
      <w:pPr>
        <w:pStyle w:val="ListParagraph"/>
        <w:numPr>
          <w:ilvl w:val="0"/>
          <w:numId w:val="2"/>
        </w:numPr>
        <w:spacing w:after="80"/>
      </w:pPr>
      <w:r>
        <w:t xml:space="preserve">Cloud-native scale-ups in the customer base sometimes start with OSS stacks before adopting Dynatrace for enterprise scale and security.</w:t>
      </w:r>
    </w:p>
    <w:p>
      <w:pPr>
        <w:pStyle w:val="Heading3"/>
        <w:spacing w:after="100" w:before="200"/>
      </w:pPr>
      <w:r>
        <w:t xml:space="preserve">Maturity profile</w:t>
      </w:r>
    </w:p>
    <w:p>
      <w:pPr>
        <w:pStyle w:val="ListParagraph"/>
        <w:numPr>
          <w:ilvl w:val="0"/>
          <w:numId w:val="2"/>
        </w:numPr>
        <w:spacing w:after="80"/>
      </w:pPr>
      <w:r>
        <w:t xml:space="preserve">Skewed toward modernizing enterprises rather than greenfield cloud-native. Customers typically operate a mix of cloud-native services, legacy enterprise applications, and (in financial services, government, insurance) mainframe systems.</w:t>
      </w:r>
    </w:p>
    <w:p>
      <w:pPr>
        <w:pStyle w:val="Heading2"/>
        <w:spacing w:after="160" w:before="280"/>
      </w:pPr>
      <w:r>
        <w:t xml:space="preserve">7. Cultural Norms Around Tech Purchases</w:t>
      </w:r>
    </w:p>
    <w:p>
      <w:pPr>
        <w:pStyle w:val="Heading3"/>
        <w:spacing w:after="100" w:before="200"/>
      </w:pPr>
      <w:r>
        <w:t xml:space="preserve">Decision-making style</w:t>
      </w:r>
    </w:p>
    <w:p>
      <w:pPr>
        <w:pStyle w:val="ListParagraph"/>
        <w:numPr>
          <w:ilvl w:val="0"/>
          <w:numId w:val="2"/>
        </w:numPr>
        <w:spacing w:after="80"/>
      </w:pPr>
      <w:r>
        <w:t xml:space="preserve">Consensus-driven and committee-led. Platform-tier observability decisions typically span CIO/CTO, security, platform engineering, SRE, application owners, procurement, and (for cost-consolidation deals) CFO involvement.</w:t>
      </w:r>
    </w:p>
    <w:p>
      <w:pPr>
        <w:pStyle w:val="ListParagraph"/>
        <w:numPr>
          <w:ilvl w:val="0"/>
          <w:numId w:val="2"/>
        </w:numPr>
        <w:spacing w:after="80"/>
      </w:pPr>
      <w:r>
        <w:t xml:space="preserve">Top-down for IT 500 strategic accounts where CIO-sponsored transformation programs are the deal driver. Bottom-up entry common in commercial / mid-market via individual product wedges (Kubernetes, logs, RUM).</w:t>
      </w:r>
    </w:p>
    <w:p>
      <w:pPr>
        <w:pStyle w:val="Heading3"/>
        <w:spacing w:after="100" w:before="200"/>
      </w:pPr>
      <w:r>
        <w:t xml:space="preserve">POC heavy</w:t>
      </w:r>
    </w:p>
    <w:p>
      <w:pPr>
        <w:pStyle w:val="ListParagraph"/>
        <w:numPr>
          <w:ilvl w:val="0"/>
          <w:numId w:val="2"/>
        </w:numPr>
        <w:spacing w:after="80"/>
      </w:pPr>
      <w:r>
        <w:t xml:space="preserve">Enterprise POCs are standard. The Perform 2026 session "Why do observability POCs succeed but enterprise rollouts stall?" — featuring DXC and Atos partner commentary — is itself a public acknowledgement that POCs are a routine and critical part of the buying cycle.</w:t>
      </w:r>
    </w:p>
    <w:p>
      <w:pPr>
        <w:pStyle w:val="ListParagraph"/>
        <w:numPr>
          <w:ilvl w:val="0"/>
          <w:numId w:val="2"/>
        </w:numPr>
        <w:spacing w:after="80"/>
      </w:pPr>
      <w:r>
        <w:t xml:space="preserve">Typical POC scope: instrument a representative workload (often a Kubernetes app + a legacy app), demonstrate transaction traceability end-to-end, demonstrate root-cause analysis vs. incumbent.</w:t>
      </w:r>
    </w:p>
    <w:p>
      <w:pPr>
        <w:pStyle w:val="ListParagraph"/>
        <w:numPr>
          <w:ilvl w:val="0"/>
          <w:numId w:val="2"/>
        </w:numPr>
        <w:spacing w:after="80"/>
      </w:pPr>
      <w:r>
        <w:t xml:space="preserve">POC-to-rollout gap is a known issue: enterprise rollouts can stall on organizational change rather than technology fit. Suggests post-POC engagement and change management matter as much as technical wins.</w:t>
      </w:r>
    </w:p>
    <w:p>
      <w:pPr>
        <w:pStyle w:val="Heading3"/>
        <w:spacing w:after="100" w:before="200"/>
      </w:pPr>
      <w:r>
        <w:t xml:space="preserve">Reference and analyst-driven</w:t>
      </w:r>
    </w:p>
    <w:p>
      <w:pPr>
        <w:pStyle w:val="ListParagraph"/>
        <w:numPr>
          <w:ilvl w:val="0"/>
          <w:numId w:val="2"/>
        </w:numPr>
        <w:spacing w:after="80"/>
      </w:pPr>
      <w:r>
        <w:t xml:space="preserve">Gartner Magic Quadrant influential. Dynatrace named a Leader in 2025 Gartner MQ for Observability Platforms for the 15th consecutive year, positioned highest in Ability to Execute.</w:t>
      </w:r>
    </w:p>
    <w:p>
      <w:pPr>
        <w:pStyle w:val="ListParagraph"/>
        <w:numPr>
          <w:ilvl w:val="0"/>
          <w:numId w:val="2"/>
        </w:numPr>
        <w:spacing w:after="80"/>
      </w:pPr>
      <w:r>
        <w:t xml:space="preserve">Gartner Peer Insights (Voice of the Customer) used in evaluation — Dynatrace named Customers' Choice in 2025 (January 23, 2026 release).</w:t>
      </w:r>
    </w:p>
    <w:p>
      <w:pPr>
        <w:pStyle w:val="ListParagraph"/>
        <w:numPr>
          <w:ilvl w:val="0"/>
          <w:numId w:val="2"/>
        </w:numPr>
        <w:spacing w:after="80"/>
      </w:pPr>
      <w:r>
        <w:t xml:space="preserve">Customer reference calls are a routine ask in enterprise evaluations; Dynatrace maintains a large public reference library (100+ case studies on FeaturedCustomers).</w:t>
      </w:r>
    </w:p>
    <w:p>
      <w:pPr>
        <w:pStyle w:val="Heading3"/>
        <w:spacing w:after="100" w:before="200"/>
      </w:pPr>
      <w:r>
        <w:t xml:space="preserve">Procurement and contracting culture</w:t>
      </w:r>
    </w:p>
    <w:p>
      <w:pPr>
        <w:pStyle w:val="ListParagraph"/>
        <w:numPr>
          <w:ilvl w:val="0"/>
          <w:numId w:val="2"/>
        </w:numPr>
        <w:spacing w:after="80"/>
      </w:pPr>
      <w:r>
        <w:t xml:space="preserve">Multi-year DPS commitments standard (1–3 year subscription terms with minimum annual commitment).</w:t>
      </w:r>
    </w:p>
    <w:p>
      <w:pPr>
        <w:pStyle w:val="ListParagraph"/>
        <w:numPr>
          <w:ilvl w:val="0"/>
          <w:numId w:val="2"/>
        </w:numPr>
        <w:spacing w:after="80"/>
      </w:pPr>
      <w:r>
        <w:t xml:space="preserve">Hyperscaler marketplace procurement growing aggressively. AWS Marketplace at $1B+ lifetime; Microsoft Azure Marketplace publicly profiled. Marketplace deals run roughly 2x the size of direct deals per Dynatrace partner-team commentary.</w:t>
      </w:r>
    </w:p>
    <w:p>
      <w:pPr>
        <w:pStyle w:val="ListParagraph"/>
        <w:numPr>
          <w:ilvl w:val="0"/>
          <w:numId w:val="2"/>
        </w:numPr>
        <w:spacing w:after="80"/>
      </w:pPr>
      <w:r>
        <w:t xml:space="preserve">Multiparty private offers (MPPO) through partners increasingly common — Trace3 cited publicly as procuring Dynatrace via Azure MPPO. Procurement culture is shifting from PO-against-MSA to marketplace-against-cloud-commit.</w:t>
      </w:r>
    </w:p>
    <w:p>
      <w:pPr>
        <w:pStyle w:val="ListParagraph"/>
        <w:numPr>
          <w:ilvl w:val="0"/>
          <w:numId w:val="2"/>
        </w:numPr>
        <w:spacing w:after="80"/>
      </w:pPr>
      <w:r>
        <w:t xml:space="preserve">GSI-led for largest accounts: Accenture, Atos, Deloitte, DXC, Kyndryl, plus regional SIs (Computacenter, Trace3, AHEAD, WWT).</w:t>
      </w:r>
    </w:p>
    <w:p>
      <w:pPr>
        <w:pStyle w:val="Heading3"/>
        <w:spacing w:after="100" w:before="200"/>
      </w:pPr>
      <w:r>
        <w:t xml:space="preserve">Risk tolerance</w:t>
      </w:r>
    </w:p>
    <w:p>
      <w:pPr>
        <w:pStyle w:val="ListParagraph"/>
        <w:numPr>
          <w:ilvl w:val="0"/>
          <w:numId w:val="2"/>
        </w:numPr>
        <w:spacing w:after="80"/>
      </w:pPr>
      <w:r>
        <w:t xml:space="preserve">Conservative-leaning. Regulated industries (banking, government, healthcare) dominate the customer mix. Customers expect FedRAMP/HIPAA/PCI/SOC 2/ISO 27001 baselines and conduct hardened security reviews.</w:t>
      </w:r>
    </w:p>
    <w:p>
      <w:pPr>
        <w:pStyle w:val="ListParagraph"/>
        <w:numPr>
          <w:ilvl w:val="0"/>
          <w:numId w:val="2"/>
        </w:numPr>
        <w:spacing w:after="80"/>
      </w:pPr>
      <w:r>
        <w:t xml:space="preserve">AI risk increasingly scrutinized. Dynatrace disclosed a new AI risk factor in its filings (May 2026) citing "Mounting AI Risk, Regulatory Scrutiny, Third-Party Dependence and IP Uncertainty" — reflective of customer-side concern.</w:t>
      </w:r>
    </w:p>
    <w:p>
      <w:pPr>
        <w:pStyle w:val="Heading2"/>
        <w:spacing w:after="160" w:before="280"/>
      </w:pPr>
      <w:r>
        <w:t xml:space="preserve">8. Sources</w:t>
      </w:r>
    </w:p>
    <w:p>
      <w:pPr>
        <w:pStyle w:val="Heading3"/>
        <w:spacing w:after="100" w:before="200"/>
      </w:pPr>
      <w:r>
        <w:t xml:space="preserve">Section 1 — Core Verticals</w:t>
      </w:r>
    </w:p>
    <w:p>
      <w:pPr>
        <w:pStyle w:val="ListParagraph"/>
        <w:numPr>
          <w:ilvl w:val="0"/>
          <w:numId w:val="2"/>
        </w:numPr>
        <w:spacing w:after="80"/>
      </w:pPr>
      <w:r>
        <w:t xml:space="preserve">Dynatrace FY25 10-K (filed May 22, 2025), industry / target-customer references — </w:t>
      </w:r>
      <w:hyperlink w:history="1" r:id="rIdedy-u4yen7xwq-cic9rkm">
        <w:r>
          <w:rPr>
            <w:color w:val="0563C1"/>
            <w:u w:val="single"/>
          </w:rPr>
          <w:t xml:space="preserve">https://www.sec.gov/Archives/edgar/data/0001773383/000177338325000065/dt-20250331.htm</w:t>
        </w:r>
      </w:hyperlink>
    </w:p>
    <w:p>
      <w:pPr>
        <w:pStyle w:val="ListParagraph"/>
        <w:numPr>
          <w:ilvl w:val="0"/>
          <w:numId w:val="2"/>
        </w:numPr>
        <w:spacing w:after="80"/>
      </w:pPr>
      <w:r>
        <w:t xml:space="preserve">Dynatrace customer case-study library (FeaturedCustomers, 103 case studies) — </w:t>
      </w:r>
      <w:hyperlink w:history="1" r:id="rId0to5uje6nc_7gfmpqqx0j">
        <w:r>
          <w:rPr>
            <w:color w:val="0563C1"/>
            <w:u w:val="single"/>
          </w:rPr>
          <w:t xml:space="preserve">https://www.featuredcustomers.com/vendor/dynatrace/case-studies</w:t>
        </w:r>
      </w:hyperlink>
    </w:p>
    <w:p>
      <w:pPr>
        <w:pStyle w:val="ListParagraph"/>
        <w:numPr>
          <w:ilvl w:val="0"/>
          <w:numId w:val="2"/>
        </w:numPr>
        <w:spacing w:after="80"/>
      </w:pPr>
      <w:r>
        <w:t xml:space="preserve">TD Bank customer story — </w:t>
      </w:r>
      <w:hyperlink w:history="1" r:id="rIdn_-ef9c4f6ibsdmpf1fui">
        <w:r>
          <w:rPr>
            <w:color w:val="0563C1"/>
            <w:u w:val="single"/>
          </w:rPr>
          <w:t xml:space="preserve">https://www.dynatrace.com/customers/td-bank/</w:t>
        </w:r>
      </w:hyperlink>
    </w:p>
    <w:p>
      <w:pPr>
        <w:pStyle w:val="ListParagraph"/>
        <w:numPr>
          <w:ilvl w:val="0"/>
          <w:numId w:val="2"/>
        </w:numPr>
        <w:spacing w:after="80"/>
      </w:pPr>
      <w:r>
        <w:t xml:space="preserve">Cuspera customer-story aggregator (BMO, Nationwide, Soldo, Shriram, Kroger, Abercrombie &amp; Fitch, Rack Room, Next) — </w:t>
      </w:r>
      <w:hyperlink w:history="1" r:id="rIdwnlcswl0gyd8uguttifnl">
        <w:r>
          <w:rPr>
            <w:color w:val="0563C1"/>
            <w:u w:val="single"/>
          </w:rPr>
          <w:t xml:space="preserve">https://www.cuspera.com/products/dynatrace-platform-x-13693/customer-story</w:t>
        </w:r>
      </w:hyperlink>
    </w:p>
    <w:p>
      <w:pPr>
        <w:pStyle w:val="ListParagraph"/>
        <w:numPr>
          <w:ilvl w:val="0"/>
          <w:numId w:val="2"/>
        </w:numPr>
        <w:spacing w:after="80"/>
      </w:pPr>
      <w:r>
        <w:t xml:space="preserve">Dynatrace financial services industry page — </w:t>
      </w:r>
      <w:hyperlink w:history="1" r:id="rIdbutqgbvknaxcuarv_4nwt">
        <w:r>
          <w:rPr>
            <w:color w:val="0563C1"/>
            <w:u w:val="single"/>
          </w:rPr>
          <w:t xml:space="preserve">https://www.dynatrace.com/solutions/industry/financial-services/</w:t>
        </w:r>
      </w:hyperlink>
    </w:p>
    <w:p>
      <w:pPr>
        <w:pStyle w:val="ListParagraph"/>
        <w:numPr>
          <w:ilvl w:val="0"/>
          <w:numId w:val="2"/>
        </w:numPr>
        <w:spacing w:after="80"/>
      </w:pPr>
      <w:r>
        <w:t xml:space="preserve">ReadyContacts customer aggregator (top customers list) — </w:t>
      </w:r>
      <w:hyperlink w:history="1" r:id="rIdeosacwinfzrpxdu7ewfix">
        <w:r>
          <w:rPr>
            <w:color w:val="0563C1"/>
            <w:u w:val="single"/>
          </w:rPr>
          <w:t xml:space="preserve">https://www.readycontacts.com/target-account-profiling/dynatrace/</w:t>
        </w:r>
      </w:hyperlink>
    </w:p>
    <w:p>
      <w:pPr>
        <w:pStyle w:val="Heading3"/>
        <w:spacing w:after="100" w:before="200"/>
      </w:pPr>
      <w:r>
        <w:t xml:space="preserve">Section 2 — Sub-vertical Specificity</w:t>
      </w:r>
    </w:p>
    <w:p>
      <w:pPr>
        <w:pStyle w:val="ListParagraph"/>
        <w:numPr>
          <w:ilvl w:val="0"/>
          <w:numId w:val="2"/>
        </w:numPr>
        <w:spacing w:after="80"/>
      </w:pPr>
      <w:r>
        <w:t xml:space="preserve">Dynatrace public-sector commitment / FedRAMP High blog (Sept 2025) — </w:t>
      </w:r>
      <w:hyperlink w:history="1" r:id="rId5mqllloypwreqn_vnz4o1">
        <w:r>
          <w:rPr>
            <w:color w:val="0563C1"/>
            <w:u w:val="single"/>
          </w:rPr>
          <w:t xml:space="preserve">https://www.dynatrace.com/news/blog/the-dynatrace-commitment-to-achieving-top-security-standards-for-government-agencies-including-fedramp-high/</w:t>
        </w:r>
      </w:hyperlink>
    </w:p>
    <w:p>
      <w:pPr>
        <w:pStyle w:val="ListParagraph"/>
        <w:numPr>
          <w:ilvl w:val="0"/>
          <w:numId w:val="2"/>
        </w:numPr>
        <w:spacing w:after="80"/>
      </w:pPr>
      <w:r>
        <w:t xml:space="preserve">Diginomica: "Dynatrace Perform 2026 – why do observability POCs succeed but enterprise rollouts stall?" — </w:t>
      </w:r>
      <w:hyperlink w:history="1" r:id="rIdjoseuvksr90ga1pandh-p">
        <w:r>
          <w:rPr>
            <w:color w:val="0563C1"/>
            <w:u w:val="single"/>
          </w:rPr>
          <w:t xml:space="preserve">https://diginomica.com/dynatrace-perform-2026-why-do-observability-pocs-succeed-enterprise-rollouts-stall</w:t>
        </w:r>
      </w:hyperlink>
    </w:p>
    <w:p>
      <w:pPr>
        <w:pStyle w:val="Heading3"/>
        <w:spacing w:after="100" w:before="200"/>
      </w:pPr>
      <w:r>
        <w:t xml:space="preserve">Section 3 — Company Size Band</w:t>
      </w:r>
    </w:p>
    <w:p>
      <w:pPr>
        <w:pStyle w:val="ListParagraph"/>
        <w:numPr>
          <w:ilvl w:val="0"/>
          <w:numId w:val="2"/>
        </w:numPr>
        <w:spacing w:after="80"/>
      </w:pPr>
      <w:r>
        <w:t xml:space="preserve">FY25 10-K (top 15,000 companies target) — </w:t>
      </w:r>
      <w:hyperlink w:history="1" r:id="rId5rdpp7jjiyqsxnbrimu_d">
        <w:r>
          <w:rPr>
            <w:color w:val="0563C1"/>
            <w:u w:val="single"/>
          </w:rPr>
          <w:t xml:space="preserve">https://www.sec.gov/Archives/edgar/data/0001773383/000177338325000065/dt-20250331.htm</w:t>
        </w:r>
      </w:hyperlink>
    </w:p>
    <w:p>
      <w:pPr>
        <w:pStyle w:val="ListParagraph"/>
        <w:numPr>
          <w:ilvl w:val="0"/>
          <w:numId w:val="2"/>
        </w:numPr>
        <w:spacing w:after="80"/>
      </w:pPr>
      <w:r>
        <w:t xml:space="preserve">Q4 FY26 earnings release (May 13, 2026): seven-figure deal count, new-logo land — </w:t>
      </w:r>
      <w:hyperlink w:history="1" r:id="rIdn-dxyb-vlnfceamzegnlr">
        <w:r>
          <w:rPr>
            <w:color w:val="0563C1"/>
            <w:u w:val="single"/>
          </w:rPr>
          <w:t xml:space="preserve">https://www.sec.gov/Archives/edgar/data/0001773383/000177338326000011/fy26q4-earningsreleaseex99.htm</w:t>
        </w:r>
      </w:hyperlink>
    </w:p>
    <w:p>
      <w:pPr>
        <w:pStyle w:val="ListParagraph"/>
        <w:numPr>
          <w:ilvl w:val="0"/>
          <w:numId w:val="2"/>
        </w:numPr>
        <w:spacing w:after="80"/>
      </w:pPr>
      <w:r>
        <w:t xml:space="preserve">Checkthat.ai Dynatrace pricing analysis (median enterprise contract) — </w:t>
      </w:r>
      <w:hyperlink w:history="1" r:id="rIdgmotiqwj5bsnlmfxmoq5i">
        <w:r>
          <w:rPr>
            <w:color w:val="0563C1"/>
            <w:u w:val="single"/>
          </w:rPr>
          <w:t xml:space="preserve">https://checkthat.ai/brands/dynatrace/pricing</w:t>
        </w:r>
      </w:hyperlink>
    </w:p>
    <w:p>
      <w:pPr>
        <w:pStyle w:val="Heading3"/>
        <w:spacing w:after="100" w:before="200"/>
      </w:pPr>
      <w:r>
        <w:t xml:space="preserve">Section 4 — Buying Center Composition</w:t>
      </w:r>
    </w:p>
    <w:p>
      <w:pPr>
        <w:pStyle w:val="ListParagraph"/>
        <w:numPr>
          <w:ilvl w:val="0"/>
          <w:numId w:val="2"/>
        </w:numPr>
        <w:spacing w:after="80"/>
      </w:pPr>
      <w:r>
        <w:t xml:space="preserve">Dynatrace 2023 Global CIO Report (1,300 CIOs surveyed) — </w:t>
      </w:r>
      <w:hyperlink w:history="1" r:id="rIdpvtt_ujycybnfxkb362gf">
        <w:r>
          <w:rPr>
            <w:color w:val="0563C1"/>
            <w:u w:val="single"/>
          </w:rPr>
          <w:t xml:space="preserve">https://www.dynatrace.com/news/press-release/global-cio-report-observability-security/</w:t>
        </w:r>
      </w:hyperlink>
    </w:p>
    <w:p>
      <w:pPr>
        <w:pStyle w:val="ListParagraph"/>
        <w:numPr>
          <w:ilvl w:val="0"/>
          <w:numId w:val="2"/>
        </w:numPr>
        <w:spacing w:after="80"/>
      </w:pPr>
      <w:r>
        <w:t xml:space="preserve">2025 Gartner Peer Insights Voice of the Customer (reviewer roles) — </w:t>
      </w:r>
      <w:hyperlink w:history="1" r:id="rId_x-gy42dsvrpulqvpvixn">
        <w:r>
          <w:rPr>
            <w:color w:val="0563C1"/>
            <w:u w:val="single"/>
          </w:rPr>
          <w:t xml:space="preserve">https://www.dynatrace.com/news/press-release/2025-gartner-peer-insights-voc-observability-platforms/</w:t>
        </w:r>
      </w:hyperlink>
    </w:p>
    <w:p>
      <w:pPr>
        <w:pStyle w:val="ListParagraph"/>
        <w:numPr>
          <w:ilvl w:val="0"/>
          <w:numId w:val="2"/>
        </w:numPr>
        <w:spacing w:after="80"/>
      </w:pPr>
      <w:r>
        <w:t xml:space="preserve">CIO.com: "The keys to selecting a platform for end-to-end observability" — </w:t>
      </w:r>
      <w:hyperlink w:history="1" r:id="rIdwx638qugstkqxemuioihx">
        <w:r>
          <w:rPr>
            <w:color w:val="0563C1"/>
            <w:u w:val="single"/>
          </w:rPr>
          <w:t xml:space="preserve">https://www.cio.com/article/4032851/the-keys-to-selecting-a-platform-for-end-to-end-observability.html</w:t>
        </w:r>
      </w:hyperlink>
    </w:p>
    <w:p>
      <w:pPr>
        <w:pStyle w:val="Heading3"/>
        <w:spacing w:after="100" w:before="200"/>
      </w:pPr>
      <w:r>
        <w:t xml:space="preserve">Section 5 — Regulatory &amp; Compliance Context</w:t>
      </w:r>
    </w:p>
    <w:p>
      <w:pPr>
        <w:pStyle w:val="ListParagraph"/>
        <w:numPr>
          <w:ilvl w:val="0"/>
          <w:numId w:val="2"/>
        </w:numPr>
        <w:spacing w:after="80"/>
      </w:pPr>
      <w:r>
        <w:t xml:space="preserve">FedRAMP Moderate authorization (2020) and Rev.5 reauthorization (2024) — </w:t>
      </w:r>
      <w:hyperlink w:history="1" r:id="rIdy9ad1wdgbnaymcxowm5wj">
        <w:r>
          <w:rPr>
            <w:color w:val="0563C1"/>
            <w:u w:val="single"/>
          </w:rPr>
          <w:t xml:space="preserve">https://www.dynatrace.com/news/blog/dynatrace-completes-2024-fedramp-moderate-reauthorization/</w:t>
        </w:r>
      </w:hyperlink>
    </w:p>
    <w:p>
      <w:pPr>
        <w:pStyle w:val="ListParagraph"/>
        <w:numPr>
          <w:ilvl w:val="0"/>
          <w:numId w:val="2"/>
        </w:numPr>
        <w:spacing w:after="80"/>
      </w:pPr>
      <w:r>
        <w:t xml:space="preserve">StateRAMP authorization — </w:t>
      </w:r>
      <w:hyperlink w:history="1" r:id="rIdj7vftkzxglubsjhq6_zwr">
        <w:r>
          <w:rPr>
            <w:color w:val="0563C1"/>
            <w:u w:val="single"/>
          </w:rPr>
          <w:t xml:space="preserve">https://www.dynatrace.com/news/blog/dynatrace-extends-commitment-to-public-sector/</w:t>
        </w:r>
      </w:hyperlink>
    </w:p>
    <w:p>
      <w:pPr>
        <w:pStyle w:val="ListParagraph"/>
        <w:numPr>
          <w:ilvl w:val="0"/>
          <w:numId w:val="2"/>
        </w:numPr>
        <w:spacing w:after="80"/>
      </w:pPr>
      <w:r>
        <w:t xml:space="preserve">Dynatrace Application Security FedRAMP/StateRAMP (April 2024) — </w:t>
      </w:r>
      <w:hyperlink w:history="1" r:id="rIdedmzc9ltf-im74yotgsu6">
        <w:r>
          <w:rPr>
            <w:color w:val="0563C1"/>
            <w:u w:val="single"/>
          </w:rPr>
          <w:t xml:space="preserve">https://www.dynatrace.com/news/press-release/dynatrace-appsec-achieves-fedramp-stateramp/</w:t>
        </w:r>
      </w:hyperlink>
    </w:p>
    <w:p>
      <w:pPr>
        <w:pStyle w:val="Heading3"/>
        <w:spacing w:after="100" w:before="200"/>
      </w:pPr>
      <w:r>
        <w:t xml:space="preserve">Section 6 — Technical Environment Norms</w:t>
      </w:r>
    </w:p>
    <w:p>
      <w:pPr>
        <w:pStyle w:val="ListParagraph"/>
        <w:numPr>
          <w:ilvl w:val="0"/>
          <w:numId w:val="2"/>
        </w:numPr>
        <w:spacing w:after="80"/>
      </w:pPr>
      <w:r>
        <w:t xml:space="preserve">GigaOm Radar Report for Kubernetes Observability (2024) — </w:t>
      </w:r>
      <w:hyperlink w:history="1" r:id="rId6hbiwr6mnojnz5mywyuzo">
        <w:r>
          <w:rPr>
            <w:color w:val="0563C1"/>
            <w:u w:val="single"/>
          </w:rPr>
          <w:t xml:space="preserve">https://markets.financialcontent.com/clarkebroadcasting.mymotherlode/article/bizwire-2024-11-14-dynatrace-named-a-leader-in-inaugural-2024-gigaom-radar-report-for-kubernetes-observability</w:t>
        </w:r>
      </w:hyperlink>
    </w:p>
    <w:p>
      <w:pPr>
        <w:pStyle w:val="ListParagraph"/>
        <w:numPr>
          <w:ilvl w:val="0"/>
          <w:numId w:val="2"/>
        </w:numPr>
        <w:spacing w:after="80"/>
      </w:pPr>
      <w:r>
        <w:t xml:space="preserve">Dynatrace AWS Marketplace listing (100+ AWS service integrations) — </w:t>
      </w:r>
      <w:hyperlink w:history="1" r:id="rId2_sciktbrdte4kogs8iqo">
        <w:r>
          <w:rPr>
            <w:color w:val="0563C1"/>
            <w:u w:val="single"/>
          </w:rPr>
          <w:t xml:space="preserve">https://aws.amazon.com/marketplace/pp/prodview-zcobx7h2mbtk2</w:t>
        </w:r>
      </w:hyperlink>
    </w:p>
    <w:p>
      <w:pPr>
        <w:pStyle w:val="ListParagraph"/>
        <w:numPr>
          <w:ilvl w:val="0"/>
          <w:numId w:val="2"/>
        </w:numPr>
        <w:spacing w:after="80"/>
      </w:pPr>
      <w:r>
        <w:t xml:space="preserve">Microsoft Azure Marketplace partnership blog (Jan 2026) — </w:t>
      </w:r>
      <w:hyperlink w:history="1" r:id="rId5rpjbqp5ybwugi4pnxmae">
        <w:r>
          <w:rPr>
            <w:color w:val="0563C1"/>
            <w:u w:val="single"/>
          </w:rPr>
          <w:t xml:space="preserve">https://azure.microsoft.com/en-us/blog/dynatrace-and-the-microsoft-commercial-marketplace-ai-powered-cloud-transformation/</w:t>
        </w:r>
      </w:hyperlink>
    </w:p>
    <w:p>
      <w:pPr>
        <w:pStyle w:val="ListParagraph"/>
        <w:numPr>
          <w:ilvl w:val="0"/>
          <w:numId w:val="2"/>
        </w:numPr>
        <w:spacing w:after="80"/>
      </w:pPr>
      <w:r>
        <w:t xml:space="preserve">TD Bank case study (multi-tool consolidation, hybrid posture) — </w:t>
      </w:r>
      <w:hyperlink w:history="1" r:id="rIdgi4jibn7xiu7tgq0hdfru">
        <w:r>
          <w:rPr>
            <w:color w:val="0563C1"/>
            <w:u w:val="single"/>
          </w:rPr>
          <w:t xml:space="preserve">https://www.dynatrace.com/customers/td-bank/</w:t>
        </w:r>
      </w:hyperlink>
    </w:p>
    <w:p>
      <w:pPr>
        <w:pStyle w:val="Heading3"/>
        <w:spacing w:after="100" w:before="200"/>
      </w:pPr>
      <w:r>
        <w:t xml:space="preserve">Section 7 — Cultural Norms Around Tech Purchases</w:t>
      </w:r>
    </w:p>
    <w:p>
      <w:pPr>
        <w:pStyle w:val="ListParagraph"/>
        <w:numPr>
          <w:ilvl w:val="0"/>
          <w:numId w:val="2"/>
        </w:numPr>
        <w:spacing w:after="80"/>
      </w:pPr>
      <w:r>
        <w:t xml:space="preserve">Diginomica Perform 2026 POC-to-rollout coverage — </w:t>
      </w:r>
      <w:hyperlink w:history="1" r:id="rIdz33zqu9asvs9egkv-qffs">
        <w:r>
          <w:rPr>
            <w:color w:val="0563C1"/>
            <w:u w:val="single"/>
          </w:rPr>
          <w:t xml:space="preserve">https://diginomica.com/dynatrace-perform-2026-why-do-observability-pocs-succeed-enterprise-rollouts-stall</w:t>
        </w:r>
      </w:hyperlink>
    </w:p>
    <w:p>
      <w:pPr>
        <w:pStyle w:val="ListParagraph"/>
        <w:numPr>
          <w:ilvl w:val="0"/>
          <w:numId w:val="2"/>
        </w:numPr>
        <w:spacing w:after="80"/>
      </w:pPr>
      <w:r>
        <w:t xml:space="preserve">2025 Gartner Peer Insights Voice of the Customer — </w:t>
      </w:r>
      <w:hyperlink w:history="1" r:id="rIdgiwazkzn0eymnbshzggv2">
        <w:r>
          <w:rPr>
            <w:color w:val="0563C1"/>
            <w:u w:val="single"/>
          </w:rPr>
          <w:t xml:space="preserve">https://www.dynatrace.com/news/press-release/2025-gartner-peer-insights-voc-observability-platforms/</w:t>
        </w:r>
      </w:hyperlink>
    </w:p>
    <w:p>
      <w:pPr>
        <w:pStyle w:val="ListParagraph"/>
        <w:numPr>
          <w:ilvl w:val="0"/>
          <w:numId w:val="2"/>
        </w:numPr>
        <w:spacing w:after="80"/>
      </w:pPr>
      <w:r>
        <w:t xml:space="preserve">Microsoft commercial marketplace partnership (MPPO via Trace3) — </w:t>
      </w:r>
      <w:hyperlink w:history="1" r:id="rIdmu1mmxenvo0xdyuganwd-">
        <w:r>
          <w:rPr>
            <w:color w:val="0563C1"/>
            <w:u w:val="single"/>
          </w:rPr>
          <w:t xml:space="preserve">https://azure.microsoft.com/en-us/blog/dynatrace-and-the-microsoft-commercial-marketplace-ai-powered-cloud-transformation/</w:t>
        </w:r>
      </w:hyperlink>
    </w:p>
    <w:p>
      <w:pPr>
        <w:pStyle w:val="ListParagraph"/>
        <w:numPr>
          <w:ilvl w:val="0"/>
          <w:numId w:val="2"/>
        </w:numPr>
        <w:spacing w:after="80"/>
      </w:pPr>
      <w:r>
        <w:t xml:space="preserve">TechTarget: Dynatrace DevCycle acquisition coverage — </w:t>
      </w:r>
      <w:hyperlink w:history="1" r:id="rIdczdzivtzxbs8znxekgtmg">
        <w:r>
          <w:rPr>
            <w:color w:val="0563C1"/>
            <w:u w:val="single"/>
          </w:rPr>
          <w:t xml:space="preserve">https://www.techtarget.com/searchitoperations/news/366637355/Dynatrace-DevCycle-buy-continues-observability-consolidation</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4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dy-u4yen7xwq-cic9rkm" Type="http://schemas.openxmlformats.org/officeDocument/2006/relationships/hyperlink" Target="https://www.sec.gov/Archives/edgar/data/0001773383/000177338325000065/dt-20250331.htm" TargetMode="External"/><Relationship Id="rId0to5uje6nc_7gfmpqqx0j" Type="http://schemas.openxmlformats.org/officeDocument/2006/relationships/hyperlink" Target="https://www.featuredcustomers.com/vendor/dynatrace/case-studies" TargetMode="External"/><Relationship Id="rIdn_-ef9c4f6ibsdmpf1fui" Type="http://schemas.openxmlformats.org/officeDocument/2006/relationships/hyperlink" Target="https://www.dynatrace.com/customers/td-bank/" TargetMode="External"/><Relationship Id="rIdwnlcswl0gyd8uguttifnl" Type="http://schemas.openxmlformats.org/officeDocument/2006/relationships/hyperlink" Target="https://www.cuspera.com/products/dynatrace-platform-x-13693/customer-story" TargetMode="External"/><Relationship Id="rIdbutqgbvknaxcuarv_4nwt" Type="http://schemas.openxmlformats.org/officeDocument/2006/relationships/hyperlink" Target="https://www.dynatrace.com/solutions/industry/financial-services/" TargetMode="External"/><Relationship Id="rIdeosacwinfzrpxdu7ewfix" Type="http://schemas.openxmlformats.org/officeDocument/2006/relationships/hyperlink" Target="https://www.readycontacts.com/target-account-profiling/dynatrace/" TargetMode="External"/><Relationship Id="rId5mqllloypwreqn_vnz4o1" Type="http://schemas.openxmlformats.org/officeDocument/2006/relationships/hyperlink" Target="https://www.dynatrace.com/news/blog/the-dynatrace-commitment-to-achieving-top-security-standards-for-government-agencies-including-fedramp-high/" TargetMode="External"/><Relationship Id="rIdjoseuvksr90ga1pandh-p" Type="http://schemas.openxmlformats.org/officeDocument/2006/relationships/hyperlink" Target="https://diginomica.com/dynatrace-perform-2026-why-do-observability-pocs-succeed-enterprise-rollouts-stall" TargetMode="External"/><Relationship Id="rId5rdpp7jjiyqsxnbrimu_d" Type="http://schemas.openxmlformats.org/officeDocument/2006/relationships/hyperlink" Target="https://www.sec.gov/Archives/edgar/data/0001773383/000177338325000065/dt-20250331.htm" TargetMode="External"/><Relationship Id="rIdn-dxyb-vlnfceamzegnlr" Type="http://schemas.openxmlformats.org/officeDocument/2006/relationships/hyperlink" Target="https://www.sec.gov/Archives/edgar/data/0001773383/000177338326000011/fy26q4-earningsreleaseex99.htm" TargetMode="External"/><Relationship Id="rIdgmotiqwj5bsnlmfxmoq5i" Type="http://schemas.openxmlformats.org/officeDocument/2006/relationships/hyperlink" Target="https://checkthat.ai/brands/dynatrace/pricing" TargetMode="External"/><Relationship Id="rIdpvtt_ujycybnfxkb362gf" Type="http://schemas.openxmlformats.org/officeDocument/2006/relationships/hyperlink" Target="https://www.dynatrace.com/news/press-release/global-cio-report-observability-security/" TargetMode="External"/><Relationship Id="rId_x-gy42dsvrpulqvpvixn" Type="http://schemas.openxmlformats.org/officeDocument/2006/relationships/hyperlink" Target="https://www.dynatrace.com/news/press-release/2025-gartner-peer-insights-voc-observability-platforms/" TargetMode="External"/><Relationship Id="rIdwx638qugstkqxemuioihx" Type="http://schemas.openxmlformats.org/officeDocument/2006/relationships/hyperlink" Target="https://www.cio.com/article/4032851/the-keys-to-selecting-a-platform-for-end-to-end-observability.html" TargetMode="External"/><Relationship Id="rIdy9ad1wdgbnaymcxowm5wj" Type="http://schemas.openxmlformats.org/officeDocument/2006/relationships/hyperlink" Target="https://www.dynatrace.com/news/blog/dynatrace-completes-2024-fedramp-moderate-reauthorization/" TargetMode="External"/><Relationship Id="rIdj7vftkzxglubsjhq6_zwr" Type="http://schemas.openxmlformats.org/officeDocument/2006/relationships/hyperlink" Target="https://www.dynatrace.com/news/blog/dynatrace-extends-commitment-to-public-sector/" TargetMode="External"/><Relationship Id="rIdedmzc9ltf-im74yotgsu6" Type="http://schemas.openxmlformats.org/officeDocument/2006/relationships/hyperlink" Target="https://www.dynatrace.com/news/press-release/dynatrace-appsec-achieves-fedramp-stateramp/" TargetMode="External"/><Relationship Id="rId6hbiwr6mnojnz5mywyuzo" Type="http://schemas.openxmlformats.org/officeDocument/2006/relationships/hyperlink" Target="https://markets.financialcontent.com/clarkebroadcasting.mymotherlode/article/bizwire-2024-11-14-dynatrace-named-a-leader-in-inaugural-2024-gigaom-radar-report-for-kubernetes-observability" TargetMode="External"/><Relationship Id="rId2_sciktbrdte4kogs8iqo" Type="http://schemas.openxmlformats.org/officeDocument/2006/relationships/hyperlink" Target="https://aws.amazon.com/marketplace/pp/prodview-zcobx7h2mbtk2" TargetMode="External"/><Relationship Id="rId5rpjbqp5ybwugi4pnxmae" Type="http://schemas.openxmlformats.org/officeDocument/2006/relationships/hyperlink" Target="https://azure.microsoft.com/en-us/blog/dynatrace-and-the-microsoft-commercial-marketplace-ai-powered-cloud-transformation/" TargetMode="External"/><Relationship Id="rIdgi4jibn7xiu7tgq0hdfru" Type="http://schemas.openxmlformats.org/officeDocument/2006/relationships/hyperlink" Target="https://www.dynatrace.com/customers/td-bank/" TargetMode="External"/><Relationship Id="rIdz33zqu9asvs9egkv-qffs" Type="http://schemas.openxmlformats.org/officeDocument/2006/relationships/hyperlink" Target="https://diginomica.com/dynatrace-perform-2026-why-do-observability-pocs-succeed-enterprise-rollouts-stall" TargetMode="External"/><Relationship Id="rIdgiwazkzn0eymnbshzggv2" Type="http://schemas.openxmlformats.org/officeDocument/2006/relationships/hyperlink" Target="https://www.dynatrace.com/news/press-release/2025-gartner-peer-insights-voc-observability-platforms/" TargetMode="External"/><Relationship Id="rIdmu1mmxenvo0xdyuganwd-" Type="http://schemas.openxmlformats.org/officeDocument/2006/relationships/hyperlink" Target="https://azure.microsoft.com/en-us/blog/dynatrace-and-the-microsoft-commercial-marketplace-ai-powered-cloud-transformation/" TargetMode="External"/><Relationship Id="rIdczdzivtzxbs8znxekgtmg" Type="http://schemas.openxmlformats.org/officeDocument/2006/relationships/hyperlink" Target="https://www.techtarget.com/searchitoperations/news/366637355/Dynatrace-DevCycle-buy-continues-observability-consolidation"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2026-05-31T21:36:27.260Z</dcterms:created>
  <dcterms:modified xsi:type="dcterms:W3CDTF">2026-05-31T21:36:27.275Z</dcterms:modified>
</cp:coreProperties>
</file>

<file path=docProps/custom.xml><?xml version="1.0" encoding="utf-8"?>
<Properties xmlns="http://schemas.openxmlformats.org/officeDocument/2006/custom-properties" xmlns:vt="http://schemas.openxmlformats.org/officeDocument/2006/docPropsVTypes"/>
</file>