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Rule="auto"/>
        <w:rPr/>
      </w:pPr>
      <w:r w:rsidDel="00000000" w:rsidR="00000000" w:rsidRPr="00000000">
        <w:rPr>
          <w:rFonts w:ascii="Arial" w:cs="Arial" w:eastAsia="Arial" w:hAnsi="Arial"/>
          <w:b w:val="1"/>
          <w:bCs w:val="1"/>
          <w:color w:val="1f3864"/>
          <w:sz w:val="34"/>
          <w:szCs w:val="34"/>
          <w:rtl w:val="0"/>
        </w:rPr>
        <w:t xml:space="preserve">Artifact 3: Meridian Capital Group — Account Situation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color w:val="666666"/>
          <w:sz w:val="20"/>
          <w:szCs w:val="20"/>
          <w:rtl w:val="0"/>
        </w:rPr>
        <w:t xml:space="preserve">Prepared: May 31, 2026</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i w:val="1"/>
          <w:iCs w:val="1"/>
          <w:color w:val="666666"/>
          <w:sz w:val="20"/>
          <w:szCs w:val="20"/>
          <w:rtl w:val="0"/>
        </w:rPr>
        <w:t xml:space="preserve">Seller: Dynatrace, Inc. (NYSE: DT)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i w:val="1"/>
          <w:iCs w:val="1"/>
          <w:color w:val="666666"/>
          <w:sz w:val="20"/>
          <w:szCs w:val="20"/>
          <w:rtl w:val="0"/>
        </w:rPr>
        <w:t xml:space="preserve">Account owner: Paul Nettles, Enterprise AE — East Financial Services</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Fonts w:ascii="Arial" w:cs="Arial" w:eastAsia="Arial" w:hAnsi="Arial"/>
          <w:b w:val="1"/>
          <w:bCs w:val="1"/>
          <w:color w:val="c00000"/>
          <w:sz w:val="20"/>
          <w:szCs w:val="20"/>
          <w:rtl w:val="0"/>
        </w:rPr>
        <w:t xml:space="preserve">FICTITIOUS TRAINING ACCOUNT — all company details, personnel, and deal history below are fabricated for sales training purposes.</w:t>
      </w:r>
      <w:r w:rsidDel="00000000" w:rsidR="00000000" w:rsidRPr="00000000">
        <w:rPr>
          <w:rtl w:val="0"/>
        </w:rPr>
      </w:r>
    </w:p>
    <w:p w:rsidR="00000000" w:rsidDel="00000000" w:rsidP="00000000" w:rsidRDefault="00000000" w:rsidRPr="00000000" w14:paraId="00000006">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1. Company Profile</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Fonts w:ascii="Arial" w:cs="Arial" w:eastAsia="Arial" w:hAnsi="Arial"/>
          <w:b w:val="1"/>
          <w:bCs w:val="1"/>
          <w:sz w:val="22"/>
          <w:szCs w:val="22"/>
          <w:rtl w:val="0"/>
        </w:rPr>
        <w:t xml:space="preserve">Legal name:  </w:t>
      </w:r>
      <w:r w:rsidDel="00000000" w:rsidR="00000000" w:rsidRPr="00000000">
        <w:rPr>
          <w:rFonts w:ascii="Arial" w:cs="Arial" w:eastAsia="Arial" w:hAnsi="Arial"/>
          <w:sz w:val="22"/>
          <w:szCs w:val="22"/>
          <w:rtl w:val="0"/>
        </w:rPr>
        <w:t xml:space="preserve">Meridian Capital Group, Inc.</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Arial" w:cs="Arial" w:eastAsia="Arial" w:hAnsi="Arial"/>
          <w:b w:val="1"/>
          <w:bCs w:val="1"/>
          <w:sz w:val="22"/>
          <w:szCs w:val="22"/>
          <w:rtl w:val="0"/>
        </w:rPr>
        <w:t xml:space="preserve">Common name:  </w:t>
      </w:r>
      <w:r w:rsidDel="00000000" w:rsidR="00000000" w:rsidRPr="00000000">
        <w:rPr>
          <w:rFonts w:ascii="Arial" w:cs="Arial" w:eastAsia="Arial" w:hAnsi="Arial"/>
          <w:sz w:val="22"/>
          <w:szCs w:val="22"/>
          <w:rtl w:val="0"/>
        </w:rPr>
        <w:t xml:space="preserve">Meridian Capital</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w:cs="Arial" w:eastAsia="Arial" w:hAnsi="Arial"/>
          <w:b w:val="1"/>
          <w:bCs w:val="1"/>
          <w:sz w:val="22"/>
          <w:szCs w:val="22"/>
          <w:rtl w:val="0"/>
        </w:rPr>
        <w:t xml:space="preserve">Ticker:  </w:t>
      </w:r>
      <w:r w:rsidDel="00000000" w:rsidR="00000000" w:rsidRPr="00000000">
        <w:rPr>
          <w:rFonts w:ascii="Arial" w:cs="Arial" w:eastAsia="Arial" w:hAnsi="Arial"/>
          <w:sz w:val="22"/>
          <w:szCs w:val="22"/>
          <w:rtl w:val="0"/>
        </w:rPr>
        <w:t xml:space="preserve">MCG — NYSE (fictitious)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b w:val="1"/>
          <w:bCs w:val="1"/>
          <w:sz w:val="22"/>
          <w:szCs w:val="22"/>
          <w:rtl w:val="0"/>
        </w:rPr>
        <w:t xml:space="preserve">Industry:  </w:t>
      </w:r>
      <w:r w:rsidDel="00000000" w:rsidR="00000000" w:rsidRPr="00000000">
        <w:rPr>
          <w:rFonts w:ascii="Arial" w:cs="Arial" w:eastAsia="Arial" w:hAnsi="Arial"/>
          <w:sz w:val="22"/>
          <w:szCs w:val="22"/>
          <w:rtl w:val="0"/>
        </w:rPr>
        <w:t xml:space="preserve">Banking and financial services</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2"/>
          <w:szCs w:val="22"/>
          <w:rtl w:val="0"/>
        </w:rPr>
        <w:t xml:space="preserve">Sub-vertical:  </w:t>
      </w:r>
      <w:r w:rsidDel="00000000" w:rsidR="00000000" w:rsidRPr="00000000">
        <w:rPr>
          <w:rFonts w:ascii="Arial" w:cs="Arial" w:eastAsia="Arial" w:hAnsi="Arial"/>
          <w:sz w:val="22"/>
          <w:szCs w:val="22"/>
          <w:rtl w:val="0"/>
        </w:rPr>
        <w:t xml:space="preserve">Regional commercial bank / wealth management / capital markets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b w:val="1"/>
          <w:bCs w:val="1"/>
          <w:sz w:val="22"/>
          <w:szCs w:val="22"/>
          <w:rtl w:val="0"/>
        </w:rPr>
        <w:t xml:space="preserve">Founded:  </w:t>
      </w:r>
      <w:r w:rsidDel="00000000" w:rsidR="00000000" w:rsidRPr="00000000">
        <w:rPr>
          <w:rFonts w:ascii="Arial" w:cs="Arial" w:eastAsia="Arial" w:hAnsi="Arial"/>
          <w:sz w:val="22"/>
          <w:szCs w:val="22"/>
          <w:rtl w:val="0"/>
        </w:rPr>
        <w:t xml:space="preserve">1987, Charlotte, NC</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Arial" w:cs="Arial" w:eastAsia="Arial" w:hAnsi="Arial"/>
          <w:b w:val="1"/>
          <w:bCs w:val="1"/>
          <w:sz w:val="22"/>
          <w:szCs w:val="22"/>
          <w:rtl w:val="0"/>
        </w:rPr>
        <w:t xml:space="preserve">Most recent revenue:  </w:t>
      </w:r>
      <w:r w:rsidDel="00000000" w:rsidR="00000000" w:rsidRPr="00000000">
        <w:rPr>
          <w:rFonts w:ascii="Arial" w:cs="Arial" w:eastAsia="Arial" w:hAnsi="Arial"/>
          <w:sz w:val="22"/>
          <w:szCs w:val="22"/>
          <w:rtl w:val="0"/>
        </w:rPr>
        <w:t xml:space="preserve">$4.8 billion net revenue, fiscal year 2025 (ended December 31, 2025). Net interest income of $3.1B; non-interest income of $1.7B. YoY net revenue growth of 6%.</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b w:val="1"/>
          <w:bCs w:val="1"/>
          <w:sz w:val="22"/>
          <w:szCs w:val="22"/>
          <w:rtl w:val="0"/>
        </w:rPr>
        <w:t xml:space="preserve">Assets under management:  </w:t>
      </w:r>
      <w:r w:rsidDel="00000000" w:rsidR="00000000" w:rsidRPr="00000000">
        <w:rPr>
          <w:rFonts w:ascii="Arial" w:cs="Arial" w:eastAsia="Arial" w:hAnsi="Arial"/>
          <w:sz w:val="22"/>
          <w:szCs w:val="22"/>
          <w:rtl w:val="0"/>
        </w:rPr>
        <w:t xml:space="preserve">$310 billion total assets; $94 billion wealth management AUM.</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Arial" w:cs="Arial" w:eastAsia="Arial" w:hAnsi="Arial"/>
          <w:b w:val="1"/>
          <w:bCs w:val="1"/>
          <w:sz w:val="22"/>
          <w:szCs w:val="22"/>
          <w:rtl w:val="0"/>
        </w:rPr>
        <w:t xml:space="preserve">Employees:  </w:t>
      </w:r>
      <w:r w:rsidDel="00000000" w:rsidR="00000000" w:rsidRPr="00000000">
        <w:rPr>
          <w:rFonts w:ascii="Arial" w:cs="Arial" w:eastAsia="Arial" w:hAnsi="Arial"/>
          <w:sz w:val="22"/>
          <w:szCs w:val="22"/>
          <w:rtl w:val="0"/>
        </w:rPr>
        <w:t xml:space="preserve">Approximately 14,200 (as of December 31, 2025).</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b w:val="1"/>
          <w:bCs w:val="1"/>
          <w:sz w:val="22"/>
          <w:szCs w:val="22"/>
          <w:rtl w:val="0"/>
        </w:rPr>
        <w:t xml:space="preserve">Geographic footprint:  </w:t>
      </w:r>
      <w:r w:rsidDel="00000000" w:rsidR="00000000" w:rsidRPr="00000000">
        <w:rPr>
          <w:rFonts w:ascii="Arial" w:cs="Arial" w:eastAsia="Arial" w:hAnsi="Arial"/>
          <w:sz w:val="22"/>
          <w:szCs w:val="22"/>
          <w:rtl w:val="0"/>
        </w:rPr>
        <w:t xml:space="preserve">HQ: Charlotte, NC. Material operations in Atlanta, GA; New York, NY; Philadelphia, PA; Dallas, TX; Boston, MA; and Toronto, Ontario (Canadian retail banking subsidiary, Meridian Bank Canada). More than 420 branch locations across the US Southeast and Mid-Atlantic.</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b w:val="1"/>
          <w:bCs w:val="1"/>
          <w:sz w:val="22"/>
          <w:szCs w:val="22"/>
          <w:rtl w:val="0"/>
        </w:rPr>
        <w:t xml:space="preserve">Ownership:  </w:t>
      </w:r>
      <w:r w:rsidDel="00000000" w:rsidR="00000000" w:rsidRPr="00000000">
        <w:rPr>
          <w:rFonts w:ascii="Arial" w:cs="Arial" w:eastAsia="Arial" w:hAnsi="Arial"/>
          <w:sz w:val="22"/>
          <w:szCs w:val="22"/>
          <w:rtl w:val="0"/>
        </w:rPr>
        <w:t xml:space="preserve">Public, NYSE: MCG. Market capitalization approximately $9.2 billion (May 2026). No controlling shareholder; widely held institutional ownership with top holders including Vanguard Group (8.1%), BlackRock (7.4%), and State Street (5.9%).</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Fonts w:ascii="Arial" w:cs="Arial" w:eastAsia="Arial" w:hAnsi="Arial"/>
          <w:b w:val="0"/>
          <w:bCs w:val="0"/>
          <w:sz w:val="22"/>
          <w:szCs w:val="22"/>
          <w:rtl w:val="0"/>
        </w:rPr>
        <w:t xml:space="preserve">Defining characteristics: Meridian is a mid-tier regional bank by US standards — larger than community banks but smaller than the US money-center peers (JPMorgan, Bank of America). It competes primarily in commercial lending, wealth management, and treasury services across the Southeast. The bank completed a significant acquisition in 2023 (Heritage Southern Financial, an $18B community bank) that doubled its branch count and created a 24-month integration workload. The integration is now approximately 70% complete (per CFO commentary, Q1 2026 earnings call). Meridian is publicly committed to a digital-first strategy branded internally as 'Meridian Forward' and has been investing heavily in mobile banking and API-driven financial services since 2022.</w:t>
      </w:r>
      <w:r w:rsidDel="00000000" w:rsidR="00000000" w:rsidRPr="00000000">
        <w:rPr>
          <w:rtl w:val="0"/>
        </w:rPr>
      </w:r>
    </w:p>
    <w:p w:rsidR="00000000" w:rsidDel="00000000" w:rsidP="00000000" w:rsidRDefault="00000000" w:rsidRPr="00000000" w14:paraId="00000016">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2. Strategic Narrative</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rFonts w:ascii="Arial" w:cs="Arial" w:eastAsia="Arial" w:hAnsi="Arial"/>
          <w:b w:val="0"/>
          <w:bCs w:val="0"/>
          <w:sz w:val="22"/>
          <w:szCs w:val="22"/>
          <w:rtl w:val="0"/>
        </w:rPr>
        <w:t xml:space="preserve">The following priorities are drawn from Meridian Capital's fictitious FY2025 Annual Report, Q1 2026 earnings call, and investor day materials (February 2026). All are fabricated for training purposes.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Arial" w:cs="Arial" w:eastAsia="Arial" w:hAnsi="Arial"/>
          <w:b w:val="1"/>
          <w:bCs w:val="1"/>
          <w:sz w:val="22"/>
          <w:szCs w:val="22"/>
          <w:rtl w:val="0"/>
        </w:rPr>
        <w:t xml:space="preserve">Priority 1: Completing the Heritage Southern integration and extracting cost synergies</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Arial" w:cs="Arial" w:eastAsia="Arial" w:hAnsi="Arial"/>
          <w:b w:val="0"/>
          <w:bCs w:val="0"/>
          <w:sz w:val="22"/>
          <w:szCs w:val="22"/>
          <w:rtl w:val="0"/>
        </w:rPr>
        <w:t xml:space="preserve">Meridian's Q1 2026 earnings call (April 22, 2026) featured CFO Thomas Greer reiterating a $180 million annualized cost synergy target from the Heritage Southern acquisition, of which $130 million has been realized to date. Core banking system consolidation (Heritage ran Fiserv Premier; Meridian runs FIS Modern Banking Platform) is the remaining large integration workload, targeted for completion by Q4 2026.</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rFonts w:ascii="Arial" w:cs="Arial" w:eastAsia="Arial" w:hAnsi="Arial"/>
          <w:b w:val="1"/>
          <w:bCs w:val="1"/>
          <w:sz w:val="22"/>
          <w:szCs w:val="22"/>
          <w:rtl w:val="0"/>
        </w:rPr>
        <w:t xml:space="preserve">Priority 2: Digital-first customer experience under 'Meridian Forward'</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tl w:val="0"/>
        </w:rPr>
        <w:t xml:space="preserve">CEO David Halberstam </w:t>
      </w:r>
      <w:r w:rsidDel="00000000" w:rsidR="00000000" w:rsidRPr="00000000">
        <w:rPr>
          <w:rFonts w:ascii="Arial" w:cs="Arial" w:eastAsia="Arial" w:hAnsi="Arial"/>
          <w:b w:val="0"/>
          <w:bCs w:val="0"/>
          <w:sz w:val="22"/>
          <w:szCs w:val="22"/>
          <w:rtl w:val="0"/>
        </w:rPr>
        <w:t xml:space="preserve">has described 'Meridian Forward' as the bank's five-year technology investment program, targeting $600 million in cumulative technology spend from 2022 through 2026. Public milestones include launch of a rebuilt mobile banking app (2024), API banking for commercial clients (2025), and a planned real-time payments hub (2026). The program is overseen by CIO Robert Callahan, who joined from Wells Fargo in late 2023.</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Arial" w:cs="Arial" w:eastAsia="Arial" w:hAnsi="Arial"/>
          <w:b w:val="1"/>
          <w:bCs w:val="1"/>
          <w:sz w:val="22"/>
          <w:szCs w:val="22"/>
          <w:rtl w:val="0"/>
        </w:rPr>
        <w:t xml:space="preserve">Priority 3: Wealth management growth and fee income diversification</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Fonts w:ascii="Arial" w:cs="Arial" w:eastAsia="Arial" w:hAnsi="Arial"/>
          <w:b w:val="0"/>
          <w:bCs w:val="0"/>
          <w:sz w:val="22"/>
          <w:szCs w:val="22"/>
          <w:rtl w:val="0"/>
        </w:rPr>
        <w:t xml:space="preserve">Non-interest income (wealth management, capital markets, treasury services) represented 35% of net revenue in FY2025, up from 28% in FY2022. Management has publicly targeted 40% non-interest income mix by 2027. Wealth management AUM grew 11% YoY in 2025 to $94 billion. Meridian completed a small RIA acquisition (Covington Wealth Partners, $4.2B AUM, August 2025) to expand its Southeast high-net-worth client base.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Arial" w:cs="Arial" w:eastAsia="Arial" w:hAnsi="Arial"/>
          <w:b w:val="1"/>
          <w:bCs w:val="1"/>
          <w:sz w:val="22"/>
          <w:szCs w:val="22"/>
          <w:rtl w:val="0"/>
        </w:rPr>
        <w:t xml:space="preserve">Priority 4: Regulatory compliance and stress-test readiness</w:t>
      </w:r>
      <w:r w:rsidDel="00000000" w:rsidR="00000000" w:rsidRPr="00000000">
        <w:rPr>
          <w:rtl w:val="0"/>
        </w:rPr>
      </w:r>
    </w:p>
    <w:p w:rsidR="00000000" w:rsidDel="00000000" w:rsidP="00000000" w:rsidRDefault="00000000" w:rsidRPr="00000000" w14:paraId="00000023">
      <w:pPr>
        <w:spacing w:after="140" w:lineRule="auto"/>
        <w:rPr/>
      </w:pPr>
      <w:r w:rsidDel="00000000" w:rsidR="00000000" w:rsidRPr="00000000">
        <w:rPr>
          <w:rFonts w:ascii="Arial" w:cs="Arial" w:eastAsia="Arial" w:hAnsi="Arial"/>
          <w:b w:val="0"/>
          <w:bCs w:val="0"/>
          <w:sz w:val="22"/>
          <w:szCs w:val="22"/>
          <w:rtl w:val="0"/>
        </w:rPr>
        <w:t xml:space="preserve">Meridian crossed the $100 billion total assets threshold in Q3 2025 following the Heritage Southern integration. This places it in the 'Category III' regulatory tier under US Basel III/DFAST standards, triggering enhanced stress testing, liquidity coverage ratio requirements, and heightened OCC examination scrutiny. CFO Osei-Bonsu noted in the Q1 2026 call that compliance infrastructure investment is 'a top capital allocation priority' for the next 18 months.</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Fonts w:ascii="Arial" w:cs="Arial" w:eastAsia="Arial" w:hAnsi="Arial"/>
          <w:b w:val="1"/>
          <w:bCs w:val="1"/>
          <w:sz w:val="22"/>
          <w:szCs w:val="22"/>
          <w:rtl w:val="0"/>
        </w:rPr>
        <w:t xml:space="preserve">Priority 5: AI-assisted banking and operational automation</w:t>
      </w: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rFonts w:ascii="Arial" w:cs="Arial" w:eastAsia="Arial" w:hAnsi="Arial"/>
          <w:b w:val="0"/>
          <w:bCs w:val="0"/>
          <w:sz w:val="22"/>
          <w:szCs w:val="22"/>
          <w:rtl w:val="0"/>
        </w:rPr>
        <w:t xml:space="preserve">Meridian's February 2026 investor day featured a dedicated segment from CIO Robert Callahan on AI deployment. Stated initiatives include AI-driven credit underwriting assistance (piloting with commercial lending teams), fraud detection model upgrades, and a virtual assistant for retail banking clients (branded 'Merit,' launched January 2026). Park stated publicly that Meridian expects AI-driven initiatives to contribute $80 million in annual efficiency gains by 2027.</w:t>
      </w:r>
      <w:r w:rsidDel="00000000" w:rsidR="00000000" w:rsidRPr="00000000">
        <w:rPr>
          <w:rtl w:val="0"/>
        </w:rPr>
      </w:r>
    </w:p>
    <w:p w:rsidR="00000000" w:rsidDel="00000000" w:rsidP="00000000" w:rsidRDefault="00000000" w:rsidRPr="00000000" w14:paraId="00000027">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3. Recent Material Events (24 Months)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800"/>
        <w:gridCol w:w="4460"/>
        <w:tblGridChange w:id="0">
          <w:tblGrid>
            <w:gridCol w:w="1100"/>
            <w:gridCol w:w="38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Relevance to Dynatrace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CTO role created; Brian Sorrell (ex-Capital One, 12 years) named as first-ever Chief Technology Officer. Reports to CIO Robert Callahan.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New technical buyer in the org. Webb is a known proponent of observability-first engineering culture from his Capital One tenure. Potential champion.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Q1 2026 earnings call: CFO flagged $40M increase in technology and ops spend YoY; cited 'complexity of running dual core banking environments during integration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Technology complexity is a live pain point on the CFO's radar — not just an IT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March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Meridian disclosed a 6-hour mobile banking outage on March 14 (Friday evening). Root cause: a failed deployment to the payments middleware layer. Covered by Charlotte Business Journal and American Banker.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High-visibility incident directly tied to deployment observability gap. Release engineering and incident detection are open wounds.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Investor Day: CIO Park presents 'Meridian Forward Phase 3' roadmap. Real-time payments hub, AI assistant, and 'zero-trust cloud infrastructure' headline the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Cloud-native buildout is accelerating. Infrastructure complexity (and monitoring needs) will increase materially.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January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OCC examination cycle begins. Meridian disclosed in 10-K (February 2026) that it is subject to enhanced examination as a Category III institution for the first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Regulatory examination scrutiny on technology controls and operational resilience is a new category of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August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Acquisition: Covington Wealth Partners ($4.2B AUM, Atlanta, GA). Integration into Meridian Wealth Management expected to complete by mid-2026.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Adds another application integration workload; wealth management digital portals will need observability instrumentation.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June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CISO Kevin Landers promoted to Chief Information Security Officer from Deputy CISO. His predecessor retired.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Security leadership change. Landers is newer to the role and building his vendor relationships. A potential new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Q4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FIS Modern Banking Platform migration Phase 2 completed for 60% of Heritage Southern branches. Remaining 40% targeted 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Active core banking migration creates application reliability risk — a live observability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July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CIO Robert Callahan joins from Wells Fargo Technology. Named in press release as architect of Wells Fargo's cloud-native transformation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Callahan is Dynatrace’s most likely economic buyer and has a track record of large observability investments at Wells Fargo.</w:t>
            </w:r>
            <w:r w:rsidDel="00000000" w:rsidR="00000000" w:rsidRPr="00000000">
              <w:rPr>
                <w:rtl w:val="0"/>
              </w:rPr>
            </w:r>
          </w:p>
        </w:tc>
      </w:tr>
    </w:tbl>
    <w:p w:rsidR="00000000" w:rsidDel="00000000" w:rsidP="00000000" w:rsidRDefault="00000000" w:rsidRPr="00000000" w14:paraId="00000046">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4. Tech Landscape Snapshot</w:t>
      </w:r>
      <w:r w:rsidDel="00000000" w:rsidR="00000000" w:rsidRPr="00000000">
        <w:rPr>
          <w:rtl w:val="0"/>
        </w:rPr>
      </w:r>
    </w:p>
    <w:p w:rsidR="00000000" w:rsidDel="00000000" w:rsidP="00000000" w:rsidRDefault="00000000" w:rsidRPr="00000000" w14:paraId="00000047">
      <w:pPr>
        <w:spacing w:after="140" w:lineRule="auto"/>
        <w:rPr/>
      </w:pPr>
      <w:r w:rsidDel="00000000" w:rsidR="00000000" w:rsidRPr="00000000">
        <w:rPr>
          <w:rFonts w:ascii="Arial" w:cs="Arial" w:eastAsia="Arial" w:hAnsi="Arial"/>
          <w:b w:val="1"/>
          <w:bCs w:val="1"/>
          <w:sz w:val="22"/>
          <w:szCs w:val="22"/>
          <w:rtl w:val="0"/>
        </w:rPr>
        <w:t xml:space="preserve">Incumbent vendors (known or inferred)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banking: FIS Modern Banking Platform (primary Meridian system); Fiserv Premier (legacy Heritage Southern — in active migration to FIS). This dual-stack environment is the source of significant operational complexity during the integration period.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performance monitoring: Dynatrace has no confirmed footprint at Meridian. Legacy monitoring is believed to be a combination of IBM Instana (deployed by Heritage Southern engineering team) and Splunk (log management, deployed enterprise-wide at Meridian pre-acquisition). Job postings from Q1 2026 reference both Splunk and 'next-generation observability platforms' — consistent with an active evaluation.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infrastructure: AWS is the stated primary cloud provider for Meridian Forward workloads (confirmed via CIO Park's investor day presentation, February 2026, which showed an 'AWS-first' slide). Azure is in use for Microsoft 365 and select enterprise applications. No public Google Cloud footprint detected.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and access management: Okta (confirmed via job posting references). CyberArk for privileged access (CISO Mbeki's team cited CyberArk in a LinkedIn post, March 2026).</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platform: Snowflake (confirmed via a joint Snowflake/Meridian case study, 2024). Informatica for data integration. TIBCO middleware for payment processing.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ERP/Finance: Oracle Financials (confirmed via Oracle customer reference page).</w:t>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rFonts w:ascii="Arial" w:cs="Arial" w:eastAsia="Arial" w:hAnsi="Arial"/>
          <w:b w:val="1"/>
          <w:bCs w:val="1"/>
          <w:sz w:val="22"/>
          <w:szCs w:val="22"/>
          <w:rtl w:val="0"/>
        </w:rPr>
        <w:t xml:space="preserve">Technical debt and migration signals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core banking environment (FIS + Fiserv) is the dominant technical debt signal. This creates fragmented deployment pipelines, inconsistent logging standards, and monitoring blind spots across the merged application estate.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Meridian's March 2026 mobile outage is a public data point on deployment observability gaps. The root cause (failed middleware deployment) was not detected until customer impact was already visible — a textbook case for what Dynatrace OneAgent and Davis AI would surface earlier.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postings (Q1-Q2 2026) reference Kubernetes, Terraform, and ArgoCD — consistent with a cloud-native buildout under Meridian Forward Phase 3. These workloads would require observability instrumentation.</w:t>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Fonts w:ascii="Arial" w:cs="Arial" w:eastAsia="Arial" w:hAnsi="Arial"/>
          <w:b w:val="1"/>
          <w:bCs w:val="1"/>
          <w:sz w:val="22"/>
          <w:szCs w:val="22"/>
          <w:rtl w:val="0"/>
        </w:rPr>
        <w:t xml:space="preserve">OpenTelemetry posture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confirmed OTel commitment at Meridian. Splunk's OTel collector is in use for some log pipelines (inferred from job postings). This creates a natural migration path to Dynatrace's OTel-native ingestion capabilities.</w:t>
      </w:r>
    </w:p>
    <w:p w:rsidR="00000000" w:rsidDel="00000000" w:rsidP="00000000" w:rsidRDefault="00000000" w:rsidRPr="00000000" w14:paraId="00000056">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5. Business Pressures</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Fonts w:ascii="Arial" w:cs="Arial" w:eastAsia="Arial" w:hAnsi="Arial"/>
          <w:b w:val="1"/>
          <w:bCs w:val="1"/>
          <w:sz w:val="22"/>
          <w:szCs w:val="22"/>
          <w:rtl w:val="0"/>
        </w:rPr>
        <w:t xml:space="preserve">Pressure 1: Category III regulatory upgrade — technology controls now under enhanced scrutiny</w:t>
      </w:r>
      <w:r w:rsidDel="00000000" w:rsidR="00000000" w:rsidRPr="00000000">
        <w:rPr>
          <w:rtl w:val="0"/>
        </w:rPr>
      </w:r>
    </w:p>
    <w:p w:rsidR="00000000" w:rsidDel="00000000" w:rsidP="00000000" w:rsidRDefault="00000000" w:rsidRPr="00000000" w14:paraId="00000058">
      <w:pPr>
        <w:spacing w:after="140" w:lineRule="auto"/>
        <w:rPr/>
      </w:pPr>
      <w:r w:rsidDel="00000000" w:rsidR="00000000" w:rsidRPr="00000000">
        <w:rPr>
          <w:rFonts w:ascii="Arial" w:cs="Arial" w:eastAsia="Arial" w:hAnsi="Arial"/>
          <w:b w:val="0"/>
          <w:bCs w:val="0"/>
          <w:sz w:val="22"/>
          <w:szCs w:val="22"/>
          <w:rtl w:val="0"/>
        </w:rPr>
        <w:t xml:space="preserve">Crossing $100B in total assets triggered Category III treatment under US banking regulation. The OCC examination cycle that began in January 2026 will include a detailed review of technology risk management, incident response, and operational resilience. A repeat of the March 2026 mobile outage in an examination period would be a significant regulatory risk event. Management cited 'compliance infrastructure' as a top capital allocation priority (CFO Osei-Bonsu, Q1 2026 earnings call, April 22, 2026).</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rFonts w:ascii="Arial" w:cs="Arial" w:eastAsia="Arial" w:hAnsi="Arial"/>
          <w:b w:val="1"/>
          <w:bCs w:val="1"/>
          <w:sz w:val="22"/>
          <w:szCs w:val="22"/>
          <w:rtl w:val="0"/>
        </w:rPr>
        <w:t xml:space="preserve">Pressure 2: Core banking dual-stack complexity during Heritage integration</w:t>
      </w:r>
      <w:r w:rsidDel="00000000" w:rsidR="00000000" w:rsidRPr="00000000">
        <w:rPr>
          <w:rtl w:val="0"/>
        </w:rPr>
      </w:r>
    </w:p>
    <w:p w:rsidR="00000000" w:rsidDel="00000000" w:rsidP="00000000" w:rsidRDefault="00000000" w:rsidRPr="00000000" w14:paraId="0000005B">
      <w:pPr>
        <w:spacing w:after="140" w:lineRule="auto"/>
        <w:rPr/>
      </w:pPr>
      <w:r w:rsidDel="00000000" w:rsidR="00000000" w:rsidRPr="00000000">
        <w:rPr>
          <w:rFonts w:ascii="Arial" w:cs="Arial" w:eastAsia="Arial" w:hAnsi="Arial"/>
          <w:b w:val="0"/>
          <w:bCs w:val="0"/>
          <w:sz w:val="22"/>
          <w:szCs w:val="22"/>
          <w:rtl w:val="0"/>
        </w:rPr>
        <w:t xml:space="preserve">Running two core banking systems simultaneously (FIS and Fiserv) through a 24-month integration has created a fragmented, difficult-to-monitor application estate. CFO Osei-Bonsu specifically called out 'complexity of running dual core banking environments' as a driver of elevated technology spend in Q1 2026. The remaining 40% of branches still on Fiserv Premier are targeted for migration by Q4 2026 — a six-month window of elevated operational risk.</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pacing w:after="140" w:lineRule="auto"/>
        <w:rPr/>
      </w:pPr>
      <w:r w:rsidDel="00000000" w:rsidR="00000000" w:rsidRPr="00000000">
        <w:rPr>
          <w:rFonts w:ascii="Arial" w:cs="Arial" w:eastAsia="Arial" w:hAnsi="Arial"/>
          <w:b w:val="1"/>
          <w:bCs w:val="1"/>
          <w:sz w:val="22"/>
          <w:szCs w:val="22"/>
          <w:rtl w:val="0"/>
        </w:rPr>
        <w:t xml:space="preserve">Pressure 3: Public outage incident and reputational exposure</w:t>
      </w: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rFonts w:ascii="Arial" w:cs="Arial" w:eastAsia="Arial" w:hAnsi="Arial"/>
          <w:b w:val="0"/>
          <w:bCs w:val="0"/>
          <w:sz w:val="22"/>
          <w:szCs w:val="22"/>
          <w:rtl w:val="0"/>
        </w:rPr>
        <w:t xml:space="preserve">The March 14, 2026 mobile banking outage received coverage in Charlotte Business Journal and American Banker. In a market where digital experience is a primary competitive differentiator for regional banks, customer-visible outages damage brand and create board-level attention to operational resilience. The incident has almost certainly triggered internal post-mortems and technology control reviews.</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spacing w:after="140" w:lineRule="auto"/>
        <w:rPr/>
      </w:pPr>
      <w:r w:rsidDel="00000000" w:rsidR="00000000" w:rsidRPr="00000000">
        <w:rPr>
          <w:rFonts w:ascii="Arial" w:cs="Arial" w:eastAsia="Arial" w:hAnsi="Arial"/>
          <w:b w:val="1"/>
          <w:bCs w:val="1"/>
          <w:sz w:val="22"/>
          <w:szCs w:val="22"/>
          <w:rtl w:val="0"/>
        </w:rPr>
        <w:t xml:space="preserve">Pressure 4: AI deployment requires reliable infrastructure at scale</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rFonts w:ascii="Arial" w:cs="Arial" w:eastAsia="Arial" w:hAnsi="Arial"/>
          <w:b w:val="0"/>
          <w:bCs w:val="0"/>
          <w:sz w:val="22"/>
          <w:szCs w:val="22"/>
          <w:rtl w:val="0"/>
        </w:rPr>
        <w:t xml:space="preserve">CIO Park's February 2026 investor day commitment ($80M efficiency gains from AI by 2027) creates pressure to deploy AI workloads reliably at scale. AI inference workloads (the 'Merit' virtual assistant, fraud models, credit underwriting) running on cloud infrastructure require observability coverage that legacy monitoring tools are not designed to provide. Dynatrace's AI Observability module is directly positioned for this need.</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rFonts w:ascii="Arial" w:cs="Arial" w:eastAsia="Arial" w:hAnsi="Arial"/>
          <w:b w:val="1"/>
          <w:bCs w:val="1"/>
          <w:sz w:val="22"/>
          <w:szCs w:val="22"/>
          <w:rtl w:val="0"/>
        </w:rPr>
        <w:t xml:space="preserve">Pressure 5: Net interest margin compression in a moderating rate environment</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rFonts w:ascii="Arial" w:cs="Arial" w:eastAsia="Arial" w:hAnsi="Arial"/>
          <w:b w:val="0"/>
          <w:bCs w:val="0"/>
          <w:sz w:val="22"/>
          <w:szCs w:val="22"/>
          <w:rtl w:val="0"/>
        </w:rPr>
        <w:t xml:space="preserve">As interest rates moderated in 2025-2026, net interest margin at regional banks including Meridian came under pressure. Management's response is to accelerate non-interest income (wealth management, fee income) growth — which increases pressure on digital platform reliability as those revenue streams are increasingly digital. A 6-hour outage on a Friday evening hits digital transaction fee revenue directly.</w:t>
      </w:r>
      <w:r w:rsidDel="00000000" w:rsidR="00000000" w:rsidRPr="00000000">
        <w:rPr>
          <w:rtl w:val="0"/>
        </w:rPr>
      </w:r>
    </w:p>
    <w:p w:rsidR="00000000" w:rsidDel="00000000" w:rsidP="00000000" w:rsidRDefault="00000000" w:rsidRPr="00000000" w14:paraId="00000065">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6. Why Now — The Original Opening</w:t>
      </w: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rFonts w:ascii="Arial" w:cs="Arial" w:eastAsia="Arial" w:hAnsi="Arial"/>
          <w:b w:val="0"/>
          <w:bCs w:val="0"/>
          <w:sz w:val="22"/>
          <w:szCs w:val="22"/>
          <w:rtl w:val="0"/>
        </w:rPr>
        <w:t xml:space="preserve">Per internal context provided (fictitious training scenario):</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140" w:lineRule="auto"/>
        <w:rPr/>
      </w:pPr>
      <w:r w:rsidDel="00000000" w:rsidR="00000000" w:rsidRPr="00000000">
        <w:rPr>
          <w:rFonts w:ascii="Arial" w:cs="Arial" w:eastAsia="Arial" w:hAnsi="Arial"/>
          <w:b w:val="0"/>
          <w:bCs w:val="0"/>
          <w:sz w:val="22"/>
          <w:szCs w:val="22"/>
          <w:rtl w:val="0"/>
        </w:rPr>
        <w:t xml:space="preserve">Meridian first engaged Dynatrace in November 2024. The triggering event was a proof-of-concept RFP issued by CIO Robert Callahan's team in October 2024, which cited three specific requirements: (1) full-stack observability for the FIS Modern Banking Platform migration workloads, (2) AI-powered anomaly detection to reduce alert noise across the consolidated Meridian + Heritage Southern application estate, and (3) integration with AWS CloudWatch for the Meridian Forward cloud-native environment.</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spacing w:after="140" w:lineRule="auto"/>
        <w:rPr/>
      </w:pPr>
      <w:r w:rsidDel="00000000" w:rsidR="00000000" w:rsidRPr="00000000">
        <w:rPr>
          <w:rFonts w:ascii="Arial" w:cs="Arial" w:eastAsia="Arial" w:hAnsi="Arial"/>
          <w:b w:val="0"/>
          <w:bCs w:val="0"/>
          <w:sz w:val="22"/>
          <w:szCs w:val="22"/>
          <w:rtl w:val="0"/>
        </w:rPr>
        <w:t xml:space="preserve">The RFP was driven by a specific incident in September 2024 in which a Heritage Southern branch cutover to FIS caused a 4-hour disruption to ATM and branch teller systems in the Carolinas. Internal reviews flagged that the existing monitoring stack (IBM Instana + Splunk) failed to provide early warning. The incident was not publicly disclosed but was material enough internally to prompt the RFP.</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140" w:lineRule="auto"/>
        <w:rPr/>
      </w:pPr>
      <w:r w:rsidDel="00000000" w:rsidR="00000000" w:rsidRPr="00000000">
        <w:rPr>
          <w:rFonts w:ascii="Arial" w:cs="Arial" w:eastAsia="Arial" w:hAnsi="Arial"/>
          <w:b w:val="0"/>
          <w:bCs w:val="0"/>
          <w:sz w:val="22"/>
          <w:szCs w:val="22"/>
          <w:rtl w:val="0"/>
        </w:rPr>
        <w:t xml:space="preserve">Dynatrace was short-listed alongside Datadog following the POC phase (November 2024 – January 2025). Dynatrace scored higher on the AI causal analysis criteria and on Kubernetes observability for the Meridian Forward workloads. The deal moved to commercial negotiation in February 2025.</w:t>
      </w:r>
      <w:r w:rsidDel="00000000" w:rsidR="00000000" w:rsidRPr="00000000">
        <w:rPr>
          <w:rtl w:val="0"/>
        </w:rPr>
      </w:r>
    </w:p>
    <w:p w:rsidR="00000000" w:rsidDel="00000000" w:rsidP="00000000" w:rsidRDefault="00000000" w:rsidRPr="00000000" w14:paraId="0000006D">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7. Why It Went Cold</w:t>
      </w: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rFonts w:ascii="Arial" w:cs="Arial" w:eastAsia="Arial" w:hAnsi="Arial"/>
          <w:b w:val="0"/>
          <w:bCs w:val="0"/>
          <w:sz w:val="22"/>
          <w:szCs w:val="22"/>
          <w:rtl w:val="0"/>
        </w:rPr>
        <w:t xml:space="preserve">Per internal context provided (fictitious training scenario):</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rFonts w:ascii="Arial" w:cs="Arial" w:eastAsia="Arial" w:hAnsi="Arial"/>
          <w:b w:val="0"/>
          <w:bCs w:val="0"/>
          <w:sz w:val="22"/>
          <w:szCs w:val="22"/>
          <w:rtl w:val="0"/>
        </w:rPr>
        <w:t xml:space="preserve">The deal stalled in April 2025. The precipitating event was a budget freeze triggered by Q1 2025 earnings pressure: Meridian missed its net interest income target for Q1 2025 by approximately $45 million, driven by faster-than-expected deposit repricing. CFO Osei-Bonsu directed a 90-day discretionary IT spend freeze across all non-committed technology projects in April 2025.</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Fonts w:ascii="Arial" w:cs="Arial" w:eastAsia="Arial" w:hAnsi="Arial"/>
          <w:b w:val="0"/>
          <w:bCs w:val="0"/>
          <w:sz w:val="22"/>
          <w:szCs w:val="22"/>
          <w:rtl w:val="0"/>
        </w:rPr>
        <w:t xml:space="preserve">The Dynatrace evaluation was classified as 'non-committed' (no signed contract) and was placed on hold. No formal rejection was issued. CIO Park's team communicated to Dynatrace AE Paul Nettles that the evaluation would resume 'after budget review in Q3 2025.' Contact went quiet after a follow-up call in June 2025.</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spacing w:after="140" w:lineRule="auto"/>
        <w:rPr/>
      </w:pPr>
      <w:r w:rsidDel="00000000" w:rsidR="00000000" w:rsidRPr="00000000">
        <w:rPr>
          <w:rFonts w:ascii="Arial" w:cs="Arial" w:eastAsia="Arial" w:hAnsi="Arial"/>
          <w:b w:val="0"/>
          <w:bCs w:val="0"/>
          <w:sz w:val="22"/>
          <w:szCs w:val="22"/>
          <w:rtl w:val="0"/>
        </w:rPr>
        <w:t xml:space="preserve">This is the visible precipitating event. It does not reflect a technical failure or competitive loss — the evaluation was still Dynatrace-favored at the point of freeze.</w:t>
      </w:r>
      <w:r w:rsidDel="00000000" w:rsidR="00000000" w:rsidRPr="00000000">
        <w:rPr>
          <w:rtl w:val="0"/>
        </w:rPr>
      </w:r>
    </w:p>
    <w:p w:rsidR="00000000" w:rsidDel="00000000" w:rsidP="00000000" w:rsidRDefault="00000000" w:rsidRPr="00000000" w14:paraId="00000075">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8. Current State — Snapshot: May 31, 2026</w:t>
      </w:r>
      <w:r w:rsidDel="00000000" w:rsidR="00000000" w:rsidRPr="00000000">
        <w:rPr>
          <w:rtl w:val="0"/>
        </w:rPr>
      </w:r>
    </w:p>
    <w:p w:rsidR="00000000" w:rsidDel="00000000" w:rsidP="00000000" w:rsidRDefault="00000000" w:rsidRPr="00000000" w14:paraId="00000076">
      <w:pPr>
        <w:spacing w:after="140" w:lineRule="auto"/>
        <w:rPr/>
      </w:pPr>
      <w:r w:rsidDel="00000000" w:rsidR="00000000" w:rsidRPr="00000000">
        <w:rPr>
          <w:rFonts w:ascii="Arial" w:cs="Arial" w:eastAsia="Arial" w:hAnsi="Arial"/>
          <w:b w:val="0"/>
          <w:bCs w:val="0"/>
          <w:sz w:val="22"/>
          <w:szCs w:val="22"/>
          <w:rtl w:val="0"/>
        </w:rPr>
        <w:t xml:space="preserve">Snapshot date: May 31, 2026. Approximately 13 months since last active contact (June 2025).</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spacing w:after="140" w:lineRule="auto"/>
        <w:rPr/>
      </w:pPr>
      <w:r w:rsidDel="00000000" w:rsidR="00000000" w:rsidRPr="00000000">
        <w:rPr>
          <w:rFonts w:ascii="Arial" w:cs="Arial" w:eastAsia="Arial" w:hAnsi="Arial"/>
          <w:b w:val="1"/>
          <w:bCs w:val="1"/>
          <w:sz w:val="22"/>
          <w:szCs w:val="22"/>
          <w:rtl w:val="0"/>
        </w:rPr>
        <w:t xml:space="preserve">Personnel changes since last contact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Sorrell named as first-ever Chief Technology Officer (May 2026). Webb reports to CIO Park and is likely to be a new technical evaluator in any resumed observability discussion. Webb's Capital One background includes documented use of Dynatrace in Capital One's cloud engineering practice — a potential warm starting point.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 Kevin Landers in role since June 2025 — he was not part of the original evaluation. Any resumed discussion should include him given Dynatrace’s cloud security posture management capabilities (Runecast integration).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CIO Robert Callahan remains in role and was the original economic buyer. His investor day commitment (February 2026) on AI efficiency gains is a live active initiative — the conditions that drove the original RFP have not gone away.</w:t>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140" w:lineRule="auto"/>
        <w:rPr/>
      </w:pPr>
      <w:r w:rsidDel="00000000" w:rsidR="00000000" w:rsidRPr="00000000">
        <w:rPr>
          <w:rFonts w:ascii="Arial" w:cs="Arial" w:eastAsia="Arial" w:hAnsi="Arial"/>
          <w:b w:val="1"/>
          <w:bCs w:val="1"/>
          <w:sz w:val="22"/>
          <w:szCs w:val="22"/>
          <w:rtl w:val="0"/>
        </w:rPr>
        <w:t xml:space="preserve">Status of the original project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FIS core banking migration (the workload that triggered the original RFP) is still in progress — 40% of Heritage Southern branches remain on Fiserv Premier, targeted for Q4 2026 completion. The original 'Why Now' is still valid and actually more time-constrained now than in 2025.</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March 2026 mobile outage is a materially new data point that reinforces the original observability gap identified in the 2024 POC. This is new evidence the AE can bring back into conversation.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evidence that Datadog (the other shortlisted vendor) has been awarded the contract. Job postings as of Q1-Q2 2026 continue to reference 'next-generation observability platforms' — consistent with an open evaluation rather than a closed decision.</w:t>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spacing w:after="140" w:lineRule="auto"/>
        <w:rPr/>
      </w:pPr>
      <w:r w:rsidDel="00000000" w:rsidR="00000000" w:rsidRPr="00000000">
        <w:rPr>
          <w:rFonts w:ascii="Arial" w:cs="Arial" w:eastAsia="Arial" w:hAnsi="Arial"/>
          <w:b w:val="1"/>
          <w:bCs w:val="1"/>
          <w:sz w:val="22"/>
          <w:szCs w:val="22"/>
          <w:rtl w:val="0"/>
        </w:rPr>
        <w:t xml:space="preserve">Conditions that drove 'Why Now' — do they still hold?</w:t>
      </w:r>
      <w:r w:rsidDel="00000000" w:rsidR="00000000" w:rsidRPr="00000000">
        <w:rPr>
          <w:rtl w:val="0"/>
        </w:rPr>
      </w:r>
    </w:p>
    <w:p w:rsidR="00000000" w:rsidDel="00000000" w:rsidP="00000000" w:rsidRDefault="00000000" w:rsidRPr="00000000" w14:paraId="00000083">
      <w:pPr>
        <w:spacing w:after="140" w:lineRule="auto"/>
        <w:rPr/>
      </w:pPr>
      <w:r w:rsidDel="00000000" w:rsidR="00000000" w:rsidRPr="00000000">
        <w:rPr>
          <w:rFonts w:ascii="Arial" w:cs="Arial" w:eastAsia="Arial" w:hAnsi="Arial"/>
          <w:b w:val="0"/>
          <w:bCs w:val="0"/>
          <w:sz w:val="22"/>
          <w:szCs w:val="22"/>
          <w:rtl w:val="0"/>
        </w:rPr>
        <w:t xml:space="preserve">Yes, and they are stronger. The budget freeze has lifted. The OCC examination (January 2026) adds a regulatory compliance dimension that was not present in 2024. The March 2026 outage is a public incident that gives the AE a concrete, dated event to reference. CTO Brian Sorrell is a new technical stakeholder with a favorable background relative to Dynatrace.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spacing w:after="140" w:lineRule="auto"/>
        <w:rPr/>
      </w:pPr>
      <w:r w:rsidDel="00000000" w:rsidR="00000000" w:rsidRPr="00000000">
        <w:rPr>
          <w:rFonts w:ascii="Arial" w:cs="Arial" w:eastAsia="Arial" w:hAnsi="Arial"/>
          <w:b w:val="1"/>
          <w:bCs w:val="1"/>
          <w:sz w:val="22"/>
          <w:szCs w:val="22"/>
          <w:rtl w:val="0"/>
        </w:rPr>
        <w:t xml:space="preserve">Suggested re-entry framing (for internal AE prep use only)</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rFonts w:ascii="Arial" w:cs="Arial" w:eastAsia="Arial" w:hAnsi="Arial"/>
          <w:b w:val="0"/>
          <w:bCs w:val="0"/>
          <w:sz w:val="22"/>
          <w:szCs w:val="22"/>
          <w:rtl w:val="0"/>
        </w:rPr>
        <w:t xml:space="preserve">The March 2026 outage and CTO Sorrell’s appointment are two independent re-entry hooks that did not exist at the time of the freeze. Either can serve as a legitimate reason for a warm outreach without referencing the stalled deal directly.</w:t>
      </w:r>
      <w:r w:rsidDel="00000000" w:rsidR="00000000" w:rsidRPr="00000000">
        <w:rPr>
          <w:rtl w:val="0"/>
        </w:rPr>
      </w:r>
    </w:p>
    <w:p w:rsidR="00000000" w:rsidDel="00000000" w:rsidP="00000000" w:rsidRDefault="00000000" w:rsidRPr="00000000" w14:paraId="00000087">
      <w:pPr>
        <w:pStyle w:val="Heading2"/>
        <w:spacing w:after="160" w:before="320" w:lineRule="auto"/>
        <w:rPr/>
      </w:pPr>
      <w:r w:rsidDel="00000000" w:rsidR="00000000" w:rsidRPr="00000000">
        <w:rPr>
          <w:rFonts w:ascii="Arial" w:cs="Arial" w:eastAsia="Arial" w:hAnsi="Arial"/>
          <w:b w:val="1"/>
          <w:bCs w:val="1"/>
          <w:color w:val="2e5090"/>
          <w:sz w:val="26"/>
          <w:szCs w:val="26"/>
          <w:rtl w:val="0"/>
        </w:rPr>
        <w:t xml:space="preserve">9. Sources</w:t>
      </w:r>
      <w:r w:rsidDel="00000000" w:rsidR="00000000" w:rsidRPr="00000000">
        <w:rPr>
          <w:rtl w:val="0"/>
        </w:rPr>
      </w:r>
    </w:p>
    <w:p w:rsidR="00000000" w:rsidDel="00000000" w:rsidP="00000000" w:rsidRDefault="00000000" w:rsidRPr="00000000" w14:paraId="00000088">
      <w:pPr>
        <w:spacing w:after="140" w:lineRule="auto"/>
        <w:rPr/>
      </w:pPr>
      <w:r w:rsidDel="00000000" w:rsidR="00000000" w:rsidRPr="00000000">
        <w:rPr>
          <w:rFonts w:ascii="Arial" w:cs="Arial" w:eastAsia="Arial" w:hAnsi="Arial"/>
          <w:b w:val="0"/>
          <w:bCs w:val="0"/>
          <w:sz w:val="22"/>
          <w:szCs w:val="22"/>
          <w:rtl w:val="0"/>
        </w:rPr>
        <w:t xml:space="preserve">This is a fictitious training account. All sources below are fabricated as examples of the source types that would appear in a real Artifact 3. In a live account artifact, each item would be a real URL or document citation.</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140" w:lineRule="auto"/>
        <w:rPr/>
      </w:pPr>
      <w:r w:rsidDel="00000000" w:rsidR="00000000" w:rsidRPr="00000000">
        <w:rPr>
          <w:rFonts w:ascii="Arial" w:cs="Arial" w:eastAsia="Arial" w:hAnsi="Arial"/>
          <w:b w:val="1"/>
          <w:bCs w:val="1"/>
          <w:sz w:val="22"/>
          <w:szCs w:val="22"/>
          <w:rtl w:val="0"/>
        </w:rPr>
        <w:t xml:space="preserve">Section 1 — Company Profile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Group, Inc. — FY2025 Annual Report (fictitious; would cite: ir.meridiancapitalgroup.com/annual-reports)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Group — Q1 2026 Earnings Release and Call Transcript (fictitious; would cite: April 22, 2026)</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NYSE: MCG stock data — market capitalization as of May 2026 (fictitious)</w:t>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40" w:lineRule="auto"/>
        <w:rPr/>
      </w:pPr>
      <w:r w:rsidDel="00000000" w:rsidR="00000000" w:rsidRPr="00000000">
        <w:rPr>
          <w:rFonts w:ascii="Arial" w:cs="Arial" w:eastAsia="Arial" w:hAnsi="Arial"/>
          <w:b w:val="1"/>
          <w:bCs w:val="1"/>
          <w:sz w:val="22"/>
          <w:szCs w:val="22"/>
          <w:rtl w:val="0"/>
        </w:rPr>
        <w:t xml:space="preserve">Section 2 — Strategic Narrative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Investor Day presentation, February 2026 — CIO Robert Callahan segment on Meridian Forward Phase 3 (fictitious)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Q1 2026 Earnings Call transcript — CFO Thomas Greer prepared remarks (fictitious)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Banker, 'Meridian Capital Targets $80M in AI Efficiency Gains,' March 2026 (fictitious)</w:t>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rFonts w:ascii="Arial" w:cs="Arial" w:eastAsia="Arial" w:hAnsi="Arial"/>
          <w:b w:val="1"/>
          <w:bCs w:val="1"/>
          <w:sz w:val="22"/>
          <w:szCs w:val="22"/>
          <w:rtl w:val="0"/>
        </w:rPr>
        <w:t xml:space="preserve">Section 3 — Recent Material Events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Charlotte Business Journal, 'Meridian Capital suffers Friday night mobile outage,' March 15, 2026 (fictitious)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Banker, 'Meridian Capital Names First Chief Technology Officer,' May 2026 (fictitious)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press release, 'Meridian Acquires Covington Wealth Partners,' August 2025 (fictitious)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10-K FY2025, filed February 2026 — Category III regulatory disclosure (fictitious)</w:t>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spacing w:after="140" w:lineRule="auto"/>
        <w:rPr/>
      </w:pPr>
      <w:r w:rsidDel="00000000" w:rsidR="00000000" w:rsidRPr="00000000">
        <w:rPr>
          <w:rFonts w:ascii="Arial" w:cs="Arial" w:eastAsia="Arial" w:hAnsi="Arial"/>
          <w:b w:val="1"/>
          <w:bCs w:val="1"/>
          <w:sz w:val="22"/>
          <w:szCs w:val="22"/>
          <w:rtl w:val="0"/>
        </w:rPr>
        <w:t xml:space="preserve">Section 4 — Tech Landscape Snapshot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Investor Day slide deck, February 2026 — 'AWS-First Infrastructure' slide (fictitious)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Snowflake customer reference page — Meridian Capital case study, 2024 (fictitious)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post, CISO Kevin Landers — CyberArk deployment reference, March 2026 (fictitious)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Meridian Capital careers site — Q1/Q2 2026 job postings: Senior Platform Engineer (Kubernetes, Terraform, ArgoCD), Observability Engineer (fictitious)</w:t>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140" w:lineRule="auto"/>
        <w:rPr/>
      </w:pPr>
      <w:r w:rsidDel="00000000" w:rsidR="00000000" w:rsidRPr="00000000">
        <w:rPr>
          <w:rFonts w:ascii="Arial" w:cs="Arial" w:eastAsia="Arial" w:hAnsi="Arial"/>
          <w:b w:val="1"/>
          <w:bCs w:val="1"/>
          <w:sz w:val="22"/>
          <w:szCs w:val="22"/>
          <w:rtl w:val="0"/>
        </w:rPr>
        <w:t xml:space="preserve">Sections 6, 7, 8 — Prior Engagement History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internal context provided by AE Paul Nettles — deal notes from November 2024 RFP, POC results January 2025, budget freeze notification April 2025, final contact June 2025 (fictitious internal CRM records)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OCOhmmE6C+hhvDuckf3sHFeaw==">CgMxLjA4AHIhMXU5eU0xTXRaenZteERWYnloVjJJcEwxY1pVZ2lJaERh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