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B3A6B"/>
          <w:sz w:val="72"/>
          <w:szCs w:val="72"/>
        </w:rPr>
        <w:t xml:space="preserve">VIZIA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2E5BA8"/>
          <w:sz w:val="40"/>
          <w:szCs w:val="40"/>
        </w:rPr>
        <w:t xml:space="preserve">Manuel Fonctionnel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Guide d'utilisation complet — tous les modules</w:t>
      </w:r>
    </w:p>
    <w:p>
      <w:pPr>
        <w:pBdr>
          <w:top w:val="single" w:color="1B3A6B" w:sz="6" w:space="1"/>
        </w:pBdr>
        <w:spacing w:after="4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Version : 1.0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Date : Avril 2026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Destinataire : CTO, Directeurs, Utilisateurs clés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Proximity Management SARL — SUP2I © 2026</w:t>
      </w:r>
    </w:p>
    <w:p>
      <w:pPr>
        <w:spacing w:after="0"/>
      </w:pPr>
      <w:r>
        <w:br w:type="pag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/>
      </w:pPr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1. Prise en Main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1.1 Connexion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Accéder à la page d'accueil VIZIA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Cliquer sur **"Connexion"** ou naviguer vers `/login`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Saisir email + mot de passe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Redirection automatique selon le rôle :</w:t>
      </w:r>
    </w:p>
    <w:p>
      <w:pPr>
        <w:pStyle w:val="ListParagraph"/>
        <w:numPr>
          <w:ilvl w:val="0"/>
          <w:numId w:val="3"/>
        </w:numPr>
        <w:spacing w:after="80"/>
        <w:ind w:left="108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Super Admin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/admin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(gestion plateforme)</w:t>
      </w:r>
    </w:p>
    <w:p>
      <w:pPr>
        <w:pStyle w:val="ListParagraph"/>
        <w:numPr>
          <w:ilvl w:val="0"/>
          <w:numId w:val="3"/>
        </w:numPr>
        <w:spacing w:after="80"/>
        <w:ind w:left="108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Utilisateur org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/org/{orgId}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(tableau de bord organisation)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1.2 Navigation principale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 sidebar gauche présente les 7 processus ISO 21001 + 2 modules transverses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Norme ISO 21001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P1 — Management Stratégique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/management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§4-6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P2 — Conception des Offres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/conception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§8.3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P3 — Inscription &amp; Accueil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/inscription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§8.2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P4 — Scolarité &amp; Pédagogie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/scolarite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§8.4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P5 — Diplomation &amp; PFE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/diplomation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§8.5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P6 — Qualité &amp; Amélioration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/qualite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§9-10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P7 — Support (RH, Infra, Docs)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/support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Career Centre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/career-centre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Incubateur de Startups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/incubateur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2. Tableau de Bord Organisation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Route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</w:t>
      </w:r>
      <w:r>
        <w:rPr>
          <w:rFonts w:ascii="Courier New" w:cs="Courier New" w:eastAsia="Courier New" w:hAnsi="Courier New"/>
          <w:color w:val="1F2937"/>
          <w:sz w:val="18"/>
          <w:szCs w:val="18"/>
          <w:shd w:fill="F3F4F6" w:val="clear"/>
        </w:rPr>
        <w:t xml:space="preserve">/org/{orgId}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KPIs affichés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Étudiants actifs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nombre d'étudiants avec statut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actif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Formations valides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programmes avec statut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valide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Référentiels actifs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référentiels de compétences activés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NC ouvertes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non-conformités non clôturées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Projets incubés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projets en cours d'incubation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Grille des processus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Accès rapide à chaque module via cartes cliquables. Les cartes en alerte affichent un badge rouge/orange selon les données critiques (NC ouvertes, jalons en retard).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3. P1 — Management Stratégique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3.1 Contexte organisationnel (/management/contexte)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Onglet SWOT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 quadrants :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Forces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(vert),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Faiblesses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(rouge),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Opportunités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(bleu),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Menaces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(orange)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Ajouter un item : formulaire en bas de chaque quadrant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Désactiver : toggle sur chaque item (reste visible, grisé)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Seeder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bouton "Initialiser SWOT" charge des données préconfigurées pour établissements éducatifs marocains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Onglet PESTEL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6 dimensions : Politique / Économique / Social / Technologique / Environnemental / Légal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Chaque item : contenu + niveau d'impact (faible/moyen/fort)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Seeder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données PESTEL ESB marocain préconfigurées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Onglet Parties intéressées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Groupes clés : étudiants, parents, employeurs, État, enseignants, partenaires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Pour chaque partie : besoins + attentes documentés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3.2 Gestion des risques (/management/risques)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Matrice 5×5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(probabilité × impact) — visualisation colorée (vert → rouge)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Ajouter un risque : titre, catégorie, type (risque/opportunité), probabilité (1-5), impact (1-5)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Score calculé automatiquement = probabilité × impact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Traitements : Accepter / Réduire / Transférer / Éviter / Exploiter / Partager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Seeder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15 risques types ISO 21001 préconfigurés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3.3 Politiques qualité (/management/politique)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Liste des politiques avec statut (brouillon/actif/archivé)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Éditeur riche : contenu libre + versioning + approbation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5 templates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disponibles : Standard SUP2I, Insertion professionnelle, Pédagogie, RH, Développement continu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4. P2 — Conception des Offres de Formation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4.1 Catalogue formations (/conception/formations)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Statuts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Brouillon → En validation → Valide → Archivé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Créer une formation 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Cliquer **"+ Nouvelle formation"**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Renseigner : code, titre, modalité (présentiel/hybride/distance), durée totale heures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Associer un référentiel de compétences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Sélectionner une filière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4.2 Plan pédagogique (/conception/formations/{id}/plan)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Modules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créer des blocs thématiques (cours magistral, TD, projet, stage, séminaire)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Séances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détail par module (objectif pédagogique, méthode, durée, enseignant)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Volume horaire calculé automatiquement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4.3 Évaluations (/conception/formations/{id}/evaluations)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Types : Examen, Contrôle continu, Projet, Soutenance, TP, Quiz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Coefficient par évaluation (total vérifié)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Critères d'évaluation documentés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4.4 Revue de conception (/conception/formations/{id}/revue)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Workflow multi-étapes conforme ISO 21001 §8.3.4 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Responsable pédagogique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Directeur des études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Partenaires professionnels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Accréditation/Conformité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Chaque étape : checklist + commentaire + reviewer + statut (en attente/validé/rejeté)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4.5 Référentiels de compétences (/conception/referentiels)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Créer un référentiel : code + titre + source (CNCPST/RNCP/maison)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Ajouter des compétences : code, bloc, titre, niveau Bloom (1-6)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Seeder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template SUP2I préconfigurée avec 12 compétences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5. P3 — Inscription &amp; Accueil Étudiants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5.1 Dossiers étudiants (/inscription)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Recherche par nom / code étudiant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Filtres par statut, filière, année académique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Vue synthétique : avatar initiales, filière, statut coloré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5.2 Créer un dossier étudiant (/inscription/new)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Informations obligatoires : nom complet, code étudiant, filière, année académique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Optionnel : email, téléphone, date de naissance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5.3 Fiche étudiant (/inscription/{studentId})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Données personnelles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modification inline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Statut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workflow visuel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inscrit → actif → diplômé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(boutons de transition)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Documents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upload (CNI, baccalauréat, photos, formulaire) vers Supabase Storage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Vérification documentaire : cocher chaque document vérifié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6. P4 — Scolarité &amp; Suivi Pédagogique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6.1 Enseignants (/scolarite/enseignants)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Liste avec statut validation SUP2I (badge vert/rouge)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Type de contrat : permanent, vacataire, contractuel, prestataire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Ajouter enseignant : nom, email, type contrat, validation SUP2I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6.2 Cours (/scolarite/cours)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Associés à une formation et une filière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Code cours + intitulé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6.3 Notes (/scolarite/notes)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Saisie : étudiant + cours + note (sur 20 ou autre barème)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Historique des notes par étudiant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6.4 Présences (/scolarite/presences)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Feuille de présence par cours et date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Présent/absent par étudiant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6.5 Emploi du temps (/scolarite/emploi-du-temps)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Créneaux : cours + enseignant + jour + heure + salle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Vue hebdomadaire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7. P5 — Diplomation &amp; Projets de Fin d'Études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7.1 PFE (/diplomation/pfe)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Créer un PFE :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Titre, étudiant (sélection), superviseur, entreprise d'accueil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Statut : En cours → Soutenu → Validé → Archivé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Note jury (sur 20)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7.2 Diplômes (/diplomation/diplomes)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Enregistrer la diplomation : étudiant, promotion, filière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Statut : En attente → Émis → Archivé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8. P6 — Qualité &amp; Amélioration Continue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8.1 Non-conformités (/qualite/non-conformites)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Créer une NC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Titre + description de l'observation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Catégorie : Pédagogique / RH / Financier / Infrastructure / Administratif / Étudiant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Sévérité : Mineure / Majeure / Bloquante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Date de détection + délai OCAP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Cycle OCAP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bservation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Description factuelle du problème constaté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ause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Analyse des causes racines (5 pourquoi, Ishikawa)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ction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Plan d'action corrective (responsable, délai)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reuve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Evidence de la mise en œuvre et de l'efficacité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Statuts : Ouverte → En cours → Clôturée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8.2 Audits internes (/qualite/audits)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Programme trimestriel par processus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Créer un audit : processus, trimestre, date, auditeur, périmètre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Constatations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par type :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Conforme — processus respecté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Non-conforme — génère une NC automatiquement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Observation — point de vigilance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Opportunité d'amélioration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8.3 Revue de direction (/qualite/revue)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Document formel compilant automatiquement :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État des NC (ouvertes, clôturées, efficacité)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Résultats audits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Risques actifs et évolutions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SWOT/PESTEL (synthèse)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Indicateurs satisfaction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Actions d'amélioration en cours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8.4 Réclamations (/qualite/reclamations)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Source : étudiant, parent, entreprise, autorité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Gravité : Faible / Moyenne / Élevée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Suivi : Reçue → En traitement → Résolue → Archivée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8.5 Enquêtes de satisfaction (/qualite/satisfaction)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Créer une enquête : titre, type (étudiants/employeurs/enseignants)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Saisir les résultats : notes par critère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Score moyen calculé automatiquement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8.6 Amélioration continue (/qualite/ameliorations)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Sources linkées : NC / Risque / Audit / Réclamation / SWOT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Priorité : Critique / Haute / Moyenne / Faible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Statut : Identifiée → En cours → Réalisée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Vérification d'efficacité : checkbox après délai de vérification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Sync automatique depuis NC, risques, audits (bouton "Synchroniser")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9. P7 — Support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9.1 Ressources Humaines (/support/rh)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Organigramme 3 niveaux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N1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Direction (DG, etc.)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N2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Responsables (pédagogie, finances, qualité...)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N3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Chargés &amp; Agents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Seeder ANEAQ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Pour les établissements qui démarrent, cliquer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"Initialiser avec modèle ANEAQ"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Crée automatiquement 11 postes sur 3 niveaux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Génère les fiches de fonction complètes pour chaque poste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Données préconfigurées selon le référentiel ANEAQ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Fiche de poste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Chaque fiche contient (ISO 21001 §7.1.2 / §7.2) :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Description du rôle + Missions principales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Responsabilités + Tâches spécifiques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Exigences diplôme + Exigences expérience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Personnel affecté au poste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9.2 Infrastructure (/support/infrastructure)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Catégories : Informatique, Mobilier, Audiovisuel, Véhicule, Autre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Statuts : Actif / En maintenance / Hors service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Prochaine maintenance : alerte visuelle si date dépassée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9.3 Documents (/support/documents)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Types : Procédure, Instruction, Formulaire, Charte, Rapport, Politique, Manuel, Contrat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Versioning : v1.0, v1.1, etc.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Statuts : Actif / En révision / Archivé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Date de revue périodique avec alerte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9.4 Communication (/support/communication)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Canaux internes : réunions, emails, intranet, panneau affichage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Fréquence et responsable documentés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10. Career Centre (/career-centre)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10.1 Dashboard Career Centre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KPIs : profils créés, ateliers planifiés, offres actives, entreprises partenaires, événements à venir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10.2 Profils étudiants (/career-centre/profils)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Score employabilité (0-100) par étudiant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Niveau : Débutant / Intermédiaire / Avancé / Expert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Date d'insertion professionnelle (quand disponible)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Nombre de sessions mentoring suivies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10.3 Ateliers (/career-centre/ateliers)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Types disponibles : CV, Lettre de motivation, Simulation entretien, Soft Skills, LinkedIn, Réseautage, Orientation, Veille métier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Statuts : Planifiée → En cours → Archivée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10.4 Entreprises partenaires (/career-centre/entreprises)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Fiche entreprise : secteur, taille, contact RH, convention (oui/non)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Suivi des placements par entreprise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10.5 Offres (/career-centre/offres)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Types : CDI, CDD, Stage, Alternance, Freelance, Bénévolat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Associées à une entreprise + filière cible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Date limite candidature + rémunération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10.6 Événements (/career-centre/evenements)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Salons, Forums emploi, Conférences, Networking, Ateliers collectifs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Capacité (nb places), lieu, statut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10.7 Mentoring (/career-centre/mentoring)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Session mentor-étudiant : durée, thème, statut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Thèmes : Orientation, Stratégie de carrière, Compétences techniques, Entrepreneuriat, Réseau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11. Incubateur de Startups (/incubateur)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11.1 Dashboard Incubateur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Pipeline par stade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nombre de projets à chaque étape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Pitchs planifiés / réalisés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Financements obtenus (total MAD)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11.2 Fiche projet (/incubateur/projets/{id})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Score de maturité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5 critères, chacun vaut 20 points (total 100%)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 modèle économique est défini et documenté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Prototype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 prototype ou maquette fonctionnel existe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1er Client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 moins un client ou bêta-testeur validé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Financement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 financement a été obtenu (subvention, love money, etc.)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Équipe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L'équipe fondatrice est complète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Pipeline de stades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Progression sur 5 étapes : Idéation → Validation → Prototypage → MVP → Lancé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Cliquer sur un stade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pour déplacer le projet. Bouton "Abandonner" en cas d'arrêt.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Sessions d'accompagnement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Expert/Coach + titre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Thème : Business Model, Pitch, Marketing, Tech, Finance, Legal, Stratégie, Réseau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Date, durée, compte-rendu, actions suivantes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Financements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Organismes concernés (Maroc)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Subvention publique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CCG, Innov Invest, MAROC PME, CRI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Amorçage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Business Angels, Fonds d'amorçage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Love money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Famille, proches, premier cercle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Prêt bancaire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Banques commerciales, micro-crédit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Crowdfunding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Plateformes participatives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Jalons &amp; Roadmap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Créer des étapes clés avec date d'échéance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Statuts : À faire / En cours / Validé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Barre de progression globale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Alertes automatiques : jalons en retard affichés en rouge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11.3 Assistant IA — VIZIA Assistant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Localisation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Panel latéral droit de la fiche projet (affiché sur écrans ≥ 1024px)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Brief contextuel (sans coût API)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Priorités du stade actuel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3 actions recommandées selon Idéation/MVP/etc.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Critères manquants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liste des critères non cochés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Jalons en retard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alerte rouge si délais dépassés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Chat IA (Gemini 2.0 Flash)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Poser des questions libres sur :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Stratégie et priorités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Préparation du pitch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Sources de financement marocaines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Rédaction (email, pitch deck, business plan)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Aspects juridiques (SARL, OMPIC, RC...)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Suggestions rapides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3 boutons prédéfinis — "Que dois-je faire en priorité ?" / "Comment préparer mon pitch ?" / "Quels financements au Maroc ?"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Note : La clé </w:t>
      </w:r>
      <w:r>
        <w:rPr>
          <w:rFonts w:ascii="Courier New" w:cs="Courier New" w:eastAsia="Courier New" w:hAnsi="Courier New"/>
          <w:color w:val="1F2937"/>
          <w:sz w:val="18"/>
          <w:szCs w:val="18"/>
          <w:shd w:fill="F3F4F6" w:val="clear"/>
        </w:rPr>
        <w:t xml:space="preserve">GOOGLE_GENERATIVE_AI_API_KEY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doit être configurée dans Vercel pour activer le chat IA. Le brief statique fonctionne sans clé.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12. Administration Plateforme (Super Admin)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12.1 Dashboard Admin (/admin)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Total organisations actives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Total étudiants toutes organisations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Total utilisateurs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NC ouvertes (toutes orgs)</w:t>
      </w:r>
    </w:p>
    <w:p>
      <w:pPr>
        <w:pStyle w:val="ListParagraph"/>
        <w:numPr>
          <w:ilvl w:val="0"/>
          <w:numId w:val="4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Tableau des 10 dernières organisations créées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12.2 Créer une organisation (/admin/organisations/new)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Renseigner nom + code (ex: SUP2I-MKC) + ville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L'organisation est créée avec `is_active: true`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Créer ensuite les utilisateurs via Supabase Auth + `user_profiles`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13. Bonnes Pratiques d'Utilisation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Pour la conformité ISO 21001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**Renseigner le SWOT et PESTEL** dès l'onboarding (utiliser les seeders)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**Créer les risques** au minimum 5 (utiliser le seeder risques)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**Toute NC ouverte** doit avoir un responsable et une deadline OCAP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**Revue de direction** : minimum 2 fois par an (générée depuis la plateforme)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**Fiches de fonction** : 100% des postes doivent avoir une fiche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Pour l'incubateur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Maintenir le **score de maturité à jour** à chaque session de coaching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**Documenter chaque session** : compte-rendu + actions suivantes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**Créer des jalons** avec dates précises → alertes automatiques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Utiliser l'**assistant IA** pour préparer les pitchs et identifier les financements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Pour le career centre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Créer les **profils étudiants** dès la 2e année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Lier les **offres aux filières** pour un ciblage précis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Documenter les **insertions professionnelles** pour les indicateurs d'employabilité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14. FAQ Utilisateurs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Questions fréquentes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Q : Le panel IA n'apparaît pas sur la fiche projet ?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Il s'affiche uniquement sur les écrans ≥ 1024px. Sur mobile, il apparaît en bas de la page.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Q : Le chat IA ne répond pas ?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Vérifier que la clé </w:t>
      </w:r>
      <w:r>
        <w:rPr>
          <w:rFonts w:ascii="Courier New" w:cs="Courier New" w:eastAsia="Courier New" w:hAnsi="Courier New"/>
          <w:color w:val="1F2937"/>
          <w:sz w:val="18"/>
          <w:szCs w:val="18"/>
          <w:shd w:fill="F3F4F6" w:val="clear"/>
        </w:rPr>
        <w:t xml:space="preserve">GOOGLE_GENERATIVE_AI_API_KEY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est configurée dans les variables d'environnement Vercel.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Q : Comment créer un utilisateur pour une organisation ?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Via Supabase Dashboard → Authentication → Users → Inviter l'utilisateur → Puis créer manuellement la ligne dans </w:t>
      </w:r>
      <w:r>
        <w:rPr>
          <w:rFonts w:ascii="Courier New" w:cs="Courier New" w:eastAsia="Courier New" w:hAnsi="Courier New"/>
          <w:color w:val="1F2937"/>
          <w:sz w:val="18"/>
          <w:szCs w:val="18"/>
          <w:shd w:fill="F3F4F6" w:val="clear"/>
        </w:rPr>
        <w:t xml:space="preserve">user_profiles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avec </w:t>
      </w:r>
      <w:r>
        <w:rPr>
          <w:rFonts w:ascii="Courier New" w:cs="Courier New" w:eastAsia="Courier New" w:hAnsi="Courier New"/>
          <w:color w:val="1F2937"/>
          <w:sz w:val="18"/>
          <w:szCs w:val="18"/>
          <w:shd w:fill="F3F4F6" w:val="clear"/>
        </w:rPr>
        <w:t xml:space="preserve">role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color w:val="1F2937"/>
          <w:sz w:val="18"/>
          <w:szCs w:val="18"/>
          <w:shd w:fill="F3F4F6" w:val="clear"/>
        </w:rPr>
        <w:t xml:space="preserve">organization_id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Q : Comment exporter les données ?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Export natif disponible en Phase 2. En attendant, utiliser Supabase Dashboard → Table Editor → Export CSV.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Q : Puis-je accéder à plusieurs organisations ?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Oui, un </w:t>
      </w:r>
      <w:r>
        <w:rPr>
          <w:rFonts w:ascii="Courier New" w:cs="Courier New" w:eastAsia="Courier New" w:hAnsi="Courier New"/>
          <w:color w:val="1F2937"/>
          <w:sz w:val="18"/>
          <w:szCs w:val="18"/>
          <w:shd w:fill="F3F4F6" w:val="clear"/>
        </w:rPr>
        <w:t xml:space="preserve">super_admin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peut accéder à toutes les organisations. Un utilisateur standard est lié à une seule organisation.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Q : Qu'est-ce qu'un seeder ?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Un bouton d'initialisation rapide qui charge des données préconfigurées (templates ISO 21001, modèle ANEAQ, risques types...) pour éviter de partir d'un module vide.</w:t>
      </w:r>
    </w:p>
    <w:p>
      <w:pPr>
        <w:spacing w:after="120"/>
      </w:pPr>
      <w:r>
        <w:t xml:space="preserve"/>
      </w:r>
    </w:p>
    <w:p>
      <w:pPr>
        <w:pBdr>
          <w:bottom w:val="single" w:color="DBEAFE" w:sz="4" w:space="1"/>
        </w:pBdr>
        <w:spacing w:after="24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Document propriétaire — Proximity Management SARL — SUP2I ©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tabs>
        <w:tab w:val="right" w:pos="9026"/>
      </w:tabs>
      <w:spacing w:before="80"/>
    </w:pPr>
    <w:r>
      <w:rPr>
        <w:rFonts w:ascii="Calibri" w:cs="Calibri" w:eastAsia="Calibri" w:hAnsi="Calibri"/>
        <w:color w:val="6B7280"/>
        <w:sz w:val="16"/>
        <w:szCs w:val="16"/>
      </w:rPr>
      <w:t xml:space="preserve">VIZIA — Confidentiel | Proximity Management SARL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5BA8"/>
      <w:sz w:val="22"/>
      <w:szCs w:val="22"/>
    </w:rPr>
  </w:style>
  <w:style w:type="paragraph" w:styleId="CodeBlock">
    <w:name w:val="Code Block"/>
    <w:basedOn w:val="Normal"/>
    <w:next w:val="Normal"/>
    <w:pPr>
      <w:shd w:fill="F3F4F6" w:val="clear"/>
      <w:spacing w:after="120" w:before="120"/>
      <w:ind w:left="360"/>
    </w:pPr>
    <w:rPr>
      <w:rFonts w:ascii="Courier New" w:cs="Courier New" w:eastAsia="Courier New" w:hAnsi="Courier New"/>
      <w:color w:val="1F2937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2026-04-27T09:19:57.143Z</dcterms:created>
  <dcterms:modified xsi:type="dcterms:W3CDTF">2026-04-27T09:19:57.143Z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