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sz w:val="12"/>
          <w:szCs w:val="12"/>
        </w:rPr>
      </w:pPr>
      <w:bookmarkStart w:colFirst="0" w:colLast="0" w:name="_xzyvh3yjdce4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4380"/>
        <w:gridCol w:w="1005"/>
        <w:gridCol w:w="1440"/>
        <w:tblGridChange w:id="0">
          <w:tblGrid>
            <w:gridCol w:w="3435"/>
            <w:gridCol w:w="4380"/>
            <w:gridCol w:w="1005"/>
            <w:gridCol w:w="14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Readiness for Service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ID No.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Title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[Title of Project]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Sponsor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Categorisation (S/M/L)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Strategic Importance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Benefits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Impact of not delivering 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Major dependencies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Critical resources required, incl. ITS work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Estimated budget 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Proposed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Proposed completion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Board decision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 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approved: 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gridSpan w:val="3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Change Portfolio Board decision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approved: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gridSpan w:val="3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Strategic Change Board decision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Version: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approved: 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Notes:</w:t>
            </w:r>
          </w:p>
        </w:tc>
        <w:tc>
          <w:tcPr>
            <w:gridSpan w:val="3"/>
            <w:vMerge w:val="restart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360" w:lineRule="auto"/>
        <w:rPr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line="240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Service Readiness Report</w:t>
      </w:r>
    </w:p>
    <w:p w:rsidR="00000000" w:rsidDel="00000000" w:rsidP="00000000" w:rsidRDefault="00000000" w:rsidRPr="00000000" w14:paraId="00000073">
      <w:pPr>
        <w:pageBreakBefore w:val="0"/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Summary of project scope, business goals and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Concise, non-technical summary for the board – what is the project setting out to achieve</w:t>
      </w:r>
      <w:r w:rsidDel="00000000" w:rsidR="00000000" w:rsidRPr="00000000">
        <w:rPr>
          <w:i w:val="1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Summary Implementation Plan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[See Appendix </w:t>
      </w:r>
      <w:r w:rsidDel="00000000" w:rsidR="00000000" w:rsidRPr="00000000">
        <w:rPr>
          <w:i w:val="1"/>
          <w:sz w:val="20"/>
          <w:szCs w:val="20"/>
          <w:rtl w:val="0"/>
        </w:rPr>
        <w:t xml:space="preserve">X</w:t>
      </w:r>
      <w:r w:rsidDel="00000000" w:rsidR="00000000" w:rsidRPr="00000000">
        <w:rPr>
          <w:i w:val="1"/>
          <w:sz w:val="20"/>
          <w:szCs w:val="20"/>
          <w:rtl w:val="0"/>
        </w:rPr>
        <w:t xml:space="preserve"> for detail]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[D</w:t>
      </w:r>
      <w:r w:rsidDel="00000000" w:rsidR="00000000" w:rsidRPr="00000000">
        <w:rPr>
          <w:i w:val="1"/>
          <w:sz w:val="20"/>
          <w:szCs w:val="20"/>
          <w:rtl w:val="0"/>
        </w:rPr>
        <w:t xml:space="preserve">escribe approach to deploymen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t, include milestones, stakeholder comms, training, closure of legacy systems/processes, project-BAU handover and closure. Table optional.</w:t>
      </w:r>
      <w:r w:rsidDel="00000000" w:rsidR="00000000" w:rsidRPr="00000000">
        <w:rPr>
          <w:i w:val="1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0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1845"/>
        <w:gridCol w:w="1275"/>
        <w:gridCol w:w="2010"/>
        <w:tblGridChange w:id="0">
          <w:tblGrid>
            <w:gridCol w:w="3540"/>
            <w:gridCol w:w="1845"/>
            <w:gridCol w:w="1275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Implementation team, resources and governance arrangements</w:t>
      </w:r>
    </w:p>
    <w:p w:rsidR="00000000" w:rsidDel="00000000" w:rsidP="00000000" w:rsidRDefault="00000000" w:rsidRPr="00000000" w14:paraId="0000008D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Describe the governance arrangements for implementation.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Define roles and responsibilities, describe arrangements for handover from SRO/sponsor to BAU business owner(s) and the governance arrangements to monitor implementation and take any corrective action.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line="28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70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3120"/>
        <w:gridCol w:w="2010"/>
        <w:tblGridChange w:id="0">
          <w:tblGrid>
            <w:gridCol w:w="3540"/>
            <w:gridCol w:w="312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Secured (Y/N)*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line="28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line="280" w:lineRule="auto"/>
        <w:ind w:left="720" w:firstLine="0"/>
        <w:rPr>
          <w:b w:val="1"/>
        </w:rPr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*NB: Translate ‘secured’ to mean the resource has both the capacity and capability to fulfil the role, and is clear on their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line="280" w:lineRule="auto"/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Business case and benefits check</w:t>
      </w:r>
    </w:p>
    <w:p w:rsidR="00000000" w:rsidDel="00000000" w:rsidP="00000000" w:rsidRDefault="00000000" w:rsidRPr="00000000" w14:paraId="0000009C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Explain the impact of any changes to the original business case or benefits realisation]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Overall RAG status:</w:t>
      </w:r>
      <w:r w:rsidDel="00000000" w:rsidR="00000000" w:rsidRPr="00000000">
        <w:rPr>
          <w:i w:val="1"/>
          <w:sz w:val="20"/>
          <w:szCs w:val="20"/>
          <w:rtl w:val="0"/>
        </w:rPr>
        <w:t xml:space="preserve"> [</w:t>
      </w:r>
      <w:r w:rsidDel="00000000" w:rsidR="00000000" w:rsidRPr="00000000">
        <w:rPr>
          <w:i w:val="1"/>
          <w:sz w:val="20"/>
          <w:szCs w:val="20"/>
          <w:rtl w:val="0"/>
        </w:rPr>
        <w:t xml:space="preserve">Red/Amber/Green].  Table optional.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00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1695"/>
        <w:gridCol w:w="3465"/>
        <w:tblGridChange w:id="0">
          <w:tblGrid>
            <w:gridCol w:w="3540"/>
            <w:gridCol w:w="1695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RAG*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line="28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*NB: Individual RAG. Green: Benefit will be achieved in full and within expected time, cost and quality parameters. Amber: Benefit will be achieved but not within expected time, cost or quality parameters. Red: Risk to achievement of expected benefit.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Summary of top implementation risks and mitigation, assumptions and critical success factors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pageBreakBefore w:val="0"/>
        <w:spacing w:line="280" w:lineRule="auto"/>
        <w:ind w:left="1440" w:hanging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[See Appendix for full risk assessment].  </w:t>
      </w:r>
    </w:p>
    <w:p w:rsidR="00000000" w:rsidDel="00000000" w:rsidP="00000000" w:rsidRDefault="00000000" w:rsidRPr="00000000" w14:paraId="000000B0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If not covered below</w:t>
      </w:r>
      <w:r w:rsidDel="00000000" w:rsidR="00000000" w:rsidRPr="00000000">
        <w:rPr>
          <w:i w:val="1"/>
          <w:sz w:val="20"/>
          <w:szCs w:val="20"/>
          <w:rtl w:val="0"/>
        </w:rPr>
        <w:t xml:space="preserve"> - describe the critical success factors and any assumptions made that could significantly impact implementation]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8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30.0" w:type="dxa"/>
        <w:jc w:val="left"/>
        <w:tblInd w:w="8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40"/>
        <w:gridCol w:w="1695"/>
        <w:gridCol w:w="2745"/>
        <w:gridCol w:w="750"/>
        <w:tblGridChange w:id="0">
          <w:tblGrid>
            <w:gridCol w:w="3540"/>
            <w:gridCol w:w="1695"/>
            <w:gridCol w:w="2745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 Risks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pageBreakBefore w:val="0"/>
              <w:spacing w:line="28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8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*NB: Risk RAG is the final score, accounting for the likely success of the planned mitigation. More detail should be found in the detailed risk register in the Appendix.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Assessment of products/capability readiness</w:t>
      </w:r>
    </w:p>
    <w:p w:rsidR="00000000" w:rsidDel="00000000" w:rsidP="00000000" w:rsidRDefault="00000000" w:rsidRPr="00000000" w14:paraId="000000C2">
      <w:pPr>
        <w:pageBreakBefore w:val="0"/>
        <w:spacing w:line="280" w:lineRule="auto"/>
        <w:ind w:left="1440" w:hanging="720"/>
        <w:rPr>
          <w:i w:val="1"/>
          <w:color w:val="ff0000"/>
        </w:rPr>
      </w:pP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Optional</w:t>
      </w:r>
      <w:r w:rsidDel="00000000" w:rsidR="00000000" w:rsidRPr="00000000">
        <w:rPr>
          <w:i w:val="1"/>
          <w:sz w:val="20"/>
          <w:szCs w:val="20"/>
          <w:rtl w:val="0"/>
        </w:rPr>
        <w:t xml:space="preserve"> – See Appendix X for full testing plan and results of UAT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[Describe assessment here, including the results of technical and user testing]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Assessment of business/service readiness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Describe all changes to BAU, how risks will be mitigated and benefits optimised]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firstLine="0"/>
        <w:jc w:val="left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Optional</w:t>
      </w:r>
      <w:r w:rsidDel="00000000" w:rsidR="00000000" w:rsidRPr="00000000">
        <w:rPr>
          <w:i w:val="1"/>
          <w:sz w:val="20"/>
          <w:szCs w:val="20"/>
          <w:rtl w:val="0"/>
        </w:rPr>
        <w:t xml:space="preserve"> – you may wish to use this table below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line="280" w:lineRule="auto"/>
        <w:ind w:left="72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5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15"/>
        <w:gridCol w:w="2940"/>
        <w:gridCol w:w="1500"/>
        <w:tblGridChange w:id="0">
          <w:tblGrid>
            <w:gridCol w:w="4215"/>
            <w:gridCol w:w="294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 to BAU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pageBreakBefore w:val="0"/>
              <w:spacing w:line="28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pageBreakBefore w:val="0"/>
              <w:spacing w:line="28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numPr>
          <w:ilvl w:val="1"/>
          <w:numId w:val="1"/>
        </w:numPr>
        <w:spacing w:line="28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 engagement and communication</w:t>
      </w:r>
    </w:p>
    <w:p w:rsidR="00000000" w:rsidDel="00000000" w:rsidP="00000000" w:rsidRDefault="00000000" w:rsidRPr="00000000" w14:paraId="000000D4">
      <w:pPr>
        <w:pageBreakBefore w:val="0"/>
        <w:spacing w:line="280" w:lineRule="auto"/>
        <w:ind w:left="1440" w:hanging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Optional</w:t>
      </w:r>
      <w:r w:rsidDel="00000000" w:rsidR="00000000" w:rsidRPr="00000000">
        <w:rPr>
          <w:i w:val="1"/>
          <w:sz w:val="20"/>
          <w:szCs w:val="20"/>
          <w:rtl w:val="0"/>
        </w:rPr>
        <w:t xml:space="preserve"> – See Appendix X for Stakeholder Engagement &amp; Communications Plan</w:t>
      </w:r>
    </w:p>
    <w:p w:rsidR="00000000" w:rsidDel="00000000" w:rsidP="00000000" w:rsidRDefault="00000000" w:rsidRPr="00000000" w14:paraId="000000D5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[Describe impact and status of engagement with other key stakeholders here. 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In addition to the primary users above, this should cover any secondary users, anyone impacted by the changes and any stakeholders with an interest in the project – this could be strategic/political.</w:t>
      </w:r>
      <w:r w:rsidDel="00000000" w:rsidR="00000000" w:rsidRPr="00000000">
        <w:rPr>
          <w:i w:val="1"/>
          <w:sz w:val="20"/>
          <w:szCs w:val="20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spacing w:line="280" w:lineRule="auto"/>
        <w:ind w:left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numPr>
          <w:ilvl w:val="1"/>
          <w:numId w:val="1"/>
        </w:numPr>
        <w:spacing w:line="280" w:lineRule="auto"/>
        <w:ind w:left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continuity impacts</w:t>
      </w:r>
    </w:p>
    <w:p w:rsidR="00000000" w:rsidDel="00000000" w:rsidP="00000000" w:rsidRDefault="00000000" w:rsidRPr="00000000" w14:paraId="000000D8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mpact on Business Continuity should be assessed and changes made by the service.</w:t>
      </w:r>
      <w:r w:rsidDel="00000000" w:rsidR="00000000" w:rsidRPr="00000000">
        <w:rPr>
          <w:i w:val="1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Roll back plan</w:t>
      </w:r>
    </w:p>
    <w:p w:rsidR="00000000" w:rsidDel="00000000" w:rsidP="00000000" w:rsidRDefault="00000000" w:rsidRPr="00000000" w14:paraId="000000DB">
      <w:pPr>
        <w:pageBreakBefore w:val="0"/>
        <w:spacing w:line="280" w:lineRule="auto"/>
        <w:ind w:left="720" w:firstLine="0"/>
        <w:rPr>
          <w:color w:val="ff000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i w:val="1"/>
          <w:sz w:val="20"/>
          <w:szCs w:val="20"/>
          <w:rtl w:val="0"/>
        </w:rPr>
        <w:t xml:space="preserve">Describe the roll back plan here, including constraints (time, cost, resource), risks, and any testing done on the roll back system / processes]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line="28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Benefits Realisation plan</w:t>
      </w:r>
    </w:p>
    <w:p w:rsidR="00000000" w:rsidDel="00000000" w:rsidP="00000000" w:rsidRDefault="00000000" w:rsidRPr="00000000" w14:paraId="000000DE">
      <w:pPr>
        <w:pageBreakBefore w:val="0"/>
        <w:spacing w:line="28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[Appended the B</w:t>
      </w:r>
      <w:r w:rsidDel="00000000" w:rsidR="00000000" w:rsidRPr="00000000">
        <w:rPr>
          <w:i w:val="1"/>
          <w:sz w:val="20"/>
          <w:szCs w:val="20"/>
          <w:rtl w:val="0"/>
        </w:rPr>
        <w:t xml:space="preserve">enefits Realisation Plan] </w:t>
      </w:r>
    </w:p>
    <w:p w:rsidR="00000000" w:rsidDel="00000000" w:rsidP="00000000" w:rsidRDefault="00000000" w:rsidRPr="00000000" w14:paraId="000000DF">
      <w:pPr>
        <w:pageBreakBefore w:val="0"/>
        <w:spacing w:line="28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1"/>
        </w:numPr>
        <w:spacing w:line="280" w:lineRule="auto"/>
        <w:ind w:left="720"/>
        <w:rPr/>
      </w:pPr>
      <w:r w:rsidDel="00000000" w:rsidR="00000000" w:rsidRPr="00000000">
        <w:rPr>
          <w:b w:val="1"/>
          <w:color w:val="333399"/>
          <w:sz w:val="28"/>
          <w:szCs w:val="28"/>
          <w:rtl w:val="0"/>
        </w:rPr>
        <w:t xml:space="preserve">Sign off</w:t>
      </w:r>
    </w:p>
    <w:p w:rsidR="00000000" w:rsidDel="00000000" w:rsidP="00000000" w:rsidRDefault="00000000" w:rsidRPr="00000000" w14:paraId="000000E1">
      <w:pPr>
        <w:pageBreakBefore w:val="0"/>
        <w:spacing w:line="280" w:lineRule="auto"/>
        <w:ind w:left="720" w:firstLine="0"/>
        <w:rPr>
          <w:b w:val="1"/>
          <w:color w:val="3333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/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BAU Business Owner</w:t>
      </w:r>
      <w:r w:rsidDel="00000000" w:rsidR="00000000" w:rsidRPr="00000000">
        <w:rPr>
          <w:i w:val="1"/>
          <w:sz w:val="20"/>
          <w:szCs w:val="20"/>
          <w:rtl w:val="0"/>
        </w:rPr>
        <w:t xml:space="preserve">  [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Assurance that the deliverables meet acceptance criteria for the business and will achieve desired benefits. Results of User Acceptance Testing signed off.]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Sponsor  </w:t>
      </w:r>
      <w:r w:rsidDel="00000000" w:rsidR="00000000" w:rsidRPr="00000000">
        <w:rPr>
          <w:i w:val="1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Assurance on alignment with the business case and that project will achieve desired service benefits.]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0" w:lineRule="auto"/>
        <w:ind w:left="720" w:right="0" w:hanging="720"/>
        <w:jc w:val="left"/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ICT Business Manager / ICT PMO </w:t>
      </w:r>
      <w:r w:rsidDel="00000000" w:rsidR="00000000" w:rsidRPr="00000000">
        <w:rPr>
          <w:rFonts w:ascii="Roboto" w:cs="Roboto" w:eastAsia="Roboto" w:hAnsi="Roboto"/>
          <w:i w:val="1"/>
          <w:color w:val="333333"/>
          <w:sz w:val="20"/>
          <w:szCs w:val="20"/>
          <w:highlight w:val="white"/>
          <w:rtl w:val="0"/>
        </w:rPr>
        <w:t xml:space="preserve"> [Assurance that all relevant aspects of the ICT service readiness checklist have been assessed and approved.]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247.2440944881891" w:right="1247.24409448818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color w:val="333399"/>
        <w:sz w:val="28"/>
        <w:szCs w:val="28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cs="Arial" w:eastAsia="Arial" w:hAnsi="Arial"/>
        <w:b w:val="1"/>
        <w:i w:val="1"/>
        <w:color w:val="000000"/>
        <w:sz w:val="20"/>
        <w:szCs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i w:val="1"/>
        <w:color w:val="00000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