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3410" w:type="dxa"/>
        <w:tblInd w:w="72"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600" w:firstRow="0" w:lastRow="0" w:firstColumn="0" w:lastColumn="0" w:noHBand="1" w:noVBand="1"/>
      </w:tblPr>
      <w:tblGrid>
        <w:gridCol w:w="3000"/>
        <w:gridCol w:w="10410"/>
      </w:tblGrid>
      <w:tr w:rsidR="008E3D9B" w:rsidRPr="00FF1B20" w14:paraId="77361886"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15E06DBA"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bookmarkStart w:id="0" w:name="_gjdgxs" w:colFirst="0" w:colLast="0"/>
            <w:bookmarkEnd w:id="0"/>
          </w:p>
          <w:p w14:paraId="5DDE38DB" w14:textId="77777777" w:rsidR="008E3D9B" w:rsidRPr="00FF1B20" w:rsidRDefault="008E3D9B">
            <w:pPr>
              <w:rPr>
                <w:rFonts w:ascii="ArialNovaW07-Light" w:hAnsi="ArialNovaW07-Light"/>
              </w:rPr>
            </w:pPr>
          </w:p>
          <w:p w14:paraId="313823EB" w14:textId="77777777" w:rsidR="008E3D9B" w:rsidRPr="00FF1B20" w:rsidRDefault="008E3D9B">
            <w:pPr>
              <w:rPr>
                <w:rFonts w:ascii="ArialNovaW07-Light" w:hAnsi="ArialNovaW07-Light"/>
              </w:rPr>
            </w:pPr>
          </w:p>
          <w:p w14:paraId="51C6B999" w14:textId="77777777" w:rsidR="008E3D9B" w:rsidRPr="00FF1B20" w:rsidRDefault="008E3D9B">
            <w:pPr>
              <w:rPr>
                <w:rFonts w:ascii="ArialNovaW07-Light" w:hAnsi="ArialNovaW07-Light"/>
              </w:rPr>
            </w:pPr>
          </w:p>
          <w:p w14:paraId="4FCB0A82" w14:textId="77777777" w:rsidR="008E3D9B" w:rsidRPr="00FF1B20" w:rsidRDefault="008E3D9B">
            <w:pPr>
              <w:rPr>
                <w:rFonts w:ascii="ArialNovaW07-Light" w:hAnsi="ArialNovaW07-Light"/>
              </w:rPr>
            </w:pPr>
          </w:p>
          <w:p w14:paraId="3B5EF498" w14:textId="77777777" w:rsidR="008E3D9B" w:rsidRPr="00FF1B20" w:rsidRDefault="008E3D9B">
            <w:pPr>
              <w:rPr>
                <w:rFonts w:ascii="ArialNovaW07-Light" w:hAnsi="ArialNovaW07-Light"/>
              </w:rPr>
            </w:pPr>
          </w:p>
          <w:p w14:paraId="44DA3D1E" w14:textId="77777777" w:rsidR="008E3D9B" w:rsidRPr="00FF1B20" w:rsidRDefault="008E3D9B">
            <w:pPr>
              <w:rPr>
                <w:rFonts w:ascii="ArialNovaW07-Light" w:hAnsi="ArialNovaW07-Light"/>
              </w:rPr>
            </w:pPr>
          </w:p>
          <w:p w14:paraId="03676FD5" w14:textId="77777777" w:rsidR="008E3D9B" w:rsidRPr="00FF1B20" w:rsidRDefault="008E3D9B">
            <w:pPr>
              <w:rPr>
                <w:rFonts w:ascii="ArialNovaW07-Light" w:hAnsi="ArialNovaW07-Light"/>
              </w:rPr>
            </w:pPr>
          </w:p>
          <w:p w14:paraId="323A003E" w14:textId="77777777" w:rsidR="008E3D9B" w:rsidRPr="00FF1B20" w:rsidRDefault="008E3D9B">
            <w:pPr>
              <w:rPr>
                <w:rFonts w:ascii="ArialNovaW07-Light" w:hAnsi="ArialNovaW07-Light"/>
              </w:rPr>
            </w:pPr>
          </w:p>
          <w:p w14:paraId="76281766" w14:textId="77777777" w:rsidR="008E3D9B" w:rsidRPr="00FF1B20" w:rsidRDefault="008E3D9B">
            <w:pPr>
              <w:rPr>
                <w:rFonts w:ascii="ArialNovaW07-Light" w:hAnsi="ArialNovaW07-Light"/>
              </w:rPr>
            </w:pPr>
          </w:p>
          <w:p w14:paraId="7B168BD4" w14:textId="77777777" w:rsidR="008E3D9B" w:rsidRPr="00FF1B20" w:rsidRDefault="008E3D9B">
            <w:pPr>
              <w:rPr>
                <w:rFonts w:ascii="ArialNovaW07-Light" w:hAnsi="ArialNovaW07-Light"/>
              </w:rPr>
            </w:pPr>
          </w:p>
          <w:p w14:paraId="2AFF33E3" w14:textId="77777777" w:rsidR="008E3D9B" w:rsidRPr="00FF1B20" w:rsidRDefault="008E3D9B">
            <w:pPr>
              <w:rPr>
                <w:rFonts w:ascii="ArialNovaW07-Light" w:hAnsi="ArialNovaW07-Light"/>
              </w:rPr>
            </w:pPr>
          </w:p>
          <w:p w14:paraId="1B764649" w14:textId="77777777" w:rsidR="008E3D9B" w:rsidRPr="00FF1B20" w:rsidRDefault="008E3D9B">
            <w:pPr>
              <w:rPr>
                <w:rFonts w:ascii="ArialNovaW07-Light" w:hAnsi="ArialNovaW07-Light"/>
              </w:rPr>
            </w:pPr>
          </w:p>
          <w:p w14:paraId="2373288D" w14:textId="77777777" w:rsidR="008E3D9B" w:rsidRPr="00FF1B20" w:rsidRDefault="00F95683">
            <w:pPr>
              <w:rPr>
                <w:rFonts w:ascii="ArialNovaW07-Light" w:hAnsi="ArialNovaW07-Light"/>
              </w:rPr>
            </w:pPr>
            <w:r w:rsidRPr="00FF1B20">
              <w:rPr>
                <w:rFonts w:ascii="ArialNovaW07-Light" w:hAnsi="ArialNovaW07-Light"/>
                <w:noProof/>
                <w:lang w:val="en-US"/>
              </w:rPr>
              <w:drawing>
                <wp:inline distT="114300" distB="114300" distL="114300" distR="114300" wp14:anchorId="51A4FFA8" wp14:editId="41F0B483">
                  <wp:extent cx="1276350" cy="627713"/>
                  <wp:effectExtent l="0" t="0" r="0" b="127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276350" cy="627713"/>
                          </a:xfrm>
                          <a:prstGeom prst="rect">
                            <a:avLst/>
                          </a:prstGeom>
                          <a:ln/>
                        </pic:spPr>
                      </pic:pic>
                    </a:graphicData>
                  </a:graphic>
                </wp:inline>
              </w:drawing>
            </w:r>
          </w:p>
          <w:p w14:paraId="13E76E62" w14:textId="77777777" w:rsidR="008E3D9B" w:rsidRPr="00FF1B20" w:rsidRDefault="00FF1B20">
            <w:pPr>
              <w:widowControl w:val="0"/>
              <w:spacing w:before="200" w:line="360" w:lineRule="auto"/>
              <w:rPr>
                <w:rFonts w:ascii="ArialNovaW07-Light" w:hAnsi="ArialNovaW07-Light"/>
                <w:b/>
              </w:rPr>
            </w:pPr>
            <w:r>
              <w:rPr>
                <w:rFonts w:ascii="ArialNovaW07-Light" w:hAnsi="ArialNovaW07-Light"/>
                <w:b/>
              </w:rPr>
              <w:t>UCBL</w:t>
            </w:r>
            <w:r w:rsidR="00F95683" w:rsidRPr="00FF1B20">
              <w:rPr>
                <w:rFonts w:ascii="ArialNovaW07-Light" w:hAnsi="ArialNovaW07-Light"/>
                <w:b/>
              </w:rPr>
              <w:t xml:space="preserve"> Ltd.</w:t>
            </w:r>
          </w:p>
          <w:p w14:paraId="3082722E" w14:textId="77777777" w:rsidR="008E3D9B" w:rsidRPr="00FF1B20" w:rsidRDefault="008E3D9B">
            <w:pPr>
              <w:widowControl w:val="0"/>
              <w:pBdr>
                <w:top w:val="nil"/>
                <w:left w:val="nil"/>
                <w:bottom w:val="nil"/>
                <w:right w:val="nil"/>
                <w:between w:val="nil"/>
              </w:pBdr>
              <w:rPr>
                <w:rFonts w:ascii="ArialNovaW07-Light" w:hAnsi="ArialNovaW07-Light"/>
              </w:rPr>
            </w:pPr>
          </w:p>
          <w:p w14:paraId="17631A9E" w14:textId="77777777" w:rsidR="008E3D9B" w:rsidRPr="00FF1B20" w:rsidRDefault="008E3D9B">
            <w:pPr>
              <w:widowControl w:val="0"/>
              <w:pBdr>
                <w:top w:val="nil"/>
                <w:left w:val="nil"/>
                <w:bottom w:val="nil"/>
                <w:right w:val="nil"/>
                <w:between w:val="nil"/>
              </w:pBdr>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5000D2F3" w14:textId="77777777" w:rsidR="008E3D9B" w:rsidRPr="00FF1B20" w:rsidRDefault="00F95683">
            <w:pPr>
              <w:pStyle w:val="Heading2"/>
              <w:keepNext w:val="0"/>
              <w:keepLines w:val="0"/>
              <w:widowControl w:val="0"/>
              <w:pBdr>
                <w:top w:val="nil"/>
                <w:left w:val="nil"/>
                <w:bottom w:val="nil"/>
                <w:right w:val="nil"/>
                <w:between w:val="nil"/>
              </w:pBdr>
              <w:spacing w:before="0"/>
              <w:outlineLvl w:val="1"/>
              <w:rPr>
                <w:rFonts w:ascii="ArialNovaW07-Light" w:eastAsia="Lato" w:hAnsi="ArialNovaW07-Light" w:cs="Lato"/>
              </w:rPr>
            </w:pPr>
            <w:bookmarkStart w:id="1" w:name="_30j0zll" w:colFirst="0" w:colLast="0"/>
            <w:bookmarkEnd w:id="1"/>
            <w:r w:rsidRPr="00FF1B20">
              <w:rPr>
                <w:rFonts w:ascii="ArialNovaW07-Light" w:eastAsia="Lato" w:hAnsi="ArialNovaW07-Light" w:cs="Lato"/>
                <w:noProof/>
                <w:sz w:val="18"/>
                <w:szCs w:val="18"/>
                <w:lang w:val="en-US"/>
              </w:rPr>
              <w:drawing>
                <wp:inline distT="114300" distB="114300" distL="114300" distR="114300" wp14:anchorId="4A49CF52" wp14:editId="0CA34C71">
                  <wp:extent cx="3981450" cy="25400"/>
                  <wp:effectExtent l="12700" t="12700" r="12700" b="1270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3981450" cy="25400"/>
                          </a:xfrm>
                          <a:prstGeom prst="rect">
                            <a:avLst/>
                          </a:prstGeom>
                          <a:ln w="12700">
                            <a:solidFill>
                              <a:srgbClr val="351C75"/>
                            </a:solidFill>
                            <a:prstDash val="solid"/>
                          </a:ln>
                        </pic:spPr>
                      </pic:pic>
                    </a:graphicData>
                  </a:graphic>
                </wp:inline>
              </w:drawing>
            </w:r>
          </w:p>
          <w:p w14:paraId="4AA98CEB" w14:textId="77777777" w:rsidR="008E3D9B" w:rsidRPr="00FF1B20" w:rsidRDefault="008E3D9B">
            <w:pPr>
              <w:jc w:val="both"/>
              <w:rPr>
                <w:rFonts w:ascii="ArialNovaW07-Light" w:hAnsi="ArialNovaW07-Light"/>
                <w:sz w:val="18"/>
                <w:szCs w:val="18"/>
              </w:rPr>
            </w:pPr>
          </w:p>
          <w:p w14:paraId="658FE8A3" w14:textId="77777777" w:rsidR="008E3D9B" w:rsidRPr="00FF1B20" w:rsidRDefault="008E3D9B">
            <w:pPr>
              <w:jc w:val="both"/>
              <w:rPr>
                <w:rFonts w:ascii="ArialNovaW07-Light" w:hAnsi="ArialNovaW07-Light"/>
                <w:sz w:val="18"/>
                <w:szCs w:val="18"/>
              </w:rPr>
            </w:pPr>
          </w:p>
          <w:p w14:paraId="5CDCAA2D" w14:textId="77777777" w:rsidR="008E3D9B" w:rsidRPr="00FF1B20" w:rsidRDefault="00F95683">
            <w:pPr>
              <w:rPr>
                <w:rFonts w:ascii="ArialNovaW07-Light" w:hAnsi="ArialNovaW07-Light"/>
                <w:sz w:val="28"/>
                <w:szCs w:val="28"/>
              </w:rPr>
            </w:pPr>
            <w:r w:rsidRPr="00FF1B20">
              <w:rPr>
                <w:rFonts w:ascii="ArialNovaW07-Light" w:hAnsi="ArialNovaW07-Light"/>
                <w:sz w:val="28"/>
                <w:szCs w:val="28"/>
              </w:rPr>
              <w:t>Name: SHAHAB AL YAMIN CHAWDHURY</w:t>
            </w:r>
          </w:p>
          <w:p w14:paraId="18796EF2" w14:textId="77777777" w:rsidR="008E3D9B" w:rsidRPr="00FF1B20" w:rsidRDefault="00F95683">
            <w:pPr>
              <w:rPr>
                <w:rFonts w:ascii="ArialNovaW07-Light" w:hAnsi="ArialNovaW07-Light"/>
                <w:sz w:val="28"/>
                <w:szCs w:val="28"/>
              </w:rPr>
            </w:pPr>
            <w:r w:rsidRPr="00FF1B20">
              <w:rPr>
                <w:rFonts w:ascii="ArialNovaW07-Light" w:hAnsi="ArialNovaW07-Light"/>
                <w:sz w:val="28"/>
                <w:szCs w:val="28"/>
              </w:rPr>
              <w:t>Designation: Head of Technology</w:t>
            </w:r>
          </w:p>
          <w:p w14:paraId="05A1F14A" w14:textId="77777777" w:rsidR="008E3D9B" w:rsidRPr="00FF1B20" w:rsidRDefault="00F95683">
            <w:pPr>
              <w:rPr>
                <w:rFonts w:ascii="ArialNovaW07-Light" w:hAnsi="ArialNovaW07-Light"/>
                <w:sz w:val="28"/>
                <w:szCs w:val="28"/>
              </w:rPr>
            </w:pPr>
            <w:r w:rsidRPr="00FF1B20">
              <w:rPr>
                <w:rFonts w:ascii="ArialNovaW07-Light" w:hAnsi="ArialNovaW07-Light"/>
                <w:sz w:val="28"/>
                <w:szCs w:val="28"/>
              </w:rPr>
              <w:t xml:space="preserve">Employee ID: </w:t>
            </w:r>
          </w:p>
          <w:p w14:paraId="30B26047" w14:textId="77777777" w:rsidR="008E3D9B" w:rsidRPr="00FF1B20" w:rsidRDefault="008E3D9B">
            <w:pPr>
              <w:rPr>
                <w:rFonts w:ascii="ArialNovaW07-Light" w:hAnsi="ArialNovaW07-Light"/>
                <w:sz w:val="28"/>
                <w:szCs w:val="28"/>
              </w:rPr>
            </w:pPr>
          </w:p>
          <w:p w14:paraId="462446B4" w14:textId="77777777" w:rsidR="008E3D9B" w:rsidRPr="00FF1B20" w:rsidRDefault="00F95683">
            <w:pPr>
              <w:jc w:val="both"/>
              <w:rPr>
                <w:rFonts w:ascii="ArialNovaW07-Light" w:hAnsi="ArialNovaW07-Light"/>
              </w:rPr>
            </w:pPr>
            <w:r w:rsidRPr="00FF1B20">
              <w:rPr>
                <w:rFonts w:ascii="ArialNovaW07-Light" w:hAnsi="ArialNovaW07-Light"/>
                <w:sz w:val="28"/>
                <w:szCs w:val="28"/>
              </w:rPr>
              <w:t>This framework includes a hierarchy of capabilities led by their team lead.  This framework is used by organizations to assess individual’s maturity/capability levels. </w:t>
            </w:r>
          </w:p>
          <w:p w14:paraId="78B94918" w14:textId="77777777" w:rsidR="008E3D9B" w:rsidRPr="00FF1B20" w:rsidRDefault="00F95683">
            <w:pPr>
              <w:rPr>
                <w:rFonts w:ascii="ArialNovaW07-Light" w:hAnsi="ArialNovaW07-Light"/>
              </w:rPr>
            </w:pPr>
            <w:r w:rsidRPr="00FF1B20">
              <w:rPr>
                <w:rFonts w:ascii="ArialNovaW07-Light" w:hAnsi="ArialNovaW07-Light"/>
                <w:noProof/>
                <w:lang w:val="en-US"/>
              </w:rPr>
              <w:drawing>
                <wp:anchor distT="0" distB="0" distL="114300" distR="114300" simplePos="0" relativeHeight="251658752" behindDoc="0" locked="0" layoutInCell="1" hidden="0" allowOverlap="1" wp14:anchorId="6FB841BF" wp14:editId="0ABF2D28">
                  <wp:simplePos x="0" y="0"/>
                  <wp:positionH relativeFrom="margin">
                    <wp:posOffset>730567</wp:posOffset>
                  </wp:positionH>
                  <wp:positionV relativeFrom="paragraph">
                    <wp:posOffset>329247</wp:posOffset>
                  </wp:positionV>
                  <wp:extent cx="2509520" cy="2084070"/>
                  <wp:effectExtent l="0" t="0" r="0" b="0"/>
                  <wp:wrapSquare wrapText="bothSides" distT="0" distB="0" distL="114300" distR="114300"/>
                  <wp:docPr id="1" name="image2.png" descr="http://blogs.technet.com/cfs-file.ashx/__key/communityserver-blogs-components-weblogfiles/00-00-00-86-44-metablogapi/7652.IC83163_5F00_51268BAE.gif"/>
                  <wp:cNvGraphicFramePr/>
                  <a:graphic xmlns:a="http://schemas.openxmlformats.org/drawingml/2006/main">
                    <a:graphicData uri="http://schemas.openxmlformats.org/drawingml/2006/picture">
                      <pic:pic xmlns:pic="http://schemas.openxmlformats.org/drawingml/2006/picture">
                        <pic:nvPicPr>
                          <pic:cNvPr id="0" name="image2.png" descr="http://blogs.technet.com/cfs-file.ashx/__key/communityserver-blogs-components-weblogfiles/00-00-00-86-44-metablogapi/7652.IC83163_5F00_51268BAE.gif"/>
                          <pic:cNvPicPr preferRelativeResize="0"/>
                        </pic:nvPicPr>
                        <pic:blipFill>
                          <a:blip r:embed="rId9"/>
                          <a:srcRect/>
                          <a:stretch>
                            <a:fillRect/>
                          </a:stretch>
                        </pic:blipFill>
                        <pic:spPr>
                          <a:xfrm>
                            <a:off x="0" y="0"/>
                            <a:ext cx="2509520" cy="2084070"/>
                          </a:xfrm>
                          <a:prstGeom prst="rect">
                            <a:avLst/>
                          </a:prstGeom>
                          <a:ln/>
                        </pic:spPr>
                      </pic:pic>
                    </a:graphicData>
                  </a:graphic>
                </wp:anchor>
              </w:drawing>
            </w:r>
          </w:p>
        </w:tc>
      </w:tr>
      <w:tr w:rsidR="008E3D9B" w:rsidRPr="00FF1B20" w14:paraId="02C3315E"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7157C1CA"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p>
          <w:p w14:paraId="4EB25EFD" w14:textId="77777777" w:rsidR="008E3D9B" w:rsidRPr="00FF1B20" w:rsidRDefault="008E3D9B">
            <w:pPr>
              <w:rPr>
                <w:rFonts w:ascii="ArialNovaW07-Light" w:hAnsi="ArialNovaW07-Light"/>
              </w:rPr>
            </w:pPr>
          </w:p>
          <w:p w14:paraId="2BF2EC73" w14:textId="77777777" w:rsidR="008E3D9B" w:rsidRPr="00FF1B20" w:rsidRDefault="008E3D9B">
            <w:pPr>
              <w:rPr>
                <w:rFonts w:ascii="ArialNovaW07-Light" w:hAnsi="ArialNovaW07-Light"/>
              </w:rPr>
            </w:pPr>
          </w:p>
          <w:p w14:paraId="2165B7C5" w14:textId="77777777" w:rsidR="008E3D9B" w:rsidRPr="00FF1B20" w:rsidRDefault="008E3D9B">
            <w:pPr>
              <w:rPr>
                <w:rFonts w:ascii="ArialNovaW07-Light" w:hAnsi="ArialNovaW07-Light"/>
              </w:rPr>
            </w:pPr>
          </w:p>
          <w:p w14:paraId="5647B8B0" w14:textId="77777777" w:rsidR="008E3D9B" w:rsidRPr="00FF1B20" w:rsidRDefault="008E3D9B">
            <w:pPr>
              <w:rPr>
                <w:rFonts w:ascii="ArialNovaW07-Light" w:hAnsi="ArialNovaW07-Light"/>
              </w:rPr>
            </w:pPr>
          </w:p>
          <w:p w14:paraId="188513A7" w14:textId="77777777" w:rsidR="008E3D9B" w:rsidRPr="00FF1B20" w:rsidRDefault="008E3D9B">
            <w:pPr>
              <w:rPr>
                <w:rFonts w:ascii="ArialNovaW07-Light" w:hAnsi="ArialNovaW07-Light"/>
              </w:rPr>
            </w:pPr>
          </w:p>
          <w:p w14:paraId="444FADBB" w14:textId="77777777" w:rsidR="008E3D9B" w:rsidRPr="00FF1B20" w:rsidRDefault="008E3D9B">
            <w:pPr>
              <w:rPr>
                <w:rFonts w:ascii="ArialNovaW07-Light" w:hAnsi="ArialNovaW07-Light"/>
              </w:rPr>
            </w:pPr>
          </w:p>
          <w:p w14:paraId="3FC8C463" w14:textId="77777777" w:rsidR="008E3D9B" w:rsidRPr="00FF1B20" w:rsidRDefault="008E3D9B">
            <w:pPr>
              <w:rPr>
                <w:rFonts w:ascii="ArialNovaW07-Light" w:hAnsi="ArialNovaW07-Light"/>
              </w:rPr>
            </w:pPr>
          </w:p>
          <w:p w14:paraId="1422E18F" w14:textId="77777777" w:rsidR="008E3D9B" w:rsidRPr="00FF1B20" w:rsidRDefault="008E3D9B">
            <w:pPr>
              <w:rPr>
                <w:rFonts w:ascii="ArialNovaW07-Light" w:hAnsi="ArialNovaW07-Light"/>
              </w:rPr>
            </w:pPr>
          </w:p>
          <w:p w14:paraId="1933EB64" w14:textId="77777777" w:rsidR="008E3D9B" w:rsidRPr="00FF1B20" w:rsidRDefault="008E3D9B">
            <w:pPr>
              <w:rPr>
                <w:rFonts w:ascii="ArialNovaW07-Light" w:hAnsi="ArialNovaW07-Light"/>
              </w:rPr>
            </w:pPr>
          </w:p>
          <w:p w14:paraId="77DA16E5" w14:textId="77777777" w:rsidR="008E3D9B" w:rsidRPr="00FF1B20" w:rsidRDefault="008E3D9B">
            <w:pPr>
              <w:rPr>
                <w:rFonts w:ascii="ArialNovaW07-Light" w:hAnsi="ArialNovaW07-Light"/>
              </w:rPr>
            </w:pPr>
          </w:p>
          <w:p w14:paraId="04AD388B" w14:textId="77777777" w:rsidR="00FF1B20" w:rsidRPr="00FF1B20" w:rsidRDefault="00FF1B20" w:rsidP="00FF1B20">
            <w:pPr>
              <w:rPr>
                <w:rFonts w:ascii="ArialNovaW07-Light" w:hAnsi="ArialNovaW07-Light"/>
              </w:rPr>
            </w:pPr>
            <w:r w:rsidRPr="00FF1B20">
              <w:rPr>
                <w:rFonts w:ascii="ArialNovaW07-Light" w:hAnsi="ArialNovaW07-Light"/>
                <w:noProof/>
                <w:lang w:val="en-US"/>
              </w:rPr>
              <w:drawing>
                <wp:inline distT="114300" distB="114300" distL="114300" distR="114300" wp14:anchorId="6334193E" wp14:editId="60B944D3">
                  <wp:extent cx="1276350" cy="627713"/>
                  <wp:effectExtent l="0" t="0" r="0" b="127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276350" cy="627713"/>
                          </a:xfrm>
                          <a:prstGeom prst="rect">
                            <a:avLst/>
                          </a:prstGeom>
                          <a:ln/>
                        </pic:spPr>
                      </pic:pic>
                    </a:graphicData>
                  </a:graphic>
                </wp:inline>
              </w:drawing>
            </w:r>
          </w:p>
          <w:p w14:paraId="045EEEF6" w14:textId="77777777" w:rsidR="00FF1B20" w:rsidRPr="00FF1B20" w:rsidRDefault="00FF1B20" w:rsidP="00FF1B20">
            <w:pPr>
              <w:widowControl w:val="0"/>
              <w:spacing w:before="200" w:line="360" w:lineRule="auto"/>
              <w:rPr>
                <w:rFonts w:ascii="ArialNovaW07-Light" w:hAnsi="ArialNovaW07-Light"/>
                <w:b/>
              </w:rPr>
            </w:pPr>
            <w:r>
              <w:rPr>
                <w:rFonts w:ascii="ArialNovaW07-Light" w:hAnsi="ArialNovaW07-Light"/>
                <w:b/>
              </w:rPr>
              <w:t>UCBL</w:t>
            </w:r>
            <w:r w:rsidRPr="00FF1B20">
              <w:rPr>
                <w:rFonts w:ascii="ArialNovaW07-Light" w:hAnsi="ArialNovaW07-Light"/>
                <w:b/>
              </w:rPr>
              <w:t xml:space="preserve"> Ltd.</w:t>
            </w:r>
          </w:p>
          <w:p w14:paraId="49020B43" w14:textId="77777777" w:rsidR="008E3D9B" w:rsidRPr="00FF1B20" w:rsidRDefault="008E3D9B">
            <w:pPr>
              <w:widowControl w:val="0"/>
              <w:pBdr>
                <w:top w:val="nil"/>
                <w:left w:val="nil"/>
                <w:bottom w:val="nil"/>
                <w:right w:val="nil"/>
                <w:between w:val="nil"/>
              </w:pBdr>
              <w:rPr>
                <w:rFonts w:ascii="ArialNovaW07-Light" w:hAnsi="ArialNovaW07-Light"/>
              </w:rPr>
            </w:pPr>
          </w:p>
          <w:p w14:paraId="6E76F682" w14:textId="77777777" w:rsidR="008E3D9B" w:rsidRPr="00FF1B20" w:rsidRDefault="008E3D9B">
            <w:pPr>
              <w:widowControl w:val="0"/>
              <w:pBdr>
                <w:top w:val="nil"/>
                <w:left w:val="nil"/>
                <w:bottom w:val="nil"/>
                <w:right w:val="nil"/>
                <w:between w:val="nil"/>
              </w:pBdr>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64DBCC04" w14:textId="77777777" w:rsidR="00FF1B20" w:rsidRDefault="00FF1B20">
            <w:pPr>
              <w:pStyle w:val="Title"/>
              <w:rPr>
                <w:rFonts w:ascii="ArialNovaW07-Light" w:hAnsi="ArialNovaW07-Light"/>
                <w:color w:val="366091"/>
              </w:rPr>
            </w:pPr>
          </w:p>
          <w:p w14:paraId="5F2E99C8" w14:textId="77777777" w:rsidR="00FF1B20" w:rsidRDefault="00FF1B20">
            <w:pPr>
              <w:pStyle w:val="Title"/>
              <w:rPr>
                <w:rFonts w:ascii="ArialNovaW07-Light" w:hAnsi="ArialNovaW07-Light"/>
                <w:color w:val="366091"/>
              </w:rPr>
            </w:pPr>
          </w:p>
          <w:p w14:paraId="19CE6FD1" w14:textId="77777777" w:rsidR="00FF1B20" w:rsidRDefault="00FF1B20">
            <w:pPr>
              <w:pStyle w:val="Title"/>
              <w:rPr>
                <w:rFonts w:ascii="ArialNovaW07-Light" w:hAnsi="ArialNovaW07-Light"/>
                <w:color w:val="366091"/>
              </w:rPr>
            </w:pPr>
          </w:p>
          <w:p w14:paraId="1FA45675" w14:textId="77777777" w:rsidR="00FF1B20" w:rsidRDefault="00FF1B20">
            <w:pPr>
              <w:pStyle w:val="Title"/>
              <w:rPr>
                <w:rFonts w:ascii="ArialNovaW07-Light" w:hAnsi="ArialNovaW07-Light"/>
                <w:color w:val="366091"/>
              </w:rPr>
            </w:pPr>
          </w:p>
          <w:p w14:paraId="7E957C73" w14:textId="77777777" w:rsidR="00FF1B20" w:rsidRDefault="00FF1B20">
            <w:pPr>
              <w:pStyle w:val="Title"/>
              <w:rPr>
                <w:rFonts w:ascii="ArialNovaW07-Light" w:hAnsi="ArialNovaW07-Light"/>
                <w:color w:val="366091"/>
              </w:rPr>
            </w:pPr>
          </w:p>
          <w:p w14:paraId="47D43F96" w14:textId="77777777" w:rsidR="00FF1B20" w:rsidRDefault="00FF1B20">
            <w:pPr>
              <w:pStyle w:val="Title"/>
              <w:rPr>
                <w:rFonts w:ascii="ArialNovaW07-Light" w:hAnsi="ArialNovaW07-Light"/>
                <w:color w:val="366091"/>
              </w:rPr>
            </w:pPr>
          </w:p>
          <w:p w14:paraId="3498486A" w14:textId="77777777" w:rsidR="008E3D9B" w:rsidRPr="00FF1B20" w:rsidRDefault="00F95683">
            <w:pPr>
              <w:pStyle w:val="Title"/>
              <w:rPr>
                <w:rFonts w:ascii="ArialNovaW07-Light" w:hAnsi="ArialNovaW07-Light"/>
                <w:color w:val="366091"/>
              </w:rPr>
            </w:pPr>
            <w:r w:rsidRPr="00FF1B20">
              <w:rPr>
                <w:rFonts w:ascii="ArialNovaW07-Light" w:hAnsi="ArialNovaW07-Light"/>
                <w:color w:val="366091"/>
              </w:rPr>
              <w:t>Overview Matrix</w:t>
            </w:r>
          </w:p>
          <w:p w14:paraId="511EEC10" w14:textId="77777777" w:rsidR="008E3D9B" w:rsidRPr="00FF1B20" w:rsidRDefault="00F95683">
            <w:pPr>
              <w:rPr>
                <w:rFonts w:ascii="ArialNovaW07-Light" w:hAnsi="ArialNovaW07-Light"/>
              </w:rPr>
            </w:pPr>
            <w:r w:rsidRPr="00FF1B20">
              <w:rPr>
                <w:rFonts w:ascii="ArialNovaW07-Light" w:hAnsi="ArialNovaW07-Light"/>
              </w:rPr>
              <w:t>This is an overview of the complete IT Governance Framework, provided by the IVI Institute. This outline meant to provide you guidance on the capability that matters for the organization for each individual.</w:t>
            </w:r>
          </w:p>
          <w:p w14:paraId="2A530EAF" w14:textId="77777777" w:rsidR="008E3D9B" w:rsidRPr="00FF1B20" w:rsidRDefault="00F95683">
            <w:pPr>
              <w:ind w:right="-3675"/>
              <w:rPr>
                <w:rFonts w:ascii="ArialNovaW07-Light" w:eastAsia="Calibri" w:hAnsi="ArialNovaW07-Light" w:cs="Calibri"/>
                <w:color w:val="366091"/>
                <w:sz w:val="32"/>
                <w:szCs w:val="32"/>
              </w:rPr>
            </w:pPr>
            <w:r w:rsidRPr="00FF1B20">
              <w:rPr>
                <w:rFonts w:ascii="ArialNovaW07-Light" w:hAnsi="ArialNovaW07-Light"/>
                <w:noProof/>
                <w:lang w:val="en-US"/>
              </w:rPr>
              <w:drawing>
                <wp:inline distT="0" distB="0" distL="0" distR="0" wp14:anchorId="3E9242AC" wp14:editId="0C14892B">
                  <wp:extent cx="6730941" cy="3087226"/>
                  <wp:effectExtent l="0" t="0" r="0" b="0"/>
                  <wp:docPr id="4" name="image1.png" descr="C:\Users\shahab.yamin\AppData\Local\Microsoft\Windows\INetCache\Content.Word\cc-list.png"/>
                  <wp:cNvGraphicFramePr/>
                  <a:graphic xmlns:a="http://schemas.openxmlformats.org/drawingml/2006/main">
                    <a:graphicData uri="http://schemas.openxmlformats.org/drawingml/2006/picture">
                      <pic:pic xmlns:pic="http://schemas.openxmlformats.org/drawingml/2006/picture">
                        <pic:nvPicPr>
                          <pic:cNvPr id="0" name="image1.png" descr="C:\Users\shahab.yamin\AppData\Local\Microsoft\Windows\INetCache\Content.Word\cc-list.png"/>
                          <pic:cNvPicPr preferRelativeResize="0"/>
                        </pic:nvPicPr>
                        <pic:blipFill>
                          <a:blip r:embed="rId10"/>
                          <a:srcRect t="16521" b="18286"/>
                          <a:stretch>
                            <a:fillRect/>
                          </a:stretch>
                        </pic:blipFill>
                        <pic:spPr>
                          <a:xfrm>
                            <a:off x="0" y="0"/>
                            <a:ext cx="6730941" cy="3087226"/>
                          </a:xfrm>
                          <a:prstGeom prst="rect">
                            <a:avLst/>
                          </a:prstGeom>
                          <a:ln/>
                        </pic:spPr>
                      </pic:pic>
                    </a:graphicData>
                  </a:graphic>
                </wp:inline>
              </w:drawing>
            </w:r>
          </w:p>
          <w:p w14:paraId="4F67267E" w14:textId="77777777" w:rsidR="008E3D9B" w:rsidRPr="00FF1B20" w:rsidRDefault="008E3D9B">
            <w:pPr>
              <w:pStyle w:val="Heading1"/>
              <w:outlineLvl w:val="0"/>
              <w:rPr>
                <w:rFonts w:ascii="ArialNovaW07-Light" w:hAnsi="ArialNovaW07-Light"/>
              </w:rPr>
            </w:pPr>
          </w:p>
          <w:p w14:paraId="433C7E39" w14:textId="77777777" w:rsidR="008E3D9B" w:rsidRPr="00FF1B20" w:rsidRDefault="008E3D9B">
            <w:pPr>
              <w:pStyle w:val="Heading2"/>
              <w:keepNext w:val="0"/>
              <w:keepLines w:val="0"/>
              <w:widowControl w:val="0"/>
              <w:pBdr>
                <w:top w:val="nil"/>
                <w:left w:val="nil"/>
                <w:bottom w:val="nil"/>
                <w:right w:val="nil"/>
                <w:between w:val="nil"/>
              </w:pBdr>
              <w:spacing w:before="0"/>
              <w:outlineLvl w:val="1"/>
              <w:rPr>
                <w:rFonts w:ascii="ArialNovaW07-Light" w:eastAsia="Lato" w:hAnsi="ArialNovaW07-Light" w:cs="Lato"/>
                <w:sz w:val="18"/>
                <w:szCs w:val="18"/>
              </w:rPr>
            </w:pPr>
          </w:p>
        </w:tc>
      </w:tr>
      <w:tr w:rsidR="008E3D9B" w:rsidRPr="00FF1B20" w14:paraId="35871B0E" w14:textId="77777777">
        <w:trPr>
          <w:trHeight w:val="2820"/>
        </w:trPr>
        <w:tc>
          <w:tcPr>
            <w:tcW w:w="3000" w:type="dxa"/>
            <w:tcBorders>
              <w:top w:val="nil"/>
              <w:left w:val="nil"/>
              <w:bottom w:val="nil"/>
              <w:right w:val="nil"/>
            </w:tcBorders>
            <w:shd w:val="clear" w:color="auto" w:fill="auto"/>
            <w:tcMar>
              <w:top w:w="72" w:type="dxa"/>
              <w:left w:w="72" w:type="dxa"/>
              <w:bottom w:w="72" w:type="dxa"/>
              <w:right w:w="72" w:type="dxa"/>
            </w:tcMar>
          </w:tcPr>
          <w:p w14:paraId="1549A2C4" w14:textId="77777777" w:rsidR="008E3D9B" w:rsidRPr="00FF1B20" w:rsidRDefault="008E3D9B">
            <w:pPr>
              <w:pStyle w:val="Title"/>
              <w:pBdr>
                <w:top w:val="nil"/>
                <w:left w:val="nil"/>
                <w:bottom w:val="nil"/>
                <w:right w:val="nil"/>
                <w:between w:val="nil"/>
              </w:pBdr>
              <w:ind w:left="-615"/>
              <w:jc w:val="center"/>
              <w:rPr>
                <w:rFonts w:ascii="ArialNovaW07-Light" w:hAnsi="ArialNovaW07-Light"/>
              </w:rPr>
            </w:pPr>
          </w:p>
          <w:p w14:paraId="44F5F4D9" w14:textId="77777777" w:rsidR="008E3D9B" w:rsidRPr="00FF1B20" w:rsidRDefault="008E3D9B">
            <w:pPr>
              <w:rPr>
                <w:rFonts w:ascii="ArialNovaW07-Light" w:hAnsi="ArialNovaW07-Light"/>
              </w:rPr>
            </w:pPr>
          </w:p>
          <w:p w14:paraId="2ABF09CA" w14:textId="77777777" w:rsidR="008E3D9B" w:rsidRPr="00FF1B20" w:rsidRDefault="008E3D9B">
            <w:pPr>
              <w:rPr>
                <w:rFonts w:ascii="ArialNovaW07-Light" w:hAnsi="ArialNovaW07-Light"/>
              </w:rPr>
            </w:pPr>
          </w:p>
          <w:p w14:paraId="7DE765DE" w14:textId="77777777" w:rsidR="008E3D9B" w:rsidRPr="00FF1B20" w:rsidRDefault="008E3D9B">
            <w:pPr>
              <w:rPr>
                <w:rFonts w:ascii="ArialNovaW07-Light" w:hAnsi="ArialNovaW07-Light"/>
              </w:rPr>
            </w:pPr>
          </w:p>
          <w:p w14:paraId="313BED89" w14:textId="77777777" w:rsidR="008E3D9B" w:rsidRPr="00FF1B20" w:rsidRDefault="008E3D9B">
            <w:pPr>
              <w:rPr>
                <w:rFonts w:ascii="ArialNovaW07-Light" w:hAnsi="ArialNovaW07-Light"/>
              </w:rPr>
            </w:pPr>
          </w:p>
          <w:p w14:paraId="63146C38" w14:textId="77777777" w:rsidR="008E3D9B" w:rsidRPr="00FF1B20" w:rsidRDefault="008E3D9B">
            <w:pPr>
              <w:rPr>
                <w:rFonts w:ascii="ArialNovaW07-Light" w:hAnsi="ArialNovaW07-Light"/>
              </w:rPr>
            </w:pPr>
          </w:p>
          <w:p w14:paraId="21889D2D" w14:textId="77777777" w:rsidR="008E3D9B" w:rsidRPr="00FF1B20" w:rsidRDefault="008E3D9B">
            <w:pPr>
              <w:rPr>
                <w:rFonts w:ascii="ArialNovaW07-Light" w:hAnsi="ArialNovaW07-Light"/>
              </w:rPr>
            </w:pPr>
          </w:p>
          <w:p w14:paraId="1102925B" w14:textId="77777777" w:rsidR="008E3D9B" w:rsidRPr="00FF1B20" w:rsidRDefault="008E3D9B">
            <w:pPr>
              <w:rPr>
                <w:rFonts w:ascii="ArialNovaW07-Light" w:hAnsi="ArialNovaW07-Light"/>
              </w:rPr>
            </w:pPr>
          </w:p>
          <w:p w14:paraId="2AB559B8" w14:textId="77777777" w:rsidR="008E3D9B" w:rsidRPr="00FF1B20" w:rsidRDefault="008E3D9B">
            <w:pPr>
              <w:rPr>
                <w:rFonts w:ascii="ArialNovaW07-Light" w:hAnsi="ArialNovaW07-Light"/>
              </w:rPr>
            </w:pPr>
          </w:p>
          <w:p w14:paraId="0A3FA537" w14:textId="77777777" w:rsidR="008E3D9B" w:rsidRPr="00FF1B20" w:rsidRDefault="008E3D9B">
            <w:pPr>
              <w:rPr>
                <w:rFonts w:ascii="ArialNovaW07-Light" w:hAnsi="ArialNovaW07-Light"/>
              </w:rPr>
            </w:pPr>
          </w:p>
          <w:p w14:paraId="46B1D964" w14:textId="77777777" w:rsidR="008E3D9B" w:rsidRPr="00FF1B20" w:rsidRDefault="008E3D9B">
            <w:pPr>
              <w:rPr>
                <w:rFonts w:ascii="ArialNovaW07-Light" w:hAnsi="ArialNovaW07-Light"/>
              </w:rPr>
            </w:pPr>
          </w:p>
          <w:p w14:paraId="2FEDA3D3" w14:textId="77777777" w:rsidR="00FF1B20" w:rsidRPr="00FF1B20" w:rsidRDefault="00FF1B20" w:rsidP="00FF1B20">
            <w:pPr>
              <w:rPr>
                <w:rFonts w:ascii="ArialNovaW07-Light" w:hAnsi="ArialNovaW07-Light"/>
              </w:rPr>
            </w:pPr>
            <w:r w:rsidRPr="00FF1B20">
              <w:rPr>
                <w:rFonts w:ascii="ArialNovaW07-Light" w:hAnsi="ArialNovaW07-Light"/>
                <w:noProof/>
                <w:lang w:val="en-US"/>
              </w:rPr>
              <w:drawing>
                <wp:inline distT="114300" distB="114300" distL="114300" distR="114300" wp14:anchorId="0ADEF172" wp14:editId="25E14615">
                  <wp:extent cx="1276350" cy="627713"/>
                  <wp:effectExtent l="0" t="0" r="0" b="127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276350" cy="627713"/>
                          </a:xfrm>
                          <a:prstGeom prst="rect">
                            <a:avLst/>
                          </a:prstGeom>
                          <a:ln/>
                        </pic:spPr>
                      </pic:pic>
                    </a:graphicData>
                  </a:graphic>
                </wp:inline>
              </w:drawing>
            </w:r>
          </w:p>
          <w:p w14:paraId="4AB2AEF7" w14:textId="77777777" w:rsidR="00FF1B20" w:rsidRPr="00FF1B20" w:rsidRDefault="00FF1B20" w:rsidP="00FF1B20">
            <w:pPr>
              <w:widowControl w:val="0"/>
              <w:spacing w:before="200" w:line="360" w:lineRule="auto"/>
              <w:rPr>
                <w:rFonts w:ascii="ArialNovaW07-Light" w:hAnsi="ArialNovaW07-Light"/>
                <w:b/>
              </w:rPr>
            </w:pPr>
            <w:r>
              <w:rPr>
                <w:rFonts w:ascii="ArialNovaW07-Light" w:hAnsi="ArialNovaW07-Light"/>
                <w:b/>
              </w:rPr>
              <w:t>UCBL</w:t>
            </w:r>
            <w:r w:rsidRPr="00FF1B20">
              <w:rPr>
                <w:rFonts w:ascii="ArialNovaW07-Light" w:hAnsi="ArialNovaW07-Light"/>
                <w:b/>
              </w:rPr>
              <w:t xml:space="preserve"> Ltd.</w:t>
            </w:r>
          </w:p>
          <w:p w14:paraId="43EF275A" w14:textId="77777777" w:rsidR="008E3D9B" w:rsidRPr="00FF1B20" w:rsidRDefault="008E3D9B">
            <w:pPr>
              <w:widowControl w:val="0"/>
              <w:pBdr>
                <w:top w:val="nil"/>
                <w:left w:val="nil"/>
                <w:bottom w:val="nil"/>
                <w:right w:val="nil"/>
                <w:between w:val="nil"/>
              </w:pBdr>
              <w:rPr>
                <w:rFonts w:ascii="ArialNovaW07-Light" w:eastAsia="Lato" w:hAnsi="ArialNovaW07-Light" w:cs="Lato"/>
              </w:rPr>
            </w:pPr>
          </w:p>
        </w:tc>
        <w:tc>
          <w:tcPr>
            <w:tcW w:w="10410" w:type="dxa"/>
            <w:tcBorders>
              <w:top w:val="nil"/>
              <w:left w:val="nil"/>
              <w:bottom w:val="nil"/>
              <w:right w:val="nil"/>
            </w:tcBorders>
            <w:shd w:val="clear" w:color="auto" w:fill="auto"/>
            <w:tcMar>
              <w:top w:w="72" w:type="dxa"/>
              <w:left w:w="72" w:type="dxa"/>
              <w:bottom w:w="72" w:type="dxa"/>
              <w:right w:w="72" w:type="dxa"/>
            </w:tcMar>
          </w:tcPr>
          <w:p w14:paraId="48C57792" w14:textId="77777777" w:rsidR="008E3D9B" w:rsidRPr="00FF1B20" w:rsidRDefault="00F95683">
            <w:pPr>
              <w:pStyle w:val="Title"/>
              <w:rPr>
                <w:rFonts w:ascii="ArialNovaW07-Light" w:hAnsi="ArialNovaW07-Light"/>
                <w:color w:val="366091"/>
              </w:rPr>
            </w:pPr>
            <w:r w:rsidRPr="00FF1B20">
              <w:rPr>
                <w:rFonts w:ascii="ArialNovaW07-Light" w:hAnsi="ArialNovaW07-Light"/>
                <w:color w:val="366091"/>
              </w:rPr>
              <w:t>Infrastructure/Platform Technology Initiatives</w:t>
            </w:r>
          </w:p>
          <w:tbl>
            <w:tblPr>
              <w:tblStyle w:val="a0"/>
              <w:tblW w:w="10323"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A0" w:firstRow="1" w:lastRow="0" w:firstColumn="1" w:lastColumn="0" w:noHBand="0" w:noVBand="1"/>
            </w:tblPr>
            <w:tblGrid>
              <w:gridCol w:w="2604"/>
              <w:gridCol w:w="3309"/>
              <w:gridCol w:w="4410"/>
            </w:tblGrid>
            <w:tr w:rsidR="008E3D9B" w:rsidRPr="00FF1B20" w14:paraId="5CC14A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5A88E7A4"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Initiative Type</w:t>
                  </w:r>
                </w:p>
              </w:tc>
              <w:tc>
                <w:tcPr>
                  <w:tcW w:w="3309" w:type="dxa"/>
                </w:tcPr>
                <w:p w14:paraId="512B62FB" w14:textId="77777777" w:rsidR="008E3D9B" w:rsidRPr="00FF1B20" w:rsidRDefault="00F95683">
                  <w:pPr>
                    <w:spacing w:after="160" w:line="259" w:lineRule="auto"/>
                    <w:cnfStyle w:val="100000000000" w:firstRow="1" w:lastRow="0" w:firstColumn="0" w:lastColumn="0" w:oddVBand="0" w:evenVBand="0" w:oddHBand="0" w:evenHBand="0" w:firstRowFirstColumn="0" w:firstRowLastColumn="0" w:lastRowFirstColumn="0" w:lastRowLastColumn="0"/>
                    <w:rPr>
                      <w:rFonts w:ascii="ArialNovaW07-Light" w:hAnsi="ArialNovaW07-Light"/>
                      <w:sz w:val="24"/>
                      <w:szCs w:val="24"/>
                    </w:rPr>
                  </w:pPr>
                  <w:r w:rsidRPr="00FF1B20">
                    <w:rPr>
                      <w:rFonts w:ascii="ArialNovaW07-Light" w:hAnsi="ArialNovaW07-Light"/>
                      <w:sz w:val="24"/>
                      <w:szCs w:val="24"/>
                    </w:rPr>
                    <w:t>Key Features, Capabilities, Benefits</w:t>
                  </w:r>
                </w:p>
              </w:tc>
              <w:tc>
                <w:tcPr>
                  <w:tcW w:w="4410" w:type="dxa"/>
                </w:tcPr>
                <w:p w14:paraId="08812050" w14:textId="77777777" w:rsidR="008E3D9B" w:rsidRPr="00FF1B20" w:rsidRDefault="00F95683">
                  <w:pPr>
                    <w:spacing w:after="160" w:line="259" w:lineRule="auto"/>
                    <w:cnfStyle w:val="100000000000" w:firstRow="1" w:lastRow="0" w:firstColumn="0" w:lastColumn="0" w:oddVBand="0" w:evenVBand="0" w:oddHBand="0" w:evenHBand="0" w:firstRowFirstColumn="0" w:firstRowLastColumn="0" w:lastRowFirstColumn="0" w:lastRowLastColumn="0"/>
                    <w:rPr>
                      <w:rFonts w:ascii="ArialNovaW07-Light" w:hAnsi="ArialNovaW07-Light"/>
                      <w:sz w:val="24"/>
                      <w:szCs w:val="24"/>
                    </w:rPr>
                  </w:pPr>
                  <w:r w:rsidRPr="00FF1B20">
                    <w:rPr>
                      <w:rFonts w:ascii="ArialNovaW07-Light" w:hAnsi="ArialNovaW07-Light"/>
                      <w:sz w:val="24"/>
                      <w:szCs w:val="24"/>
                    </w:rPr>
                    <w:t>Vendors And Products</w:t>
                  </w:r>
                </w:p>
              </w:tc>
            </w:tr>
            <w:tr w:rsidR="008E3D9B" w:rsidRPr="00FF1B20" w14:paraId="743D0B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7E52BA47"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Strategic planning</w:t>
                  </w:r>
                </w:p>
              </w:tc>
              <w:tc>
                <w:tcPr>
                  <w:tcW w:w="3309" w:type="dxa"/>
                </w:tcPr>
                <w:p w14:paraId="46C12A15"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Standardize IT Environment</w:t>
                  </w:r>
                </w:p>
              </w:tc>
              <w:tc>
                <w:tcPr>
                  <w:tcW w:w="4410" w:type="dxa"/>
                </w:tcPr>
                <w:p w14:paraId="7B783DDE"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Futureproof deployments</w:t>
                  </w:r>
                </w:p>
                <w:p w14:paraId="4EEA7079"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Identity &amp; access Management</w:t>
                  </w:r>
                </w:p>
                <w:p w14:paraId="12E9B17E"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Software update services</w:t>
                  </w:r>
                </w:p>
                <w:p w14:paraId="2A4AF8F4"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platform support</w:t>
                  </w:r>
                </w:p>
                <w:p w14:paraId="193D7BBD"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integration</w:t>
                  </w:r>
                </w:p>
                <w:p w14:paraId="66C0C5FE"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Ensure data consistency &amp; security</w:t>
                  </w:r>
                </w:p>
                <w:p w14:paraId="0C78944B"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Storage cluster services</w:t>
                  </w:r>
                </w:p>
                <w:p w14:paraId="08DDADC2"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Automatic scale-up service</w:t>
                  </w:r>
                </w:p>
                <w:p w14:paraId="3B5F9AE8"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Service integration layer (SIL)</w:t>
                  </w:r>
                </w:p>
                <w:p w14:paraId="5DC68F4B"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Network Access Protection (NAP)</w:t>
                  </w:r>
                </w:p>
                <w:p w14:paraId="2574285C"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Automatic certificate enrollment to LAN &amp; WiFi</w:t>
                  </w:r>
                </w:p>
              </w:tc>
            </w:tr>
            <w:tr w:rsidR="008E3D9B" w:rsidRPr="00FF1B20" w14:paraId="3DF67344" w14:textId="77777777">
              <w:tc>
                <w:tcPr>
                  <w:cnfStyle w:val="001000000000" w:firstRow="0" w:lastRow="0" w:firstColumn="1" w:lastColumn="0" w:oddVBand="0" w:evenVBand="0" w:oddHBand="0" w:evenHBand="0" w:firstRowFirstColumn="0" w:firstRowLastColumn="0" w:lastRowFirstColumn="0" w:lastRowLastColumn="0"/>
                  <w:tcW w:w="2604" w:type="dxa"/>
                </w:tcPr>
                <w:p w14:paraId="64EBD1F9"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Datacenter Infrastructure Management</w:t>
                  </w:r>
                </w:p>
              </w:tc>
              <w:tc>
                <w:tcPr>
                  <w:tcW w:w="3309" w:type="dxa"/>
                </w:tcPr>
                <w:p w14:paraId="45E33006"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DCIM: data center Infrastructure Management</w:t>
                  </w:r>
                </w:p>
                <w:p w14:paraId="37B6259B"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EMI or Noise Calibration</w:t>
                  </w:r>
                </w:p>
                <w:p w14:paraId="61CD7376"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CDCP Framework</w:t>
                  </w:r>
                </w:p>
              </w:tc>
              <w:tc>
                <w:tcPr>
                  <w:tcW w:w="4410" w:type="dxa"/>
                </w:tcPr>
                <w:p w14:paraId="21D37300"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EIA/TIA-942 with Annexure </w:t>
                  </w:r>
                </w:p>
                <w:p w14:paraId="47EF8783"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BICSI 002-2011</w:t>
                  </w:r>
                </w:p>
                <w:p w14:paraId="4B2E957D"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APC StruxXureWare</w:t>
                  </w:r>
                </w:p>
                <w:p w14:paraId="5529C1A3"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CDCP Framework</w:t>
                  </w:r>
                </w:p>
              </w:tc>
            </w:tr>
            <w:tr w:rsidR="008E3D9B" w:rsidRPr="00FF1B20" w14:paraId="730868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32B0C481"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Power Purity Calibration</w:t>
                  </w:r>
                </w:p>
              </w:tc>
              <w:tc>
                <w:tcPr>
                  <w:tcW w:w="3309" w:type="dxa"/>
                </w:tcPr>
                <w:p w14:paraId="426F69AC"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Fluke Power Tester &amp; APC Power Management with StruxXureWare</w:t>
                  </w:r>
                </w:p>
              </w:tc>
              <w:tc>
                <w:tcPr>
                  <w:tcW w:w="4410" w:type="dxa"/>
                </w:tcPr>
                <w:p w14:paraId="4735B909"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APC StruxXureWare</w:t>
                  </w:r>
                </w:p>
              </w:tc>
            </w:tr>
            <w:tr w:rsidR="008E3D9B" w:rsidRPr="00FF1B20" w14:paraId="2286F43A" w14:textId="77777777">
              <w:tc>
                <w:tcPr>
                  <w:cnfStyle w:val="001000000000" w:firstRow="0" w:lastRow="0" w:firstColumn="1" w:lastColumn="0" w:oddVBand="0" w:evenVBand="0" w:oddHBand="0" w:evenHBand="0" w:firstRowFirstColumn="0" w:firstRowLastColumn="0" w:lastRowFirstColumn="0" w:lastRowLastColumn="0"/>
                  <w:tcW w:w="2604" w:type="dxa"/>
                </w:tcPr>
                <w:p w14:paraId="248BEBFA"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Underlying Network Design</w:t>
                  </w:r>
                </w:p>
              </w:tc>
              <w:tc>
                <w:tcPr>
                  <w:tcW w:w="3309" w:type="dxa"/>
                </w:tcPr>
                <w:p w14:paraId="26E88D0B" w14:textId="77777777" w:rsidR="008E3D9B" w:rsidRPr="00FF1B20" w:rsidRDefault="00F95683">
                  <w:pPr>
                    <w:numPr>
                      <w:ilvl w:val="0"/>
                      <w:numId w:val="12"/>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Enterprise class by network design</w:t>
                  </w:r>
                </w:p>
              </w:tc>
              <w:tc>
                <w:tcPr>
                  <w:tcW w:w="4410" w:type="dxa"/>
                </w:tcPr>
                <w:p w14:paraId="4277B3D1"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TOGAF, MOF followed</w:t>
                  </w:r>
                </w:p>
                <w:p w14:paraId="053A2415" w14:textId="77777777" w:rsidR="008E3D9B" w:rsidRPr="00FF1B20" w:rsidRDefault="00F95683">
                  <w:pPr>
                    <w:numPr>
                      <w:ilvl w:val="0"/>
                      <w:numId w:val="13"/>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CISCO design framework etc.</w:t>
                  </w:r>
                </w:p>
              </w:tc>
            </w:tr>
            <w:tr w:rsidR="008E3D9B" w:rsidRPr="00FF1B20" w14:paraId="0D7E21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E540A32"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Access Management</w:t>
                  </w:r>
                </w:p>
              </w:tc>
              <w:tc>
                <w:tcPr>
                  <w:tcW w:w="3309" w:type="dxa"/>
                </w:tcPr>
                <w:p w14:paraId="6917F1AF"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Integrated to Devices for accessing network resources</w:t>
                  </w:r>
                </w:p>
                <w:p w14:paraId="569FB864" w14:textId="77777777" w:rsidR="008E3D9B" w:rsidRPr="00FF1B20" w:rsidRDefault="00F95683">
                  <w:pPr>
                    <w:numPr>
                      <w:ilvl w:val="0"/>
                      <w:numId w:val="12"/>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Integrated to Biometrics with HR</w:t>
                  </w:r>
                </w:p>
              </w:tc>
              <w:tc>
                <w:tcPr>
                  <w:tcW w:w="4410" w:type="dxa"/>
                </w:tcPr>
                <w:p w14:paraId="4871AACC"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Domain Enforced</w:t>
                  </w:r>
                </w:p>
                <w:p w14:paraId="4BB21F1D"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Domain Integrated</w:t>
                  </w:r>
                </w:p>
                <w:p w14:paraId="0B606E8F" w14:textId="77777777" w:rsidR="008E3D9B" w:rsidRPr="00FF1B20" w:rsidRDefault="00F95683">
                  <w:pPr>
                    <w:numPr>
                      <w:ilvl w:val="0"/>
                      <w:numId w:val="13"/>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 Application Platform, native to Domain</w:t>
                  </w:r>
                </w:p>
              </w:tc>
            </w:tr>
            <w:tr w:rsidR="008E3D9B" w:rsidRPr="00FF1B20" w14:paraId="3E17E633" w14:textId="77777777">
              <w:tc>
                <w:tcPr>
                  <w:cnfStyle w:val="001000000000" w:firstRow="0" w:lastRow="0" w:firstColumn="1" w:lastColumn="0" w:oddVBand="0" w:evenVBand="0" w:oddHBand="0" w:evenHBand="0" w:firstRowFirstColumn="0" w:firstRowLastColumn="0" w:lastRowFirstColumn="0" w:lastRowLastColumn="0"/>
                  <w:tcW w:w="2604" w:type="dxa"/>
                </w:tcPr>
                <w:p w14:paraId="3AD0F133"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PC Hardware &amp; Operating System Upgrades</w:t>
                  </w:r>
                </w:p>
              </w:tc>
              <w:tc>
                <w:tcPr>
                  <w:tcW w:w="3309" w:type="dxa"/>
                </w:tcPr>
                <w:p w14:paraId="7CC20405" w14:textId="77777777" w:rsidR="008E3D9B" w:rsidRPr="00FF1B20" w:rsidRDefault="00F95683">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Improved performance, reliability, security, manageability, productivity improvements</w:t>
                  </w:r>
                </w:p>
                <w:p w14:paraId="3A21337F" w14:textId="77777777" w:rsidR="008E3D9B" w:rsidRPr="00FF1B20" w:rsidRDefault="00F95683">
                  <w:pPr>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Notebook, desktop, thin-client</w:t>
                  </w:r>
                </w:p>
              </w:tc>
              <w:tc>
                <w:tcPr>
                  <w:tcW w:w="4410" w:type="dxa"/>
                </w:tcPr>
                <w:p w14:paraId="26C15665"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Windows 7 x64 Professional</w:t>
                  </w:r>
                </w:p>
                <w:p w14:paraId="621C3090"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 HP, Apple, Toshiba, Lenovo, Fujitsu, Acer, Gigabyte</w:t>
                  </w:r>
                </w:p>
                <w:p w14:paraId="6E7FF647" w14:textId="77777777" w:rsidR="008E3D9B" w:rsidRPr="00FF1B20" w:rsidRDefault="00F95683">
                  <w:pPr>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Intel</w:t>
                  </w:r>
                </w:p>
              </w:tc>
            </w:tr>
            <w:tr w:rsidR="008E3D9B" w:rsidRPr="00FF1B20" w14:paraId="62839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35E6F54A"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Server Hardware &amp; Software Upgrades</w:t>
                  </w:r>
                </w:p>
              </w:tc>
              <w:tc>
                <w:tcPr>
                  <w:tcW w:w="3309" w:type="dxa"/>
                </w:tcPr>
                <w:p w14:paraId="785CEBA6"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Virtualization, consolidation, clustering</w:t>
                  </w:r>
                </w:p>
                <w:p w14:paraId="1FC9425B"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Data center optimization</w:t>
                  </w:r>
                </w:p>
                <w:p w14:paraId="07036B10"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Improved performance, reliability, manageability, security</w:t>
                  </w:r>
                </w:p>
                <w:p w14:paraId="292EFBA9"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Multi-core, 64-bit, RISC/Itanium, x64</w:t>
                  </w:r>
                </w:p>
                <w:p w14:paraId="0A795ABD"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Web servers, application servers, DBMS servers, data warehouse servers, infrastructure servers, high performance computing servers</w:t>
                  </w:r>
                </w:p>
                <w:p w14:paraId="6C9ABE0E" w14:textId="77777777" w:rsidR="008E3D9B" w:rsidRPr="00FF1B20" w:rsidRDefault="00F95683">
                  <w:pPr>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SIEM: Security Information &amp; Event Management, UEP: Unified Endpoint Protection</w:t>
                  </w:r>
                </w:p>
              </w:tc>
              <w:tc>
                <w:tcPr>
                  <w:tcW w:w="4410" w:type="dxa"/>
                </w:tcPr>
                <w:p w14:paraId="0779FE2C"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Windows Server, Kali Linux, CentOS, Red hat</w:t>
                  </w:r>
                </w:p>
                <w:p w14:paraId="6E18A4CA"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w:t>
                  </w:r>
                </w:p>
                <w:p w14:paraId="4276CC2C" w14:textId="77777777" w:rsidR="008E3D9B" w:rsidRPr="00FF1B20" w:rsidRDefault="00F95683">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SCEP replaces Defender in Domain Mode</w:t>
                  </w:r>
                </w:p>
              </w:tc>
            </w:tr>
            <w:tr w:rsidR="008E3D9B" w:rsidRPr="00FF1B20" w14:paraId="57662A36" w14:textId="77777777">
              <w:tc>
                <w:tcPr>
                  <w:cnfStyle w:val="001000000000" w:firstRow="0" w:lastRow="0" w:firstColumn="1" w:lastColumn="0" w:oddVBand="0" w:evenVBand="0" w:oddHBand="0" w:evenHBand="0" w:firstRowFirstColumn="0" w:firstRowLastColumn="0" w:lastRowFirstColumn="0" w:lastRowLastColumn="0"/>
                  <w:tcW w:w="2604" w:type="dxa"/>
                </w:tcPr>
                <w:p w14:paraId="6D771737"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Infrastructure Management / Networking</w:t>
                  </w:r>
                </w:p>
              </w:tc>
              <w:tc>
                <w:tcPr>
                  <w:tcW w:w="3309" w:type="dxa"/>
                </w:tcPr>
                <w:p w14:paraId="0CC2973D"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Asset inventory/management, OS management, configuration management, change management, systems management, software distribution, application packaging</w:t>
                  </w:r>
                </w:p>
                <w:p w14:paraId="2030B530"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Directory services, group policy objects</w:t>
                  </w:r>
                </w:p>
                <w:p w14:paraId="07A3A47E"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Print Management</w:t>
                  </w:r>
                </w:p>
                <w:p w14:paraId="2BEA3623"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IPV6, LAN, WAN</w:t>
                  </w:r>
                </w:p>
                <w:p w14:paraId="532BB7AD" w14:textId="77777777" w:rsidR="008E3D9B" w:rsidRPr="00FF1B20" w:rsidRDefault="00F95683">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VOIP - voice over Internet protocol</w:t>
                  </w:r>
                </w:p>
              </w:tc>
              <w:tc>
                <w:tcPr>
                  <w:tcW w:w="4410" w:type="dxa"/>
                </w:tcPr>
                <w:p w14:paraId="4F325551"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System Center Configuration Manager, MDOP, Active Directory</w:t>
                  </w:r>
                </w:p>
                <w:p w14:paraId="58FFECBA"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Active Directory, GFI, Acronis</w:t>
                  </w:r>
                </w:p>
                <w:p w14:paraId="6D296F6A"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Active Directory Integrated</w:t>
                  </w:r>
                </w:p>
                <w:p w14:paraId="69A41929" w14:textId="77777777" w:rsidR="008E3D9B" w:rsidRPr="00FF1B20" w:rsidRDefault="00F95683">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PaperCut for Print Management with PIN Enabled Facility</w:t>
                  </w:r>
                </w:p>
              </w:tc>
            </w:tr>
            <w:tr w:rsidR="008E3D9B" w:rsidRPr="00FF1B20" w14:paraId="75C574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056E3E2D"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Communication</w:t>
                  </w:r>
                </w:p>
              </w:tc>
              <w:tc>
                <w:tcPr>
                  <w:tcW w:w="3309" w:type="dxa"/>
                </w:tcPr>
                <w:p w14:paraId="7153EEAE" w14:textId="77777777" w:rsidR="008E3D9B" w:rsidRPr="00FF1B20" w:rsidRDefault="00F95683">
                  <w:pPr>
                    <w:numPr>
                      <w:ilvl w:val="0"/>
                      <w:numId w:val="4"/>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Cisco/Avaya Call Manager</w:t>
                  </w:r>
                </w:p>
                <w:p w14:paraId="3BF87B1A" w14:textId="77777777" w:rsidR="008E3D9B" w:rsidRPr="00FF1B20" w:rsidRDefault="008E3D9B">
                  <w:pPr>
                    <w:ind w:left="720"/>
                    <w:cnfStyle w:val="000000100000" w:firstRow="0" w:lastRow="0" w:firstColumn="0" w:lastColumn="0" w:oddVBand="0" w:evenVBand="0" w:oddHBand="1" w:evenHBand="0" w:firstRowFirstColumn="0" w:firstRowLastColumn="0" w:lastRowFirstColumn="0" w:lastRowLastColumn="0"/>
                    <w:rPr>
                      <w:rFonts w:ascii="ArialNovaW07-Light" w:hAnsi="ArialNovaW07-Light"/>
                      <w:sz w:val="24"/>
                      <w:szCs w:val="24"/>
                    </w:rPr>
                  </w:pPr>
                </w:p>
              </w:tc>
              <w:tc>
                <w:tcPr>
                  <w:tcW w:w="4410" w:type="dxa"/>
                </w:tcPr>
                <w:p w14:paraId="469771E1"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OCS/Lync/Skype for Business with Enterprise Voice</w:t>
                  </w:r>
                </w:p>
                <w:p w14:paraId="3AF8B1FC"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SIP Enabled G729 Protocol</w:t>
                  </w:r>
                </w:p>
                <w:p w14:paraId="71D0E3F0" w14:textId="77777777" w:rsidR="008E3D9B" w:rsidRPr="00FF1B20" w:rsidRDefault="00F95683">
                  <w:pPr>
                    <w:numPr>
                      <w:ilvl w:val="0"/>
                      <w:numId w:val="6"/>
                    </w:numPr>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IP Phone Secure Configuration</w:t>
                  </w:r>
                </w:p>
              </w:tc>
            </w:tr>
            <w:tr w:rsidR="008E3D9B" w:rsidRPr="00FF1B20" w14:paraId="361B96BF" w14:textId="77777777">
              <w:tc>
                <w:tcPr>
                  <w:cnfStyle w:val="001000000000" w:firstRow="0" w:lastRow="0" w:firstColumn="1" w:lastColumn="0" w:oddVBand="0" w:evenVBand="0" w:oddHBand="0" w:evenHBand="0" w:firstRowFirstColumn="0" w:firstRowLastColumn="0" w:lastRowFirstColumn="0" w:lastRowLastColumn="0"/>
                  <w:tcW w:w="2604" w:type="dxa"/>
                </w:tcPr>
                <w:p w14:paraId="331D1902" w14:textId="77777777" w:rsidR="008E3D9B" w:rsidRPr="00FF1B20" w:rsidRDefault="00F95683">
                  <w:pPr>
                    <w:rPr>
                      <w:rFonts w:ascii="ArialNovaW07-Light" w:hAnsi="ArialNovaW07-Light"/>
                      <w:sz w:val="24"/>
                      <w:szCs w:val="24"/>
                    </w:rPr>
                  </w:pPr>
                  <w:r w:rsidRPr="00FF1B20">
                    <w:rPr>
                      <w:rFonts w:ascii="ArialNovaW07-Light" w:hAnsi="ArialNovaW07-Light"/>
                      <w:sz w:val="24"/>
                      <w:szCs w:val="24"/>
                    </w:rPr>
                    <w:t>Surveillance</w:t>
                  </w:r>
                </w:p>
              </w:tc>
              <w:tc>
                <w:tcPr>
                  <w:tcW w:w="3309" w:type="dxa"/>
                </w:tcPr>
                <w:p w14:paraId="7E55362B" w14:textId="77777777" w:rsidR="008E3D9B" w:rsidRPr="00FF1B20" w:rsidRDefault="00F95683">
                  <w:pPr>
                    <w:numPr>
                      <w:ilvl w:val="0"/>
                      <w:numId w:val="4"/>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NVR, Access Control</w:t>
                  </w:r>
                </w:p>
              </w:tc>
              <w:tc>
                <w:tcPr>
                  <w:tcW w:w="4410" w:type="dxa"/>
                </w:tcPr>
                <w:p w14:paraId="260C04A9" w14:textId="77777777" w:rsidR="008E3D9B" w:rsidRPr="00FF1B20" w:rsidRDefault="00F95683">
                  <w:pPr>
                    <w:numPr>
                      <w:ilvl w:val="0"/>
                      <w:numId w:val="6"/>
                    </w:numPr>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NVR Setup with Lennel OnGuard</w:t>
                  </w:r>
                </w:p>
              </w:tc>
            </w:tr>
            <w:tr w:rsidR="008E3D9B" w:rsidRPr="00FF1B20" w14:paraId="4486FF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5B72DE93"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Storage</w:t>
                  </w:r>
                </w:p>
              </w:tc>
              <w:tc>
                <w:tcPr>
                  <w:tcW w:w="3309" w:type="dxa"/>
                </w:tcPr>
                <w:p w14:paraId="60D1884A"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Digital storage of business data and documents</w:t>
                  </w:r>
                </w:p>
                <w:p w14:paraId="61666562"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Archival, records management, tape backup, SAN, NAS, disk arrays, iSCSI, fiber channel</w:t>
                  </w:r>
                </w:p>
                <w:p w14:paraId="304C4D06" w14:textId="77777777" w:rsidR="008E3D9B" w:rsidRPr="00FF1B20" w:rsidRDefault="00F95683">
                  <w:pPr>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Capacity management, performance analysis, storage provisioning, quota management, event management</w:t>
                  </w:r>
                </w:p>
              </w:tc>
              <w:tc>
                <w:tcPr>
                  <w:tcW w:w="4410" w:type="dxa"/>
                </w:tcPr>
                <w:p w14:paraId="7A33B2A6"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SharePoint integrated with Lync &amp; Exchange Server with 3 tier storage cluster</w:t>
                  </w:r>
                </w:p>
                <w:p w14:paraId="2C59717C"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Exchange, Microsoft SQL Server</w:t>
                  </w:r>
                </w:p>
                <w:p w14:paraId="7E635A2A" w14:textId="77777777" w:rsidR="008E3D9B" w:rsidRPr="00FF1B20" w:rsidRDefault="00F95683">
                  <w:pPr>
                    <w:numPr>
                      <w:ilvl w:val="0"/>
                      <w:numId w:val="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DELL EqualLogic SAN</w:t>
                  </w:r>
                </w:p>
              </w:tc>
            </w:tr>
            <w:tr w:rsidR="008E3D9B" w:rsidRPr="00FF1B20" w14:paraId="3644E1CB" w14:textId="77777777">
              <w:tc>
                <w:tcPr>
                  <w:cnfStyle w:val="001000000000" w:firstRow="0" w:lastRow="0" w:firstColumn="1" w:lastColumn="0" w:oddVBand="0" w:evenVBand="0" w:oddHBand="0" w:evenHBand="0" w:firstRowFirstColumn="0" w:firstRowLastColumn="0" w:lastRowFirstColumn="0" w:lastRowLastColumn="0"/>
                  <w:tcW w:w="2604" w:type="dxa"/>
                </w:tcPr>
                <w:p w14:paraId="09FE464F"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Security</w:t>
                  </w:r>
                </w:p>
              </w:tc>
              <w:tc>
                <w:tcPr>
                  <w:tcW w:w="3309" w:type="dxa"/>
                </w:tcPr>
                <w:p w14:paraId="7ADC03C9"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Security planning, assessment, incident/breach management </w:t>
                  </w:r>
                </w:p>
                <w:p w14:paraId="658A33F9"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Identity and access management, encryption, smartcards, authentication, authorization, patch management</w:t>
                  </w:r>
                </w:p>
                <w:p w14:paraId="01F8BE56" w14:textId="77777777" w:rsidR="008E3D9B" w:rsidRPr="00FF1B20" w:rsidRDefault="00F95683">
                  <w:pPr>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Firewalls, antivirus, anti-malware, anti-spyware, network access control, information and data rights management</w:t>
                  </w:r>
                </w:p>
              </w:tc>
              <w:tc>
                <w:tcPr>
                  <w:tcW w:w="4410" w:type="dxa"/>
                </w:tcPr>
                <w:p w14:paraId="3EAAABC7"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System Center Endpoint Protection, System Center Service Manager</w:t>
                  </w:r>
                </w:p>
                <w:p w14:paraId="348CD686"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Authentication: By AD, Mikrotik</w:t>
                  </w:r>
                </w:p>
                <w:p w14:paraId="1A0EAC5F"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VeriSign</w:t>
                  </w:r>
                </w:p>
                <w:p w14:paraId="3FF77C3F"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Barracuda</w:t>
                  </w:r>
                </w:p>
                <w:p w14:paraId="14665E85" w14:textId="77777777" w:rsidR="008E3D9B" w:rsidRPr="00FF1B20" w:rsidRDefault="00F95683">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Red-Teaming</w:t>
                  </w:r>
                </w:p>
              </w:tc>
            </w:tr>
            <w:tr w:rsidR="008E3D9B" w:rsidRPr="00FF1B20" w14:paraId="45A86E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0B96FB8C"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Application Development / Architecture</w:t>
                  </w:r>
                </w:p>
              </w:tc>
              <w:tc>
                <w:tcPr>
                  <w:tcW w:w="3309" w:type="dxa"/>
                </w:tcPr>
                <w:p w14:paraId="3A3CD252"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Improved software quality, integration, usability </w:t>
                  </w:r>
                </w:p>
                <w:p w14:paraId="4A5D70ED"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Custom developed software</w:t>
                  </w:r>
                </w:p>
                <w:p w14:paraId="7DC20577"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Rapid application development</w:t>
                  </w:r>
                </w:p>
                <w:p w14:paraId="1758B07A"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Middleware, application server</w:t>
                  </w:r>
                </w:p>
                <w:p w14:paraId="4076F0BE"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Web services, Service-Oriented Architecture, SaaS (software as a service)</w:t>
                  </w:r>
                </w:p>
                <w:p w14:paraId="2DFE7A3F" w14:textId="77777777" w:rsidR="008E3D9B" w:rsidRPr="00FF1B20" w:rsidRDefault="00F95683">
                  <w:pPr>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Enterprise architecture (EA)</w:t>
                  </w:r>
                </w:p>
              </w:tc>
              <w:tc>
                <w:tcPr>
                  <w:tcW w:w="4410" w:type="dxa"/>
                </w:tcPr>
                <w:p w14:paraId="16A498D5"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.NET, Visual Studio</w:t>
                  </w:r>
                </w:p>
                <w:p w14:paraId="4387E3F8"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t>
                  </w:r>
                </w:p>
                <w:p w14:paraId="4F416A99"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.Net</w:t>
                  </w:r>
                </w:p>
                <w:p w14:paraId="1BA350B1"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Java/J2EE/EE, Ruby on Rails, PHP, Python, Perl</w:t>
                  </w:r>
                </w:p>
                <w:p w14:paraId="635B595C"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BizTalk Server, Application Server</w:t>
                  </w:r>
                </w:p>
                <w:p w14:paraId="42800E11" w14:textId="77777777" w:rsidR="008E3D9B" w:rsidRPr="00FF1B20" w:rsidRDefault="00F95683">
                  <w:pPr>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On-Premise Cloud Platform</w:t>
                  </w:r>
                </w:p>
              </w:tc>
            </w:tr>
            <w:tr w:rsidR="008E3D9B" w:rsidRPr="00FF1B20" w14:paraId="56CAA085" w14:textId="77777777">
              <w:tc>
                <w:tcPr>
                  <w:cnfStyle w:val="001000000000" w:firstRow="0" w:lastRow="0" w:firstColumn="1" w:lastColumn="0" w:oddVBand="0" w:evenVBand="0" w:oddHBand="0" w:evenHBand="0" w:firstRowFirstColumn="0" w:firstRowLastColumn="0" w:lastRowFirstColumn="0" w:lastRowLastColumn="0"/>
                  <w:tcW w:w="2604" w:type="dxa"/>
                </w:tcPr>
                <w:p w14:paraId="699F4EA9"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Compliance, Governance, Risk</w:t>
                  </w:r>
                </w:p>
              </w:tc>
              <w:tc>
                <w:tcPr>
                  <w:tcW w:w="3309" w:type="dxa"/>
                </w:tcPr>
                <w:p w14:paraId="1F9997EB"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Methods and software to ease compliance with regulations such as HIPPA, Sarbanes-Oxley, Basel II</w:t>
                  </w:r>
                </w:p>
                <w:p w14:paraId="6265C2C6" w14:textId="62A5D89F" w:rsidR="008E3D9B" w:rsidRPr="00FF1B20" w:rsidRDefault="003C52B2">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Pr>
                      <w:rFonts w:ascii="ArialNovaW07-Light" w:hAnsi="ArialNovaW07-Light"/>
                      <w:sz w:val="24"/>
                      <w:szCs w:val="24"/>
                    </w:rPr>
                    <w:t xml:space="preserve">NIST-RMF, </w:t>
                  </w:r>
                  <w:r w:rsidR="00F95683" w:rsidRPr="00FF1B20">
                    <w:rPr>
                      <w:rFonts w:ascii="ArialNovaW07-Light" w:hAnsi="ArialNovaW07-Light"/>
                      <w:sz w:val="24"/>
                      <w:szCs w:val="24"/>
                    </w:rPr>
                    <w:t>ITIL, COBIT, Six Sigma, CMM, ISO 17799/9000, ISO 27001 &amp; 20000 &amp; 22301, PMBOK</w:t>
                  </w:r>
                </w:p>
                <w:p w14:paraId="74EE0CCE"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Maturity models (Microsoft™ Infrastructure Optimization Maturity Model)</w:t>
                  </w:r>
                </w:p>
                <w:p w14:paraId="6B6E23BC"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Portfolio management, IT-business alignment, balanced scorecard, service level management, risk management </w:t>
                  </w:r>
                </w:p>
                <w:p w14:paraId="7B5DC886"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Business continuity: disaster planning / recovery </w:t>
                  </w:r>
                </w:p>
                <w:p w14:paraId="57E2A5CE" w14:textId="77777777" w:rsidR="008E3D9B" w:rsidRPr="00FF1B20" w:rsidRDefault="00F95683">
                  <w:pPr>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 governance, policies, internal audit, monitoring for ISMS</w:t>
                  </w:r>
                </w:p>
              </w:tc>
              <w:tc>
                <w:tcPr>
                  <w:tcW w:w="4410" w:type="dxa"/>
                </w:tcPr>
                <w:p w14:paraId="2CFFA3AF"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Not Required</w:t>
                  </w:r>
                </w:p>
                <w:p w14:paraId="66372DDD"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 PMBOK-5</w:t>
                  </w:r>
                </w:p>
                <w:p w14:paraId="6DE76773"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6178A3C2"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6C2F226A"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w:t>
                  </w:r>
                </w:p>
                <w:p w14:paraId="67482DA6"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570C1DEF" w14:textId="77777777" w:rsidR="008E3D9B" w:rsidRPr="00FF1B20" w:rsidRDefault="008E3D9B">
                  <w:p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sz w:val="24"/>
                      <w:szCs w:val="24"/>
                    </w:rPr>
                  </w:pPr>
                </w:p>
                <w:p w14:paraId="06E5317E"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ITIL &amp; MOF, PMBOK-5</w:t>
                  </w:r>
                </w:p>
                <w:p w14:paraId="21A8762F" w14:textId="77777777" w:rsidR="008E3D9B" w:rsidRPr="00FF1B20" w:rsidRDefault="00F95683">
                  <w:pPr>
                    <w:numPr>
                      <w:ilvl w:val="0"/>
                      <w:numId w:val="11"/>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ISO 20000, 27001</w:t>
                  </w:r>
                </w:p>
              </w:tc>
            </w:tr>
            <w:tr w:rsidR="008E3D9B" w:rsidRPr="00FF1B20" w14:paraId="1FC585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367CF80B"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Outsourcing</w:t>
                  </w:r>
                </w:p>
              </w:tc>
              <w:tc>
                <w:tcPr>
                  <w:tcW w:w="3309" w:type="dxa"/>
                </w:tcPr>
                <w:p w14:paraId="73447CC8"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Outsource IT and business processes, applications, infrastructure, or initiatives to reduce costs and improve results</w:t>
                  </w:r>
                </w:p>
                <w:p w14:paraId="25740D1A"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Infrastructure management: helpdesk, on-site support, desktop management, data center services</w:t>
                  </w:r>
                </w:p>
                <w:p w14:paraId="70276F71"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BPO - business process outsourcing</w:t>
                  </w:r>
                </w:p>
                <w:p w14:paraId="33EB2974"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Offshore services</w:t>
                  </w:r>
                </w:p>
                <w:p w14:paraId="5FA21417" w14:textId="77777777" w:rsidR="008E3D9B" w:rsidRPr="00FF1B20" w:rsidRDefault="00F95683">
                  <w:pPr>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Application outsourcing, web hosting</w:t>
                  </w:r>
                </w:p>
              </w:tc>
              <w:tc>
                <w:tcPr>
                  <w:tcW w:w="4410" w:type="dxa"/>
                </w:tcPr>
                <w:p w14:paraId="67E9A519" w14:textId="77777777" w:rsidR="008E3D9B" w:rsidRPr="00FF1B20" w:rsidRDefault="00F95683">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Various Vendors</w:t>
                  </w:r>
                </w:p>
                <w:p w14:paraId="096F9BC2" w14:textId="77777777" w:rsidR="008E3D9B" w:rsidRPr="00FF1B20" w:rsidRDefault="00F95683">
                  <w:pPr>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System Center Service Manager</w:t>
                  </w:r>
                </w:p>
                <w:p w14:paraId="19B715A1" w14:textId="77777777" w:rsidR="008E3D9B" w:rsidRPr="00FF1B20" w:rsidRDefault="008E3D9B">
                  <w:pPr>
                    <w:spacing w:after="160" w:line="259" w:lineRule="auto"/>
                    <w:ind w:left="720"/>
                    <w:cnfStyle w:val="000000100000" w:firstRow="0" w:lastRow="0" w:firstColumn="0" w:lastColumn="0" w:oddVBand="0" w:evenVBand="0" w:oddHBand="1" w:evenHBand="0" w:firstRowFirstColumn="0" w:firstRowLastColumn="0" w:lastRowFirstColumn="0" w:lastRowLastColumn="0"/>
                    <w:rPr>
                      <w:rFonts w:ascii="ArialNovaW07-Light" w:hAnsi="ArialNovaW07-Light"/>
                      <w:sz w:val="24"/>
                      <w:szCs w:val="24"/>
                    </w:rPr>
                  </w:pPr>
                  <w:bookmarkStart w:id="2" w:name="_1fob9te" w:colFirst="0" w:colLast="0"/>
                  <w:bookmarkEnd w:id="2"/>
                </w:p>
              </w:tc>
            </w:tr>
            <w:tr w:rsidR="008E3D9B" w:rsidRPr="00FF1B20" w14:paraId="34B17F79" w14:textId="77777777">
              <w:tc>
                <w:tcPr>
                  <w:cnfStyle w:val="001000000000" w:firstRow="0" w:lastRow="0" w:firstColumn="1" w:lastColumn="0" w:oddVBand="0" w:evenVBand="0" w:oddHBand="0" w:evenHBand="0" w:firstRowFirstColumn="0" w:firstRowLastColumn="0" w:lastRowFirstColumn="0" w:lastRowLastColumn="0"/>
                  <w:tcW w:w="2604" w:type="dxa"/>
                </w:tcPr>
                <w:p w14:paraId="7791DD77" w14:textId="77777777" w:rsidR="008E3D9B" w:rsidRPr="00FF1B20" w:rsidRDefault="00F95683">
                  <w:pPr>
                    <w:spacing w:after="160" w:line="259" w:lineRule="auto"/>
                    <w:rPr>
                      <w:rFonts w:ascii="ArialNovaW07-Light" w:hAnsi="ArialNovaW07-Light"/>
                      <w:sz w:val="24"/>
                      <w:szCs w:val="24"/>
                    </w:rPr>
                  </w:pPr>
                  <w:r w:rsidRPr="00FF1B20">
                    <w:rPr>
                      <w:rFonts w:ascii="ArialNovaW07-Light" w:hAnsi="ArialNovaW07-Light"/>
                      <w:sz w:val="24"/>
                      <w:szCs w:val="24"/>
                    </w:rPr>
                    <w:t>Wireless/Mobile</w:t>
                  </w:r>
                </w:p>
              </w:tc>
              <w:tc>
                <w:tcPr>
                  <w:tcW w:w="3309" w:type="dxa"/>
                </w:tcPr>
                <w:p w14:paraId="31EA1631"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Wireless e-mail, mobile access to line-of-business applications, unified communications, </w:t>
                  </w:r>
                </w:p>
                <w:p w14:paraId="7C62284B"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VPN, mobile remote access, telecommuting</w:t>
                  </w:r>
                </w:p>
                <w:p w14:paraId="5CB0C4EC"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Handheld devices, smart phones, PDAs</w:t>
                  </w:r>
                </w:p>
                <w:p w14:paraId="047F7F5C" w14:textId="77777777" w:rsidR="008E3D9B" w:rsidRPr="00FF1B20" w:rsidRDefault="00F95683">
                  <w:pPr>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Wireless LAN/WAN, 802.11n, WiMAX, CDMA, UMTS, GPRS, EDGE</w:t>
                  </w:r>
                </w:p>
              </w:tc>
              <w:tc>
                <w:tcPr>
                  <w:tcW w:w="4410" w:type="dxa"/>
                </w:tcPr>
                <w:p w14:paraId="2A4595EF"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Microsoft Exchange Server, InTune Server</w:t>
                  </w:r>
                </w:p>
                <w:p w14:paraId="4A95BD6D"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 xml:space="preserve">RIM BlackBerry, Nokia, Apple iPhone, Samsung, Google </w:t>
                  </w:r>
                </w:p>
                <w:p w14:paraId="6D90E300"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3Com, Cisco Systems, Aruba, Nortel Networks, Siemens</w:t>
                  </w:r>
                </w:p>
                <w:p w14:paraId="6A61601F" w14:textId="77777777" w:rsidR="008E3D9B" w:rsidRPr="00FF1B20" w:rsidRDefault="00F95683">
                  <w:pPr>
                    <w:numPr>
                      <w:ilvl w:val="0"/>
                      <w:numId w:val="18"/>
                    </w:numPr>
                    <w:spacing w:after="160" w:line="259" w:lineRule="auto"/>
                    <w:cnfStyle w:val="000000000000" w:firstRow="0" w:lastRow="0" w:firstColumn="0" w:lastColumn="0" w:oddVBand="0" w:evenVBand="0" w:oddHBand="0" w:evenHBand="0" w:firstRowFirstColumn="0" w:firstRowLastColumn="0" w:lastRowFirstColumn="0" w:lastRowLastColumn="0"/>
                    <w:rPr>
                      <w:rFonts w:ascii="ArialNovaW07-Light" w:hAnsi="ArialNovaW07-Light"/>
                    </w:rPr>
                  </w:pPr>
                  <w:r w:rsidRPr="00FF1B20">
                    <w:rPr>
                      <w:rFonts w:ascii="ArialNovaW07-Light" w:hAnsi="ArialNovaW07-Light"/>
                      <w:sz w:val="24"/>
                      <w:szCs w:val="24"/>
                    </w:rPr>
                    <w:t>Equant, AT&amp;T, MCI, BT, Sprint, Verizon</w:t>
                  </w:r>
                </w:p>
              </w:tc>
            </w:tr>
          </w:tbl>
          <w:p w14:paraId="18740240" w14:textId="77777777" w:rsidR="008E3D9B" w:rsidRPr="00FF1B20" w:rsidRDefault="00F95683">
            <w:pPr>
              <w:rPr>
                <w:rFonts w:ascii="ArialNovaW07-Light" w:hAnsi="ArialNovaW07-Light"/>
                <w:color w:val="366091"/>
              </w:rPr>
            </w:pPr>
            <w:r w:rsidRPr="00FF1B20">
              <w:rPr>
                <w:rFonts w:ascii="ArialNovaW07-Light" w:hAnsi="ArialNovaW07-Light"/>
              </w:rPr>
              <w:t> </w:t>
            </w:r>
          </w:p>
        </w:tc>
      </w:tr>
    </w:tbl>
    <w:p w14:paraId="1B25BEB5" w14:textId="77777777" w:rsidR="008E3D9B" w:rsidRPr="00FF1B20" w:rsidRDefault="008E3D9B">
      <w:pPr>
        <w:widowControl w:val="0"/>
        <w:pBdr>
          <w:top w:val="nil"/>
          <w:left w:val="nil"/>
          <w:bottom w:val="nil"/>
          <w:right w:val="nil"/>
          <w:between w:val="nil"/>
        </w:pBdr>
        <w:spacing w:before="200"/>
        <w:rPr>
          <w:rFonts w:ascii="ArialNovaW07-Light" w:eastAsia="Lato" w:hAnsi="ArialNovaW07-Light" w:cs="Lato"/>
        </w:rPr>
      </w:pPr>
    </w:p>
    <w:p w14:paraId="1211D855" w14:textId="77777777" w:rsidR="008E3D9B" w:rsidRPr="00FF1B20" w:rsidRDefault="008E3D9B">
      <w:pPr>
        <w:pBdr>
          <w:top w:val="nil"/>
          <w:left w:val="nil"/>
          <w:bottom w:val="nil"/>
          <w:right w:val="nil"/>
          <w:between w:val="nil"/>
        </w:pBdr>
        <w:rPr>
          <w:rFonts w:ascii="ArialNovaW07-Light" w:hAnsi="ArialNovaW07-Light"/>
        </w:rPr>
      </w:pPr>
    </w:p>
    <w:sectPr w:rsidR="008E3D9B" w:rsidRPr="00FF1B20" w:rsidSect="00FF1B20">
      <w:footerReference w:type="default" r:id="rId11"/>
      <w:headerReference w:type="first" r:id="rId12"/>
      <w:pgSz w:w="15840" w:h="12240"/>
      <w:pgMar w:top="1080" w:right="720" w:bottom="1080" w:left="720" w:header="72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AD27" w14:textId="77777777" w:rsidR="00D35096" w:rsidRDefault="00D35096">
      <w:pPr>
        <w:spacing w:line="240" w:lineRule="auto"/>
      </w:pPr>
      <w:r>
        <w:separator/>
      </w:r>
    </w:p>
  </w:endnote>
  <w:endnote w:type="continuationSeparator" w:id="0">
    <w:p w14:paraId="17336454" w14:textId="77777777" w:rsidR="00D35096" w:rsidRDefault="00D35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A000022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NovaW07-Light">
    <w:panose1 w:val="020B0304020202020204"/>
    <w:charset w:val="00"/>
    <w:family w:val="swiss"/>
    <w:pitch w:val="variable"/>
    <w:sig w:usb0="20000287" w:usb1="00000000" w:usb2="00000000"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94FD" w14:textId="77777777" w:rsidR="008E3D9B" w:rsidRDefault="00F95683">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F1B20">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F1B20">
      <w:rPr>
        <w:b/>
        <w:noProof/>
        <w:color w:val="000000"/>
        <w:sz w:val="24"/>
        <w:szCs w:val="24"/>
      </w:rPr>
      <w:t>9</w:t>
    </w:r>
    <w:r>
      <w:rPr>
        <w:b/>
        <w:color w:val="000000"/>
        <w:sz w:val="24"/>
        <w:szCs w:val="24"/>
      </w:rPr>
      <w:fldChar w:fldCharType="end"/>
    </w:r>
  </w:p>
  <w:p w14:paraId="3515917E" w14:textId="77777777" w:rsidR="008E3D9B" w:rsidRDefault="008E3D9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07CE" w14:textId="77777777" w:rsidR="00D35096" w:rsidRDefault="00D35096">
      <w:pPr>
        <w:spacing w:line="240" w:lineRule="auto"/>
      </w:pPr>
      <w:r>
        <w:separator/>
      </w:r>
    </w:p>
  </w:footnote>
  <w:footnote w:type="continuationSeparator" w:id="0">
    <w:p w14:paraId="0F1C0821" w14:textId="77777777" w:rsidR="00D35096" w:rsidRDefault="00D350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A868" w14:textId="77777777" w:rsidR="008E3D9B" w:rsidRDefault="00F95683">
    <w:pPr>
      <w:pBdr>
        <w:top w:val="nil"/>
        <w:left w:val="nil"/>
        <w:bottom w:val="nil"/>
        <w:right w:val="nil"/>
        <w:between w:val="nil"/>
      </w:pBdr>
      <w:tabs>
        <w:tab w:val="center" w:pos="4680"/>
        <w:tab w:val="right" w:pos="9360"/>
      </w:tabs>
      <w:spacing w:line="240" w:lineRule="auto"/>
      <w:rPr>
        <w:color w:val="000000"/>
      </w:rPr>
    </w:pPr>
    <w:r>
      <w:rPr>
        <w:rFonts w:ascii="Cambria" w:eastAsia="Cambria" w:hAnsi="Cambria" w:cs="Cambria"/>
        <w:color w:val="000000"/>
        <w:sz w:val="44"/>
        <w:szCs w:val="44"/>
      </w:rPr>
      <w:tab/>
      <w:t xml:space="preserve">                  Capability Maturity Matrix</w:t>
    </w:r>
  </w:p>
  <w:p w14:paraId="41A79CB6" w14:textId="77777777" w:rsidR="008E3D9B" w:rsidRDefault="008E3D9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BB5"/>
    <w:multiLevelType w:val="multilevel"/>
    <w:tmpl w:val="356833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2448EE"/>
    <w:multiLevelType w:val="multilevel"/>
    <w:tmpl w:val="4022C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75D4ED9"/>
    <w:multiLevelType w:val="multilevel"/>
    <w:tmpl w:val="2CE6EA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FB30F4"/>
    <w:multiLevelType w:val="multilevel"/>
    <w:tmpl w:val="5D96D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BF5474"/>
    <w:multiLevelType w:val="multilevel"/>
    <w:tmpl w:val="6EB81F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BD74E0"/>
    <w:multiLevelType w:val="multilevel"/>
    <w:tmpl w:val="E8128C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4363AF4"/>
    <w:multiLevelType w:val="multilevel"/>
    <w:tmpl w:val="CCB60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5E25427"/>
    <w:multiLevelType w:val="multilevel"/>
    <w:tmpl w:val="52B2F0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BE7F08"/>
    <w:multiLevelType w:val="multilevel"/>
    <w:tmpl w:val="3D3807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4D5677"/>
    <w:multiLevelType w:val="multilevel"/>
    <w:tmpl w:val="A9D006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02A3C12"/>
    <w:multiLevelType w:val="multilevel"/>
    <w:tmpl w:val="61D8F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557C07"/>
    <w:multiLevelType w:val="multilevel"/>
    <w:tmpl w:val="FA38D6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BA3006A"/>
    <w:multiLevelType w:val="multilevel"/>
    <w:tmpl w:val="1BF014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1723E95"/>
    <w:multiLevelType w:val="multilevel"/>
    <w:tmpl w:val="5C244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514632"/>
    <w:multiLevelType w:val="multilevel"/>
    <w:tmpl w:val="7174E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87B7220"/>
    <w:multiLevelType w:val="multilevel"/>
    <w:tmpl w:val="2940C3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CA42B83"/>
    <w:multiLevelType w:val="multilevel"/>
    <w:tmpl w:val="02AA8E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49E2960"/>
    <w:multiLevelType w:val="multilevel"/>
    <w:tmpl w:val="FBE62D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46576834">
    <w:abstractNumId w:val="5"/>
  </w:num>
  <w:num w:numId="2" w16cid:durableId="504708876">
    <w:abstractNumId w:val="4"/>
  </w:num>
  <w:num w:numId="3" w16cid:durableId="1710758970">
    <w:abstractNumId w:val="11"/>
  </w:num>
  <w:num w:numId="4" w16cid:durableId="377633466">
    <w:abstractNumId w:val="7"/>
  </w:num>
  <w:num w:numId="5" w16cid:durableId="1228758695">
    <w:abstractNumId w:val="17"/>
  </w:num>
  <w:num w:numId="6" w16cid:durableId="839924894">
    <w:abstractNumId w:val="15"/>
  </w:num>
  <w:num w:numId="7" w16cid:durableId="810171183">
    <w:abstractNumId w:val="1"/>
  </w:num>
  <w:num w:numId="8" w16cid:durableId="1441530505">
    <w:abstractNumId w:val="10"/>
  </w:num>
  <w:num w:numId="9" w16cid:durableId="564494066">
    <w:abstractNumId w:val="14"/>
  </w:num>
  <w:num w:numId="10" w16cid:durableId="1642494467">
    <w:abstractNumId w:val="8"/>
  </w:num>
  <w:num w:numId="11" w16cid:durableId="1295020552">
    <w:abstractNumId w:val="12"/>
  </w:num>
  <w:num w:numId="12" w16cid:durableId="75441128">
    <w:abstractNumId w:val="3"/>
  </w:num>
  <w:num w:numId="13" w16cid:durableId="1506506797">
    <w:abstractNumId w:val="0"/>
  </w:num>
  <w:num w:numId="14" w16cid:durableId="1063530945">
    <w:abstractNumId w:val="9"/>
  </w:num>
  <w:num w:numId="15" w16cid:durableId="1039083757">
    <w:abstractNumId w:val="16"/>
  </w:num>
  <w:num w:numId="16" w16cid:durableId="1031881065">
    <w:abstractNumId w:val="13"/>
  </w:num>
  <w:num w:numId="17" w16cid:durableId="1645425626">
    <w:abstractNumId w:val="2"/>
  </w:num>
  <w:num w:numId="18" w16cid:durableId="463232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D9B"/>
    <w:rsid w:val="003C52B2"/>
    <w:rsid w:val="008E3D9B"/>
    <w:rsid w:val="00D35096"/>
    <w:rsid w:val="00F95683"/>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091"/>
  <w15:docId w15:val="{47E9C1D3-F66B-4ED5-912A-7835A77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color w:val="434343"/>
      <w:sz w:val="22"/>
      <w:szCs w:val="22"/>
    </w:rPr>
  </w:style>
  <w:style w:type="paragraph" w:styleId="Heading2">
    <w:name w:val="heading 2"/>
    <w:basedOn w:val="Normal"/>
    <w:next w:val="Normal"/>
    <w:pPr>
      <w:keepNext/>
      <w:keepLines/>
      <w:spacing w:before="200"/>
      <w:outlineLvl w:val="1"/>
    </w:pPr>
    <w:rPr>
      <w:color w:val="666666"/>
    </w:rPr>
  </w:style>
  <w:style w:type="paragraph" w:styleId="Heading3">
    <w:name w:val="heading 3"/>
    <w:basedOn w:val="Normal"/>
    <w:next w:val="Normal"/>
    <w:pPr>
      <w:keepNext/>
      <w:keepLines/>
      <w:outlineLvl w:val="2"/>
    </w:pPr>
    <w:rPr>
      <w:b/>
      <w:color w:val="434343"/>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color w:val="20124D"/>
      <w:sz w:val="40"/>
      <w:szCs w:val="40"/>
    </w:rPr>
  </w:style>
  <w:style w:type="paragraph" w:styleId="Subtitle">
    <w:name w:val="Subtitle"/>
    <w:basedOn w:val="Normal"/>
    <w:next w:val="Normal"/>
    <w:pPr>
      <w:keepNext/>
      <w:keepLines/>
      <w:spacing w:before="60"/>
    </w:pPr>
    <w:rPr>
      <w:b/>
      <w:color w:val="FFD966"/>
      <w:sz w:val="24"/>
      <w:szCs w:val="24"/>
    </w:rPr>
  </w:style>
  <w:style w:type="table" w:customStyle="1" w:styleId="a">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tcPr>
      <w:shd w:val="clear" w:color="auto" w:fill="FDEADA"/>
    </w:tcPr>
  </w:style>
  <w:style w:type="table" w:customStyle="1" w:styleId="a0">
    <w:basedOn w:val="TableNormal"/>
    <w:pPr>
      <w:spacing w:line="240" w:lineRule="auto"/>
    </w:pPr>
    <w:rPr>
      <w:rFonts w:ascii="Cambria" w:eastAsia="Cambria" w:hAnsi="Cambria" w:cs="Cambria"/>
      <w:sz w:val="22"/>
      <w:szCs w:val="22"/>
    </w:rPr>
    <w:tblPr>
      <w:tblStyleRowBandSize w:val="1"/>
      <w:tblStyleColBandSize w:val="1"/>
      <w:tblCellMar>
        <w:left w:w="115" w:type="dxa"/>
        <w:right w:w="115" w:type="dxa"/>
      </w:tblCellMar>
    </w:tblPr>
    <w:tcPr>
      <w:shd w:val="clear" w:color="auto" w:fill="FDEADA"/>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5B5"/>
      </w:tcPr>
    </w:tblStylePr>
    <w:tblStylePr w:type="band1Horz">
      <w:tblPr/>
      <w:tcPr>
        <w:shd w:val="clear" w:color="auto" w:fill="FBD5B5"/>
      </w:tcPr>
    </w:tblStylePr>
  </w:style>
  <w:style w:type="paragraph" w:styleId="Header">
    <w:name w:val="header"/>
    <w:basedOn w:val="Normal"/>
    <w:link w:val="HeaderChar"/>
    <w:uiPriority w:val="99"/>
    <w:unhideWhenUsed/>
    <w:rsid w:val="00FF1B20"/>
    <w:pPr>
      <w:tabs>
        <w:tab w:val="center" w:pos="4680"/>
        <w:tab w:val="right" w:pos="9360"/>
      </w:tabs>
      <w:spacing w:line="240" w:lineRule="auto"/>
    </w:pPr>
  </w:style>
  <w:style w:type="character" w:customStyle="1" w:styleId="HeaderChar">
    <w:name w:val="Header Char"/>
    <w:basedOn w:val="DefaultParagraphFont"/>
    <w:link w:val="Header"/>
    <w:uiPriority w:val="99"/>
    <w:rsid w:val="00FF1B20"/>
  </w:style>
  <w:style w:type="paragraph" w:styleId="Footer">
    <w:name w:val="footer"/>
    <w:basedOn w:val="Normal"/>
    <w:link w:val="FooterChar"/>
    <w:uiPriority w:val="99"/>
    <w:unhideWhenUsed/>
    <w:rsid w:val="00FF1B20"/>
    <w:pPr>
      <w:tabs>
        <w:tab w:val="center" w:pos="4680"/>
        <w:tab w:val="right" w:pos="9360"/>
      </w:tabs>
      <w:spacing w:line="240" w:lineRule="auto"/>
    </w:pPr>
  </w:style>
  <w:style w:type="character" w:customStyle="1" w:styleId="FooterChar">
    <w:name w:val="Footer Char"/>
    <w:basedOn w:val="DefaultParagraphFont"/>
    <w:link w:val="Footer"/>
    <w:uiPriority w:val="99"/>
    <w:rsid w:val="00FF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 Al Yamin Chawdhury</dc:creator>
  <cp:lastModifiedBy>Shahab Al Yamin Chawdhury</cp:lastModifiedBy>
  <cp:revision>3</cp:revision>
  <dcterms:created xsi:type="dcterms:W3CDTF">2020-05-06T07:50:00Z</dcterms:created>
  <dcterms:modified xsi:type="dcterms:W3CDTF">2022-06-24T16:20:00Z</dcterms:modified>
</cp:coreProperties>
</file>