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411064" w14:textId="77777777" w:rsidR="00C87BA9" w:rsidRDefault="00C87BA9">
      <w:pPr>
        <w:spacing w:after="1600"/>
      </w:pPr>
    </w:p>
    <w:p w14:paraId="621E996D" w14:textId="77777777" w:rsidR="00C87BA9" w:rsidRDefault="00000000">
      <w:pPr>
        <w:spacing w:after="60"/>
      </w:pPr>
      <w:r>
        <w:rPr>
          <w:b/>
          <w:bCs/>
          <w:color w:val="1C2B36"/>
          <w:sz w:val="72"/>
          <w:szCs w:val="72"/>
        </w:rPr>
        <w:t>IoT Sensor Monitoring</w:t>
      </w:r>
    </w:p>
    <w:p w14:paraId="4AF0E747" w14:textId="77777777" w:rsidR="00C87BA9" w:rsidRDefault="00000000">
      <w:pPr>
        <w:spacing w:after="160"/>
      </w:pPr>
      <w:r>
        <w:rPr>
          <w:b/>
          <w:bCs/>
          <w:color w:val="0D7377"/>
          <w:sz w:val="72"/>
          <w:szCs w:val="72"/>
        </w:rPr>
        <w:t>Dashboard</w:t>
      </w:r>
    </w:p>
    <w:p w14:paraId="16E5723A" w14:textId="77777777" w:rsidR="00C87BA9" w:rsidRDefault="00C87BA9">
      <w:pPr>
        <w:pBdr>
          <w:bottom w:val="single" w:sz="20" w:space="1" w:color="0D7377"/>
        </w:pBdr>
        <w:spacing w:after="200"/>
      </w:pPr>
    </w:p>
    <w:p w14:paraId="7B5BCFF7" w14:textId="77777777" w:rsidR="00C87BA9" w:rsidRDefault="00000000">
      <w:pPr>
        <w:spacing w:after="600"/>
      </w:pPr>
      <w:r>
        <w:rPr>
          <w:color w:val="607D8B"/>
          <w:sz w:val="24"/>
          <w:szCs w:val="24"/>
        </w:rPr>
        <w:t>Technical Project Report  ·  Data Analytics &amp; Engineering Portfolio</w:t>
      </w:r>
    </w:p>
    <w:p w14:paraId="0C464014" w14:textId="77777777" w:rsidR="00C87BA9" w:rsidRDefault="00C87BA9">
      <w:pPr>
        <w:spacing w:after="400"/>
      </w:pPr>
    </w:p>
    <w:p w14:paraId="7E14F0CA" w14:textId="77777777" w:rsidR="00C87BA9" w:rsidRDefault="00000000">
      <w:pPr>
        <w:spacing w:after="60"/>
      </w:pPr>
      <w:r>
        <w:rPr>
          <w:b/>
          <w:bCs/>
          <w:caps/>
          <w:color w:val="0D7377"/>
          <w:sz w:val="16"/>
          <w:szCs w:val="16"/>
        </w:rPr>
        <w:t>PREPARED BY</w:t>
      </w:r>
    </w:p>
    <w:p w14:paraId="04667810" w14:textId="77777777" w:rsidR="00C87BA9" w:rsidRDefault="00000000">
      <w:pPr>
        <w:spacing w:after="80"/>
      </w:pPr>
      <w:r>
        <w:rPr>
          <w:b/>
          <w:bCs/>
          <w:color w:val="1C2B36"/>
          <w:sz w:val="34"/>
          <w:szCs w:val="34"/>
        </w:rPr>
        <w:t>Venkata Sai Krishna Baggu</w:t>
      </w:r>
    </w:p>
    <w:p w14:paraId="6A18A8E5" w14:textId="606A0960" w:rsidR="00C87BA9" w:rsidRDefault="00000000">
      <w:pPr>
        <w:spacing w:after="60"/>
      </w:pPr>
      <w:r>
        <w:rPr>
          <w:color w:val="607D8B"/>
        </w:rPr>
        <w:t xml:space="preserve">Data Engineer &amp; Analytics </w:t>
      </w:r>
      <w:r w:rsidR="00F67455">
        <w:rPr>
          <w:color w:val="607D8B"/>
        </w:rPr>
        <w:t>Developer · Portfolio</w:t>
      </w:r>
      <w:r>
        <w:rPr>
          <w:color w:val="607D8B"/>
        </w:rPr>
        <w:t xml:space="preserve"> Project</w:t>
      </w:r>
    </w:p>
    <w:p w14:paraId="4F14440A" w14:textId="77777777" w:rsidR="00C87BA9" w:rsidRDefault="00000000">
      <w:r>
        <w:rPr>
          <w:color w:val="607D8B"/>
        </w:rPr>
        <w:t>April 2026</w:t>
      </w:r>
    </w:p>
    <w:p w14:paraId="57830E38" w14:textId="77777777" w:rsidR="00C87BA9" w:rsidRDefault="00000000">
      <w:r>
        <w:br w:type="page"/>
      </w:r>
    </w:p>
    <w:p w14:paraId="59C56B56" w14:textId="77777777" w:rsidR="00C87BA9" w:rsidRDefault="00000000">
      <w:pPr>
        <w:pStyle w:val="Heading1"/>
        <w:shd w:val="clear" w:color="auto" w:fill="1C2B36"/>
        <w:spacing w:before="360"/>
      </w:pPr>
      <w:r>
        <w:rPr>
          <w:b w:val="0"/>
          <w:bCs w:val="0"/>
          <w:color w:val="14A085"/>
          <w:sz w:val="22"/>
          <w:szCs w:val="22"/>
        </w:rPr>
        <w:lastRenderedPageBreak/>
        <w:t xml:space="preserve">  01</w:t>
      </w:r>
      <w:r>
        <w:rPr>
          <w:color w:val="445566"/>
          <w:sz w:val="22"/>
          <w:szCs w:val="22"/>
        </w:rPr>
        <w:t xml:space="preserve">  |  </w:t>
      </w:r>
      <w:r>
        <w:t xml:space="preserve">Introduction  </w:t>
      </w:r>
    </w:p>
    <w:p w14:paraId="05B398CA" w14:textId="77777777" w:rsidR="00C87BA9" w:rsidRDefault="00C87BA9">
      <w:pPr>
        <w:spacing w:after="60"/>
      </w:pPr>
    </w:p>
    <w:p w14:paraId="55F928FD" w14:textId="77777777" w:rsidR="00C87BA9" w:rsidRDefault="00000000">
      <w:pPr>
        <w:spacing w:before="80" w:after="80"/>
        <w:jc w:val="both"/>
      </w:pPr>
      <w:r>
        <w:t xml:space="preserve">The proliferation of Internet of Things (IoT) technologies has fundamentally transformed how </w:t>
      </w:r>
      <w:proofErr w:type="spellStart"/>
      <w:r>
        <w:t>organisations</w:t>
      </w:r>
      <w:proofErr w:type="spellEnd"/>
      <w:r>
        <w:t xml:space="preserve"> monitor and manage their operational infrastructure. Modern industrial environments deploy hundreds — sometimes thousands — of connected sensors that continuously stream critical measurements including temperature, humidity, vibration, and pressure, generating high-frequency data at a scale that makes manual interpretation impossible.</w:t>
      </w:r>
    </w:p>
    <w:p w14:paraId="52A6672C" w14:textId="77777777" w:rsidR="00C87BA9" w:rsidRDefault="00C87BA9">
      <w:pPr>
        <w:spacing w:after="40"/>
      </w:pPr>
    </w:p>
    <w:p w14:paraId="54D0E716" w14:textId="77777777" w:rsidR="00C87BA9" w:rsidRDefault="00000000">
      <w:pPr>
        <w:spacing w:before="80" w:after="80"/>
        <w:jc w:val="both"/>
      </w:pPr>
      <w:r>
        <w:t>The challenge is no longer data collection; it is meaningful, real-time interpretation. Without intelligent monitoring systems, the sheer volume of sensor data becomes noise rather than signal — obscuring the anomalies and trends that directly impact operational efficiency, equipment longevity, and safety compliance.</w:t>
      </w:r>
    </w:p>
    <w:p w14:paraId="6D3E2A9B" w14:textId="77777777" w:rsidR="00C87BA9" w:rsidRDefault="00C87BA9">
      <w:pPr>
        <w:spacing w:after="40"/>
      </w:pPr>
    </w:p>
    <w:p w14:paraId="04F56091" w14:textId="77777777" w:rsidR="00C87BA9" w:rsidRDefault="00000000">
      <w:pPr>
        <w:pBdr>
          <w:left w:val="single" w:sz="18" w:space="4" w:color="0D7377"/>
        </w:pBdr>
        <w:shd w:val="clear" w:color="auto" w:fill="E8F6F5"/>
        <w:spacing w:before="100" w:after="100"/>
        <w:ind w:left="360" w:right="360"/>
        <w:jc w:val="both"/>
      </w:pPr>
      <w:r>
        <w:rPr>
          <w:i/>
          <w:iCs/>
          <w:color w:val="2C3E50"/>
        </w:rPr>
        <w:t>This report presents the complete design, architecture, and outcome of the IoT Sensor Monitoring Dashboard — a full-stack data analytics solution that transforms raw sensor streams into structured, actionable intelligence through an interactive Power BI reporting layer.</w:t>
      </w:r>
    </w:p>
    <w:p w14:paraId="54864FA6" w14:textId="77777777" w:rsidR="00C87BA9" w:rsidRDefault="00C87BA9">
      <w:pPr>
        <w:spacing w:after="40"/>
      </w:pPr>
    </w:p>
    <w:p w14:paraId="3FAA7D41" w14:textId="77777777" w:rsidR="00C87BA9" w:rsidRDefault="00000000">
      <w:pPr>
        <w:spacing w:before="80" w:after="80"/>
        <w:jc w:val="both"/>
      </w:pPr>
      <w:r>
        <w:t>Developed as a personal portfolio project, this solution demonstrates applied expertise across the end-to-end data engineering lifecycle: from synthetic data generation and relational database design, through SQL-based transformation and alerting logic, to professional-grade visual analytics.</w:t>
      </w:r>
    </w:p>
    <w:p w14:paraId="0A93FA50" w14:textId="77777777" w:rsidR="00C87BA9" w:rsidRDefault="00C87BA9">
      <w:pPr>
        <w:spacing w:after="80"/>
      </w:pPr>
    </w:p>
    <w:p w14:paraId="69F67E6A" w14:textId="77777777" w:rsidR="00C87BA9" w:rsidRDefault="00000000">
      <w:pPr>
        <w:pStyle w:val="Heading1"/>
        <w:shd w:val="clear" w:color="auto" w:fill="1C2B36"/>
        <w:spacing w:before="360"/>
      </w:pPr>
      <w:r>
        <w:rPr>
          <w:b w:val="0"/>
          <w:bCs w:val="0"/>
          <w:color w:val="14A085"/>
          <w:sz w:val="22"/>
          <w:szCs w:val="22"/>
        </w:rPr>
        <w:t xml:space="preserve">  02</w:t>
      </w:r>
      <w:r>
        <w:rPr>
          <w:color w:val="445566"/>
          <w:sz w:val="22"/>
          <w:szCs w:val="22"/>
        </w:rPr>
        <w:t xml:space="preserve">  |  </w:t>
      </w:r>
      <w:r>
        <w:t xml:space="preserve">Problem Statement  </w:t>
      </w:r>
    </w:p>
    <w:p w14:paraId="305CA0EB" w14:textId="77777777" w:rsidR="00C87BA9" w:rsidRDefault="00C87BA9">
      <w:pPr>
        <w:spacing w:after="60"/>
      </w:pPr>
    </w:p>
    <w:p w14:paraId="6C962D3D" w14:textId="59B6A3B4" w:rsidR="00C87BA9" w:rsidRDefault="00000000">
      <w:pPr>
        <w:spacing w:before="80" w:after="80"/>
        <w:jc w:val="both"/>
      </w:pPr>
      <w:r>
        <w:t xml:space="preserve">In large-scale IoT deployments, the absence of a </w:t>
      </w:r>
      <w:r w:rsidR="00F67455">
        <w:t>centralized</w:t>
      </w:r>
      <w:r>
        <w:t xml:space="preserve"> monitoring and analytics layer creates significant operational blind spots. Operations teams struggle to distinguish normal sensor variance from genuine fault signals, resulting in delayed responses, unplanned downtime, and reactive — rather than proactive — maintenance strategies.</w:t>
      </w:r>
    </w:p>
    <w:p w14:paraId="58525D24" w14:textId="77777777" w:rsidR="00C87BA9" w:rsidRDefault="00C87BA9">
      <w:pPr>
        <w:spacing w:after="40"/>
      </w:pPr>
    </w:p>
    <w:p w14:paraId="6ACC2224" w14:textId="77777777" w:rsidR="00C87BA9" w:rsidRDefault="00000000">
      <w:pPr>
        <w:spacing w:before="80" w:after="80"/>
        <w:jc w:val="both"/>
      </w:pPr>
      <w:r>
        <w:t>This project was designed to address three core operational challenges:</w:t>
      </w:r>
    </w:p>
    <w:p w14:paraId="3446A6C8" w14:textId="77777777" w:rsidR="00C87BA9" w:rsidRDefault="00C87BA9">
      <w:pPr>
        <w:spacing w:after="30"/>
      </w:pPr>
    </w:p>
    <w:p w14:paraId="1579091F" w14:textId="77777777" w:rsidR="00C87BA9" w:rsidRDefault="00000000">
      <w:pPr>
        <w:pStyle w:val="ListParagraph"/>
        <w:numPr>
          <w:ilvl w:val="0"/>
          <w:numId w:val="2"/>
        </w:numPr>
        <w:spacing w:before="50" w:after="50"/>
      </w:pPr>
      <w:r>
        <w:rPr>
          <w:b/>
          <w:bCs/>
          <w:color w:val="0D7377"/>
        </w:rPr>
        <w:t xml:space="preserve">Real-Time Visibility — </w:t>
      </w:r>
      <w:r>
        <w:t>the inability to monitor dozens of heterogeneous sensor types simultaneously across distributed device locations</w:t>
      </w:r>
    </w:p>
    <w:p w14:paraId="5F5FA228" w14:textId="77777777" w:rsidR="00C87BA9" w:rsidRDefault="00000000">
      <w:pPr>
        <w:pStyle w:val="ListParagraph"/>
        <w:numPr>
          <w:ilvl w:val="0"/>
          <w:numId w:val="2"/>
        </w:numPr>
        <w:spacing w:before="50" w:after="50"/>
      </w:pPr>
      <w:r>
        <w:rPr>
          <w:b/>
          <w:bCs/>
          <w:color w:val="0D7377"/>
        </w:rPr>
        <w:t xml:space="preserve">Threshold Intelligence — </w:t>
      </w:r>
      <w:r>
        <w:t>the lack of automated detection when sensor readings breach safe operating limits, forcing reliance on manual inspection</w:t>
      </w:r>
    </w:p>
    <w:p w14:paraId="72DCC5B3" w14:textId="77777777" w:rsidR="00C87BA9" w:rsidRDefault="00000000">
      <w:pPr>
        <w:pStyle w:val="ListParagraph"/>
        <w:numPr>
          <w:ilvl w:val="0"/>
          <w:numId w:val="2"/>
        </w:numPr>
        <w:spacing w:before="50" w:after="50"/>
      </w:pPr>
      <w:r>
        <w:rPr>
          <w:b/>
          <w:bCs/>
          <w:color w:val="0D7377"/>
        </w:rPr>
        <w:t xml:space="preserve">Analytical Depth — </w:t>
      </w:r>
      <w:r>
        <w:t>the absence of trend analysis tools to identify recurring patterns, seasonal anomalies, or deteriorating device health over time</w:t>
      </w:r>
    </w:p>
    <w:p w14:paraId="1A9956D2" w14:textId="77777777" w:rsidR="00C87BA9" w:rsidRDefault="00C87BA9">
      <w:pPr>
        <w:spacing w:after="40"/>
      </w:pPr>
    </w:p>
    <w:p w14:paraId="07A47442" w14:textId="77777777" w:rsidR="00C87BA9" w:rsidRDefault="00000000">
      <w:pPr>
        <w:pBdr>
          <w:left w:val="single" w:sz="18" w:space="4" w:color="0D7377"/>
        </w:pBdr>
        <w:shd w:val="clear" w:color="auto" w:fill="E8F6F5"/>
        <w:spacing w:before="100" w:after="100"/>
        <w:ind w:left="360" w:right="360"/>
        <w:jc w:val="both"/>
      </w:pPr>
      <w:r>
        <w:rPr>
          <w:i/>
          <w:iCs/>
          <w:color w:val="2C3E50"/>
        </w:rPr>
        <w:t>The goal: design a system that transforms fragmented sensor data into a unified, decision-ready intelligence platform accessible to both technical teams and non-technical stakeholders.</w:t>
      </w:r>
    </w:p>
    <w:p w14:paraId="4B0CC3C5" w14:textId="77777777" w:rsidR="00C87BA9" w:rsidRDefault="00C87BA9">
      <w:pPr>
        <w:spacing w:after="80"/>
      </w:pPr>
    </w:p>
    <w:p w14:paraId="43BF3475" w14:textId="77777777" w:rsidR="00C87BA9" w:rsidRDefault="00000000">
      <w:pPr>
        <w:pStyle w:val="Heading1"/>
        <w:shd w:val="clear" w:color="auto" w:fill="1C2B36"/>
        <w:spacing w:before="360"/>
      </w:pPr>
      <w:r>
        <w:rPr>
          <w:b w:val="0"/>
          <w:bCs w:val="0"/>
          <w:color w:val="14A085"/>
          <w:sz w:val="22"/>
          <w:szCs w:val="22"/>
        </w:rPr>
        <w:t xml:space="preserve">  03</w:t>
      </w:r>
      <w:r>
        <w:rPr>
          <w:color w:val="445566"/>
          <w:sz w:val="22"/>
          <w:szCs w:val="22"/>
        </w:rPr>
        <w:t xml:space="preserve">  |  </w:t>
      </w:r>
      <w:r>
        <w:t xml:space="preserve">Project Objectives  </w:t>
      </w:r>
    </w:p>
    <w:p w14:paraId="194C48D1" w14:textId="77777777" w:rsidR="00C87BA9" w:rsidRDefault="00C87BA9">
      <w:pPr>
        <w:spacing w:after="60"/>
      </w:pPr>
    </w:p>
    <w:p w14:paraId="1E924B60" w14:textId="77777777" w:rsidR="00C87BA9" w:rsidRDefault="00000000">
      <w:pPr>
        <w:spacing w:before="80" w:after="80"/>
        <w:jc w:val="both"/>
      </w:pPr>
      <w:r>
        <w:lastRenderedPageBreak/>
        <w:t>The following objectives defined the scope and success criteria for this project:</w:t>
      </w:r>
    </w:p>
    <w:p w14:paraId="6D62665B" w14:textId="77777777" w:rsidR="00C87BA9" w:rsidRDefault="00C87BA9">
      <w:pPr>
        <w:spacing w:after="30"/>
      </w:pPr>
    </w:p>
    <w:p w14:paraId="72FDB202" w14:textId="3BAEFFC2" w:rsidR="00C87BA9" w:rsidRDefault="00000000">
      <w:pPr>
        <w:pStyle w:val="ListParagraph"/>
        <w:numPr>
          <w:ilvl w:val="0"/>
          <w:numId w:val="2"/>
        </w:numPr>
        <w:spacing w:before="50" w:after="50"/>
      </w:pPr>
      <w:r>
        <w:rPr>
          <w:b/>
          <w:bCs/>
          <w:color w:val="0D7377"/>
        </w:rPr>
        <w:t xml:space="preserve">Data Simulation — </w:t>
      </w:r>
      <w:r>
        <w:t xml:space="preserve">generate realistic, multi-sensor IoT data programmatically using Python to replicate real-world device </w:t>
      </w:r>
      <w:r w:rsidR="00F67455">
        <w:t>behavior</w:t>
      </w:r>
    </w:p>
    <w:p w14:paraId="09A2E7CC" w14:textId="7EA96EC3" w:rsidR="00C87BA9" w:rsidRDefault="00000000">
      <w:pPr>
        <w:pStyle w:val="ListParagraph"/>
        <w:numPr>
          <w:ilvl w:val="0"/>
          <w:numId w:val="2"/>
        </w:numPr>
        <w:spacing w:before="50" w:after="50"/>
      </w:pPr>
      <w:r>
        <w:rPr>
          <w:b/>
          <w:bCs/>
          <w:color w:val="0D7377"/>
        </w:rPr>
        <w:t xml:space="preserve">Persistent Storage — </w:t>
      </w:r>
      <w:r>
        <w:t xml:space="preserve">design and implement a </w:t>
      </w:r>
      <w:r w:rsidR="00F67455">
        <w:t>normalized</w:t>
      </w:r>
      <w:r>
        <w:t xml:space="preserve"> PostgreSQL relational database schema </w:t>
      </w:r>
      <w:r w:rsidR="00F67455">
        <w:t>optimized</w:t>
      </w:r>
      <w:r>
        <w:t xml:space="preserve"> for time-series sensor ingestion</w:t>
      </w:r>
    </w:p>
    <w:p w14:paraId="49A33455" w14:textId="77777777" w:rsidR="00C87BA9" w:rsidRDefault="00000000">
      <w:pPr>
        <w:pStyle w:val="ListParagraph"/>
        <w:numPr>
          <w:ilvl w:val="0"/>
          <w:numId w:val="2"/>
        </w:numPr>
        <w:spacing w:before="50" w:after="50"/>
      </w:pPr>
      <w:r>
        <w:rPr>
          <w:b/>
          <w:bCs/>
          <w:color w:val="0D7377"/>
        </w:rPr>
        <w:t xml:space="preserve">Alert Detection — </w:t>
      </w:r>
      <w:r>
        <w:t>build SQL-driven threshold logic to automatically classify sensor readings as normal, warning, or critical</w:t>
      </w:r>
    </w:p>
    <w:p w14:paraId="151B75B3" w14:textId="77777777" w:rsidR="00C87BA9" w:rsidRDefault="00000000">
      <w:pPr>
        <w:pStyle w:val="ListParagraph"/>
        <w:numPr>
          <w:ilvl w:val="0"/>
          <w:numId w:val="2"/>
        </w:numPr>
        <w:spacing w:before="50" w:after="50"/>
      </w:pPr>
      <w:r>
        <w:rPr>
          <w:b/>
          <w:bCs/>
          <w:color w:val="0D7377"/>
        </w:rPr>
        <w:t xml:space="preserve">Visual Analytics — </w:t>
      </w:r>
      <w:r>
        <w:t>develop a multi-page, interactive Power BI dashboard serving executive, operational, and analytical use cases</w:t>
      </w:r>
    </w:p>
    <w:p w14:paraId="597F1F2E" w14:textId="77777777" w:rsidR="00C87BA9" w:rsidRDefault="00000000">
      <w:pPr>
        <w:pStyle w:val="ListParagraph"/>
        <w:numPr>
          <w:ilvl w:val="0"/>
          <w:numId w:val="2"/>
        </w:numPr>
        <w:spacing w:before="50" w:after="50"/>
      </w:pPr>
      <w:r>
        <w:rPr>
          <w:b/>
          <w:bCs/>
          <w:color w:val="0D7377"/>
        </w:rPr>
        <w:t xml:space="preserve">Trend &amp; Anomaly Analysis — </w:t>
      </w:r>
      <w:r>
        <w:t>surface longitudinal patterns, seasonal fluctuations, and device-level anomalies to support predictive decision-making</w:t>
      </w:r>
    </w:p>
    <w:p w14:paraId="7CDC08AA" w14:textId="77777777" w:rsidR="00C87BA9" w:rsidRDefault="00C87BA9">
      <w:pPr>
        <w:spacing w:after="80"/>
      </w:pPr>
    </w:p>
    <w:p w14:paraId="2045639C" w14:textId="77777777" w:rsidR="00C87BA9" w:rsidRDefault="00000000">
      <w:pPr>
        <w:pStyle w:val="Heading1"/>
        <w:shd w:val="clear" w:color="auto" w:fill="1C2B36"/>
        <w:spacing w:before="360"/>
      </w:pPr>
      <w:r>
        <w:rPr>
          <w:b w:val="0"/>
          <w:bCs w:val="0"/>
          <w:color w:val="14A085"/>
          <w:sz w:val="22"/>
          <w:szCs w:val="22"/>
        </w:rPr>
        <w:t xml:space="preserve">  04</w:t>
      </w:r>
      <w:r>
        <w:rPr>
          <w:color w:val="445566"/>
          <w:sz w:val="22"/>
          <w:szCs w:val="22"/>
        </w:rPr>
        <w:t xml:space="preserve">  |  </w:t>
      </w:r>
      <w:r>
        <w:t xml:space="preserve">Tools &amp; Technologies  </w:t>
      </w:r>
    </w:p>
    <w:p w14:paraId="210B2945" w14:textId="77777777" w:rsidR="00C87BA9" w:rsidRDefault="00C87BA9">
      <w:pPr>
        <w:spacing w:after="60"/>
      </w:pPr>
    </w:p>
    <w:p w14:paraId="443B0E7D" w14:textId="77777777" w:rsidR="00C87BA9" w:rsidRDefault="00000000">
      <w:pPr>
        <w:spacing w:before="80" w:after="80"/>
        <w:jc w:val="both"/>
      </w:pPr>
      <w:r>
        <w:t>The technology stack was selected to reflect industry-standard tools used in modern data engineering and analytics workflows. Each component plays a clearly defined role within the pipeline architecture:</w:t>
      </w:r>
    </w:p>
    <w:p w14:paraId="28A7A3C2" w14:textId="77777777" w:rsidR="00C87BA9" w:rsidRDefault="00C87BA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0"/>
        <w:gridCol w:w="2400"/>
        <w:gridCol w:w="2200"/>
        <w:gridCol w:w="2800"/>
      </w:tblGrid>
      <w:tr w:rsidR="00C87BA9" w14:paraId="7FE65CAF" w14:textId="77777777">
        <w:tblPrEx>
          <w:tblCellMar>
            <w:top w:w="0" w:type="dxa"/>
            <w:bottom w:w="0" w:type="dxa"/>
          </w:tblCellMar>
        </w:tblPrEx>
        <w:tc>
          <w:tcPr>
            <w:tcW w:w="1960" w:type="dxa"/>
            <w:tcBorders>
              <w:top w:val="single" w:sz="1" w:space="0" w:color="C8D8DC"/>
              <w:left w:val="single" w:sz="1" w:space="0" w:color="C8D8DC"/>
              <w:bottom w:val="single" w:sz="1" w:space="0" w:color="C8D8DC"/>
              <w:right w:val="single" w:sz="1" w:space="0" w:color="C8D8DC"/>
            </w:tcBorders>
            <w:shd w:val="clear" w:color="auto" w:fill="1C2B36"/>
            <w:tcMar>
              <w:top w:w="110" w:type="dxa"/>
              <w:left w:w="160" w:type="dxa"/>
              <w:bottom w:w="110" w:type="dxa"/>
              <w:right w:w="160" w:type="dxa"/>
            </w:tcMar>
            <w:vAlign w:val="center"/>
          </w:tcPr>
          <w:p w14:paraId="424214DB" w14:textId="77777777" w:rsidR="00C87BA9" w:rsidRDefault="00000000">
            <w:r>
              <w:rPr>
                <w:b/>
                <w:bCs/>
                <w:color w:val="FFFFFF"/>
                <w:sz w:val="20"/>
                <w:szCs w:val="20"/>
              </w:rPr>
              <w:t>Technology</w:t>
            </w:r>
          </w:p>
        </w:tc>
        <w:tc>
          <w:tcPr>
            <w:tcW w:w="2400" w:type="dxa"/>
            <w:tcBorders>
              <w:top w:val="single" w:sz="1" w:space="0" w:color="C8D8DC"/>
              <w:left w:val="single" w:sz="1" w:space="0" w:color="C8D8DC"/>
              <w:bottom w:val="single" w:sz="1" w:space="0" w:color="C8D8DC"/>
              <w:right w:val="single" w:sz="1" w:space="0" w:color="C8D8DC"/>
            </w:tcBorders>
            <w:shd w:val="clear" w:color="auto" w:fill="1C2B36"/>
            <w:tcMar>
              <w:top w:w="110" w:type="dxa"/>
              <w:left w:w="160" w:type="dxa"/>
              <w:bottom w:w="110" w:type="dxa"/>
              <w:right w:w="160" w:type="dxa"/>
            </w:tcMar>
            <w:vAlign w:val="center"/>
          </w:tcPr>
          <w:p w14:paraId="7C26E50E" w14:textId="77777777" w:rsidR="00C87BA9" w:rsidRDefault="00000000">
            <w:r>
              <w:rPr>
                <w:b/>
                <w:bCs/>
                <w:color w:val="FFFFFF"/>
                <w:sz w:val="20"/>
                <w:szCs w:val="20"/>
              </w:rPr>
              <w:t>Version / Component</w:t>
            </w:r>
          </w:p>
        </w:tc>
        <w:tc>
          <w:tcPr>
            <w:tcW w:w="2200" w:type="dxa"/>
            <w:tcBorders>
              <w:top w:val="single" w:sz="1" w:space="0" w:color="C8D8DC"/>
              <w:left w:val="single" w:sz="1" w:space="0" w:color="C8D8DC"/>
              <w:bottom w:val="single" w:sz="1" w:space="0" w:color="C8D8DC"/>
              <w:right w:val="single" w:sz="1" w:space="0" w:color="C8D8DC"/>
            </w:tcBorders>
            <w:shd w:val="clear" w:color="auto" w:fill="1C2B36"/>
            <w:tcMar>
              <w:top w:w="110" w:type="dxa"/>
              <w:left w:w="160" w:type="dxa"/>
              <w:bottom w:w="110" w:type="dxa"/>
              <w:right w:w="160" w:type="dxa"/>
            </w:tcMar>
            <w:vAlign w:val="center"/>
          </w:tcPr>
          <w:p w14:paraId="7B2E3F92" w14:textId="77777777" w:rsidR="00C87BA9" w:rsidRDefault="00000000">
            <w:r>
              <w:rPr>
                <w:b/>
                <w:bCs/>
                <w:color w:val="FFFFFF"/>
                <w:sz w:val="20"/>
                <w:szCs w:val="20"/>
              </w:rPr>
              <w:t>Role in Project</w:t>
            </w:r>
          </w:p>
        </w:tc>
        <w:tc>
          <w:tcPr>
            <w:tcW w:w="2800" w:type="dxa"/>
            <w:tcBorders>
              <w:top w:val="single" w:sz="1" w:space="0" w:color="C8D8DC"/>
              <w:left w:val="single" w:sz="1" w:space="0" w:color="C8D8DC"/>
              <w:bottom w:val="single" w:sz="1" w:space="0" w:color="C8D8DC"/>
              <w:right w:val="single" w:sz="1" w:space="0" w:color="C8D8DC"/>
            </w:tcBorders>
            <w:shd w:val="clear" w:color="auto" w:fill="1C2B36"/>
            <w:tcMar>
              <w:top w:w="110" w:type="dxa"/>
              <w:left w:w="160" w:type="dxa"/>
              <w:bottom w:w="110" w:type="dxa"/>
              <w:right w:w="160" w:type="dxa"/>
            </w:tcMar>
            <w:vAlign w:val="center"/>
          </w:tcPr>
          <w:p w14:paraId="3849BD0D" w14:textId="77777777" w:rsidR="00C87BA9" w:rsidRDefault="00000000">
            <w:r>
              <w:rPr>
                <w:b/>
                <w:bCs/>
                <w:color w:val="FFFFFF"/>
                <w:sz w:val="20"/>
                <w:szCs w:val="20"/>
              </w:rPr>
              <w:t>Key Contribution</w:t>
            </w:r>
          </w:p>
        </w:tc>
      </w:tr>
      <w:tr w:rsidR="00C87BA9" w14:paraId="1DE666C9" w14:textId="77777777">
        <w:tblPrEx>
          <w:tblCellMar>
            <w:top w:w="0" w:type="dxa"/>
            <w:bottom w:w="0" w:type="dxa"/>
          </w:tblCellMar>
        </w:tblPrEx>
        <w:tc>
          <w:tcPr>
            <w:tcW w:w="1960" w:type="dxa"/>
            <w:tcBorders>
              <w:top w:val="single" w:sz="1" w:space="0" w:color="C8D8DC"/>
              <w:left w:val="single" w:sz="1" w:space="0" w:color="C8D8DC"/>
              <w:bottom w:val="single" w:sz="1" w:space="0" w:color="C8D8DC"/>
              <w:right w:val="single" w:sz="1" w:space="0" w:color="C8D8DC"/>
            </w:tcBorders>
            <w:shd w:val="clear" w:color="auto" w:fill="FFFFFF"/>
            <w:tcMar>
              <w:top w:w="90" w:type="dxa"/>
              <w:left w:w="160" w:type="dxa"/>
              <w:bottom w:w="90" w:type="dxa"/>
              <w:right w:w="160" w:type="dxa"/>
            </w:tcMar>
            <w:vAlign w:val="center"/>
          </w:tcPr>
          <w:p w14:paraId="437E91EC" w14:textId="77777777" w:rsidR="00C87BA9" w:rsidRDefault="00000000">
            <w:r>
              <w:rPr>
                <w:b/>
                <w:bCs/>
                <w:color w:val="0D7377"/>
                <w:sz w:val="20"/>
                <w:szCs w:val="20"/>
              </w:rPr>
              <w:t>Python</w:t>
            </w:r>
          </w:p>
        </w:tc>
        <w:tc>
          <w:tcPr>
            <w:tcW w:w="2400" w:type="dxa"/>
            <w:tcBorders>
              <w:top w:val="single" w:sz="1" w:space="0" w:color="C8D8DC"/>
              <w:left w:val="single" w:sz="1" w:space="0" w:color="C8D8DC"/>
              <w:bottom w:val="single" w:sz="1" w:space="0" w:color="C8D8DC"/>
              <w:right w:val="single" w:sz="1" w:space="0" w:color="C8D8DC"/>
            </w:tcBorders>
            <w:shd w:val="clear" w:color="auto" w:fill="FFFFFF"/>
            <w:tcMar>
              <w:top w:w="90" w:type="dxa"/>
              <w:left w:w="160" w:type="dxa"/>
              <w:bottom w:w="90" w:type="dxa"/>
              <w:right w:w="160" w:type="dxa"/>
            </w:tcMar>
            <w:vAlign w:val="center"/>
          </w:tcPr>
          <w:p w14:paraId="69B0D762" w14:textId="77777777" w:rsidR="00C87BA9" w:rsidRDefault="00000000">
            <w:r>
              <w:rPr>
                <w:sz w:val="20"/>
                <w:szCs w:val="20"/>
              </w:rPr>
              <w:t>Pandas · NumPy</w:t>
            </w:r>
          </w:p>
        </w:tc>
        <w:tc>
          <w:tcPr>
            <w:tcW w:w="2200" w:type="dxa"/>
            <w:tcBorders>
              <w:top w:val="single" w:sz="1" w:space="0" w:color="C8D8DC"/>
              <w:left w:val="single" w:sz="1" w:space="0" w:color="C8D8DC"/>
              <w:bottom w:val="single" w:sz="1" w:space="0" w:color="C8D8DC"/>
              <w:right w:val="single" w:sz="1" w:space="0" w:color="C8D8DC"/>
            </w:tcBorders>
            <w:shd w:val="clear" w:color="auto" w:fill="FFFFFF"/>
            <w:tcMar>
              <w:top w:w="90" w:type="dxa"/>
              <w:left w:w="160" w:type="dxa"/>
              <w:bottom w:w="90" w:type="dxa"/>
              <w:right w:w="160" w:type="dxa"/>
            </w:tcMar>
            <w:vAlign w:val="center"/>
          </w:tcPr>
          <w:p w14:paraId="4043C3D6" w14:textId="77777777" w:rsidR="00C87BA9" w:rsidRDefault="00000000">
            <w:r>
              <w:rPr>
                <w:sz w:val="20"/>
                <w:szCs w:val="20"/>
              </w:rPr>
              <w:t>Data Engineering</w:t>
            </w:r>
          </w:p>
        </w:tc>
        <w:tc>
          <w:tcPr>
            <w:tcW w:w="2800" w:type="dxa"/>
            <w:tcBorders>
              <w:top w:val="single" w:sz="1" w:space="0" w:color="C8D8DC"/>
              <w:left w:val="single" w:sz="1" w:space="0" w:color="C8D8DC"/>
              <w:bottom w:val="single" w:sz="1" w:space="0" w:color="C8D8DC"/>
              <w:right w:val="single" w:sz="1" w:space="0" w:color="C8D8DC"/>
            </w:tcBorders>
            <w:shd w:val="clear" w:color="auto" w:fill="FFFFFF"/>
            <w:tcMar>
              <w:top w:w="90" w:type="dxa"/>
              <w:left w:w="160" w:type="dxa"/>
              <w:bottom w:w="90" w:type="dxa"/>
              <w:right w:w="160" w:type="dxa"/>
            </w:tcMar>
            <w:vAlign w:val="center"/>
          </w:tcPr>
          <w:p w14:paraId="02BCBE8A" w14:textId="77777777" w:rsidR="00C87BA9" w:rsidRDefault="00000000">
            <w:r>
              <w:rPr>
                <w:sz w:val="20"/>
                <w:szCs w:val="20"/>
              </w:rPr>
              <w:t>Synthetic IoT data generation, preprocessing &amp; CSV export</w:t>
            </w:r>
          </w:p>
        </w:tc>
      </w:tr>
      <w:tr w:rsidR="00C87BA9" w14:paraId="1FE7BEB5" w14:textId="77777777">
        <w:tblPrEx>
          <w:tblCellMar>
            <w:top w:w="0" w:type="dxa"/>
            <w:bottom w:w="0" w:type="dxa"/>
          </w:tblCellMar>
        </w:tblPrEx>
        <w:tc>
          <w:tcPr>
            <w:tcW w:w="1960" w:type="dxa"/>
            <w:tcBorders>
              <w:top w:val="single" w:sz="1" w:space="0" w:color="C8D8DC"/>
              <w:left w:val="single" w:sz="1" w:space="0" w:color="C8D8DC"/>
              <w:bottom w:val="single" w:sz="1" w:space="0" w:color="C8D8DC"/>
              <w:right w:val="single" w:sz="1" w:space="0" w:color="C8D8DC"/>
            </w:tcBorders>
            <w:shd w:val="clear" w:color="auto" w:fill="E8F6F5"/>
            <w:tcMar>
              <w:top w:w="90" w:type="dxa"/>
              <w:left w:w="160" w:type="dxa"/>
              <w:bottom w:w="90" w:type="dxa"/>
              <w:right w:w="160" w:type="dxa"/>
            </w:tcMar>
            <w:vAlign w:val="center"/>
          </w:tcPr>
          <w:p w14:paraId="2B01FEC5" w14:textId="77777777" w:rsidR="00C87BA9" w:rsidRDefault="00000000">
            <w:r>
              <w:rPr>
                <w:b/>
                <w:bCs/>
                <w:color w:val="0D7377"/>
                <w:sz w:val="20"/>
                <w:szCs w:val="20"/>
              </w:rPr>
              <w:t>PostgreSQL</w:t>
            </w:r>
          </w:p>
        </w:tc>
        <w:tc>
          <w:tcPr>
            <w:tcW w:w="2400" w:type="dxa"/>
            <w:tcBorders>
              <w:top w:val="single" w:sz="1" w:space="0" w:color="C8D8DC"/>
              <w:left w:val="single" w:sz="1" w:space="0" w:color="C8D8DC"/>
              <w:bottom w:val="single" w:sz="1" w:space="0" w:color="C8D8DC"/>
              <w:right w:val="single" w:sz="1" w:space="0" w:color="C8D8DC"/>
            </w:tcBorders>
            <w:shd w:val="clear" w:color="auto" w:fill="E8F6F5"/>
            <w:tcMar>
              <w:top w:w="90" w:type="dxa"/>
              <w:left w:w="160" w:type="dxa"/>
              <w:bottom w:w="90" w:type="dxa"/>
              <w:right w:w="160" w:type="dxa"/>
            </w:tcMar>
            <w:vAlign w:val="center"/>
          </w:tcPr>
          <w:p w14:paraId="06979C91" w14:textId="77777777" w:rsidR="00C87BA9" w:rsidRDefault="00000000">
            <w:r>
              <w:rPr>
                <w:sz w:val="20"/>
                <w:szCs w:val="20"/>
              </w:rPr>
              <w:t>v15 · Relational DB</w:t>
            </w:r>
          </w:p>
        </w:tc>
        <w:tc>
          <w:tcPr>
            <w:tcW w:w="2200" w:type="dxa"/>
            <w:tcBorders>
              <w:top w:val="single" w:sz="1" w:space="0" w:color="C8D8DC"/>
              <w:left w:val="single" w:sz="1" w:space="0" w:color="C8D8DC"/>
              <w:bottom w:val="single" w:sz="1" w:space="0" w:color="C8D8DC"/>
              <w:right w:val="single" w:sz="1" w:space="0" w:color="C8D8DC"/>
            </w:tcBorders>
            <w:shd w:val="clear" w:color="auto" w:fill="E8F6F5"/>
            <w:tcMar>
              <w:top w:w="90" w:type="dxa"/>
              <w:left w:w="160" w:type="dxa"/>
              <w:bottom w:w="90" w:type="dxa"/>
              <w:right w:w="160" w:type="dxa"/>
            </w:tcMar>
            <w:vAlign w:val="center"/>
          </w:tcPr>
          <w:p w14:paraId="015E27B8" w14:textId="77777777" w:rsidR="00C87BA9" w:rsidRDefault="00000000">
            <w:r>
              <w:rPr>
                <w:sz w:val="20"/>
                <w:szCs w:val="20"/>
              </w:rPr>
              <w:t>Data Storage</w:t>
            </w:r>
          </w:p>
        </w:tc>
        <w:tc>
          <w:tcPr>
            <w:tcW w:w="2800" w:type="dxa"/>
            <w:tcBorders>
              <w:top w:val="single" w:sz="1" w:space="0" w:color="C8D8DC"/>
              <w:left w:val="single" w:sz="1" w:space="0" w:color="C8D8DC"/>
              <w:bottom w:val="single" w:sz="1" w:space="0" w:color="C8D8DC"/>
              <w:right w:val="single" w:sz="1" w:space="0" w:color="C8D8DC"/>
            </w:tcBorders>
            <w:shd w:val="clear" w:color="auto" w:fill="E8F6F5"/>
            <w:tcMar>
              <w:top w:w="90" w:type="dxa"/>
              <w:left w:w="160" w:type="dxa"/>
              <w:bottom w:w="90" w:type="dxa"/>
              <w:right w:w="160" w:type="dxa"/>
            </w:tcMar>
            <w:vAlign w:val="center"/>
          </w:tcPr>
          <w:p w14:paraId="1426646F" w14:textId="77777777" w:rsidR="00C87BA9" w:rsidRDefault="00000000">
            <w:r>
              <w:rPr>
                <w:sz w:val="20"/>
                <w:szCs w:val="20"/>
              </w:rPr>
              <w:t>Schema design, data persistence &amp; relationship management</w:t>
            </w:r>
          </w:p>
        </w:tc>
      </w:tr>
      <w:tr w:rsidR="00C87BA9" w14:paraId="5EC231C3" w14:textId="77777777">
        <w:tblPrEx>
          <w:tblCellMar>
            <w:top w:w="0" w:type="dxa"/>
            <w:bottom w:w="0" w:type="dxa"/>
          </w:tblCellMar>
        </w:tblPrEx>
        <w:tc>
          <w:tcPr>
            <w:tcW w:w="1960" w:type="dxa"/>
            <w:tcBorders>
              <w:top w:val="single" w:sz="1" w:space="0" w:color="C8D8DC"/>
              <w:left w:val="single" w:sz="1" w:space="0" w:color="C8D8DC"/>
              <w:bottom w:val="single" w:sz="1" w:space="0" w:color="C8D8DC"/>
              <w:right w:val="single" w:sz="1" w:space="0" w:color="C8D8DC"/>
            </w:tcBorders>
            <w:shd w:val="clear" w:color="auto" w:fill="FFFFFF"/>
            <w:tcMar>
              <w:top w:w="90" w:type="dxa"/>
              <w:left w:w="160" w:type="dxa"/>
              <w:bottom w:w="90" w:type="dxa"/>
              <w:right w:w="160" w:type="dxa"/>
            </w:tcMar>
            <w:vAlign w:val="center"/>
          </w:tcPr>
          <w:p w14:paraId="188BF691" w14:textId="77777777" w:rsidR="00C87BA9" w:rsidRDefault="00000000">
            <w:r>
              <w:rPr>
                <w:b/>
                <w:bCs/>
                <w:color w:val="0D7377"/>
                <w:sz w:val="20"/>
                <w:szCs w:val="20"/>
              </w:rPr>
              <w:t>SQL</w:t>
            </w:r>
          </w:p>
        </w:tc>
        <w:tc>
          <w:tcPr>
            <w:tcW w:w="2400" w:type="dxa"/>
            <w:tcBorders>
              <w:top w:val="single" w:sz="1" w:space="0" w:color="C8D8DC"/>
              <w:left w:val="single" w:sz="1" w:space="0" w:color="C8D8DC"/>
              <w:bottom w:val="single" w:sz="1" w:space="0" w:color="C8D8DC"/>
              <w:right w:val="single" w:sz="1" w:space="0" w:color="C8D8DC"/>
            </w:tcBorders>
            <w:shd w:val="clear" w:color="auto" w:fill="FFFFFF"/>
            <w:tcMar>
              <w:top w:w="90" w:type="dxa"/>
              <w:left w:w="160" w:type="dxa"/>
              <w:bottom w:w="90" w:type="dxa"/>
              <w:right w:w="160" w:type="dxa"/>
            </w:tcMar>
            <w:vAlign w:val="center"/>
          </w:tcPr>
          <w:p w14:paraId="4C7EDB79" w14:textId="77777777" w:rsidR="00C87BA9" w:rsidRDefault="00000000">
            <w:r>
              <w:rPr>
                <w:sz w:val="20"/>
                <w:szCs w:val="20"/>
              </w:rPr>
              <w:t>DDL · DML · Views</w:t>
            </w:r>
          </w:p>
        </w:tc>
        <w:tc>
          <w:tcPr>
            <w:tcW w:w="2200" w:type="dxa"/>
            <w:tcBorders>
              <w:top w:val="single" w:sz="1" w:space="0" w:color="C8D8DC"/>
              <w:left w:val="single" w:sz="1" w:space="0" w:color="C8D8DC"/>
              <w:bottom w:val="single" w:sz="1" w:space="0" w:color="C8D8DC"/>
              <w:right w:val="single" w:sz="1" w:space="0" w:color="C8D8DC"/>
            </w:tcBorders>
            <w:shd w:val="clear" w:color="auto" w:fill="FFFFFF"/>
            <w:tcMar>
              <w:top w:w="90" w:type="dxa"/>
              <w:left w:w="160" w:type="dxa"/>
              <w:bottom w:w="90" w:type="dxa"/>
              <w:right w:w="160" w:type="dxa"/>
            </w:tcMar>
            <w:vAlign w:val="center"/>
          </w:tcPr>
          <w:p w14:paraId="39B69B65" w14:textId="77777777" w:rsidR="00C87BA9" w:rsidRDefault="00000000">
            <w:r>
              <w:rPr>
                <w:sz w:val="20"/>
                <w:szCs w:val="20"/>
              </w:rPr>
              <w:t>Transformation Layer</w:t>
            </w:r>
          </w:p>
        </w:tc>
        <w:tc>
          <w:tcPr>
            <w:tcW w:w="2800" w:type="dxa"/>
            <w:tcBorders>
              <w:top w:val="single" w:sz="1" w:space="0" w:color="C8D8DC"/>
              <w:left w:val="single" w:sz="1" w:space="0" w:color="C8D8DC"/>
              <w:bottom w:val="single" w:sz="1" w:space="0" w:color="C8D8DC"/>
              <w:right w:val="single" w:sz="1" w:space="0" w:color="C8D8DC"/>
            </w:tcBorders>
            <w:shd w:val="clear" w:color="auto" w:fill="FFFFFF"/>
            <w:tcMar>
              <w:top w:w="90" w:type="dxa"/>
              <w:left w:w="160" w:type="dxa"/>
              <w:bottom w:w="90" w:type="dxa"/>
              <w:right w:w="160" w:type="dxa"/>
            </w:tcMar>
            <w:vAlign w:val="center"/>
          </w:tcPr>
          <w:p w14:paraId="2D74392D" w14:textId="77777777" w:rsidR="00C87BA9" w:rsidRDefault="00000000">
            <w:r>
              <w:rPr>
                <w:sz w:val="20"/>
                <w:szCs w:val="20"/>
              </w:rPr>
              <w:t>Data modelling, aggregation, alerting logic &amp; reporting views</w:t>
            </w:r>
          </w:p>
        </w:tc>
      </w:tr>
      <w:tr w:rsidR="00C87BA9" w14:paraId="6C5902AF" w14:textId="77777777">
        <w:tblPrEx>
          <w:tblCellMar>
            <w:top w:w="0" w:type="dxa"/>
            <w:bottom w:w="0" w:type="dxa"/>
          </w:tblCellMar>
        </w:tblPrEx>
        <w:tc>
          <w:tcPr>
            <w:tcW w:w="1960" w:type="dxa"/>
            <w:tcBorders>
              <w:top w:val="single" w:sz="1" w:space="0" w:color="C8D8DC"/>
              <w:left w:val="single" w:sz="1" w:space="0" w:color="C8D8DC"/>
              <w:bottom w:val="single" w:sz="1" w:space="0" w:color="C8D8DC"/>
              <w:right w:val="single" w:sz="1" w:space="0" w:color="C8D8DC"/>
            </w:tcBorders>
            <w:shd w:val="clear" w:color="auto" w:fill="E8F6F5"/>
            <w:tcMar>
              <w:top w:w="90" w:type="dxa"/>
              <w:left w:w="160" w:type="dxa"/>
              <w:bottom w:w="90" w:type="dxa"/>
              <w:right w:w="160" w:type="dxa"/>
            </w:tcMar>
            <w:vAlign w:val="center"/>
          </w:tcPr>
          <w:p w14:paraId="5AFBEB71" w14:textId="77777777" w:rsidR="00C87BA9" w:rsidRDefault="00000000">
            <w:r>
              <w:rPr>
                <w:b/>
                <w:bCs/>
                <w:color w:val="0D7377"/>
                <w:sz w:val="20"/>
                <w:szCs w:val="20"/>
              </w:rPr>
              <w:t>Power BI</w:t>
            </w:r>
          </w:p>
        </w:tc>
        <w:tc>
          <w:tcPr>
            <w:tcW w:w="2400" w:type="dxa"/>
            <w:tcBorders>
              <w:top w:val="single" w:sz="1" w:space="0" w:color="C8D8DC"/>
              <w:left w:val="single" w:sz="1" w:space="0" w:color="C8D8DC"/>
              <w:bottom w:val="single" w:sz="1" w:space="0" w:color="C8D8DC"/>
              <w:right w:val="single" w:sz="1" w:space="0" w:color="C8D8DC"/>
            </w:tcBorders>
            <w:shd w:val="clear" w:color="auto" w:fill="E8F6F5"/>
            <w:tcMar>
              <w:top w:w="90" w:type="dxa"/>
              <w:left w:w="160" w:type="dxa"/>
              <w:bottom w:w="90" w:type="dxa"/>
              <w:right w:w="160" w:type="dxa"/>
            </w:tcMar>
            <w:vAlign w:val="center"/>
          </w:tcPr>
          <w:p w14:paraId="0D843395" w14:textId="77777777" w:rsidR="00C87BA9" w:rsidRDefault="00000000">
            <w:r>
              <w:rPr>
                <w:sz w:val="20"/>
                <w:szCs w:val="20"/>
              </w:rPr>
              <w:t>Desktop · Service</w:t>
            </w:r>
          </w:p>
        </w:tc>
        <w:tc>
          <w:tcPr>
            <w:tcW w:w="2200" w:type="dxa"/>
            <w:tcBorders>
              <w:top w:val="single" w:sz="1" w:space="0" w:color="C8D8DC"/>
              <w:left w:val="single" w:sz="1" w:space="0" w:color="C8D8DC"/>
              <w:bottom w:val="single" w:sz="1" w:space="0" w:color="C8D8DC"/>
              <w:right w:val="single" w:sz="1" w:space="0" w:color="C8D8DC"/>
            </w:tcBorders>
            <w:shd w:val="clear" w:color="auto" w:fill="E8F6F5"/>
            <w:tcMar>
              <w:top w:w="90" w:type="dxa"/>
              <w:left w:w="160" w:type="dxa"/>
              <w:bottom w:w="90" w:type="dxa"/>
              <w:right w:w="160" w:type="dxa"/>
            </w:tcMar>
            <w:vAlign w:val="center"/>
          </w:tcPr>
          <w:p w14:paraId="23BB9354" w14:textId="180E3204" w:rsidR="00C87BA9" w:rsidRDefault="00F67455">
            <w:r>
              <w:rPr>
                <w:sz w:val="20"/>
                <w:szCs w:val="20"/>
              </w:rPr>
              <w:t>Visualization</w:t>
            </w:r>
          </w:p>
        </w:tc>
        <w:tc>
          <w:tcPr>
            <w:tcW w:w="2800" w:type="dxa"/>
            <w:tcBorders>
              <w:top w:val="single" w:sz="1" w:space="0" w:color="C8D8DC"/>
              <w:left w:val="single" w:sz="1" w:space="0" w:color="C8D8DC"/>
              <w:bottom w:val="single" w:sz="1" w:space="0" w:color="C8D8DC"/>
              <w:right w:val="single" w:sz="1" w:space="0" w:color="C8D8DC"/>
            </w:tcBorders>
            <w:shd w:val="clear" w:color="auto" w:fill="E8F6F5"/>
            <w:tcMar>
              <w:top w:w="90" w:type="dxa"/>
              <w:left w:w="160" w:type="dxa"/>
              <w:bottom w:w="90" w:type="dxa"/>
              <w:right w:w="160" w:type="dxa"/>
            </w:tcMar>
            <w:vAlign w:val="center"/>
          </w:tcPr>
          <w:p w14:paraId="6E0FB9D5" w14:textId="77777777" w:rsidR="00C87BA9" w:rsidRDefault="00000000">
            <w:r>
              <w:rPr>
                <w:sz w:val="20"/>
                <w:szCs w:val="20"/>
              </w:rPr>
              <w:t>Interactive dashboard design, DAX measures &amp; stakeholder reporting</w:t>
            </w:r>
          </w:p>
        </w:tc>
      </w:tr>
      <w:tr w:rsidR="00C87BA9" w14:paraId="45FC937B" w14:textId="77777777">
        <w:tblPrEx>
          <w:tblCellMar>
            <w:top w:w="0" w:type="dxa"/>
            <w:bottom w:w="0" w:type="dxa"/>
          </w:tblCellMar>
        </w:tblPrEx>
        <w:tc>
          <w:tcPr>
            <w:tcW w:w="1960" w:type="dxa"/>
            <w:tcBorders>
              <w:top w:val="single" w:sz="1" w:space="0" w:color="C8D8DC"/>
              <w:left w:val="single" w:sz="1" w:space="0" w:color="C8D8DC"/>
              <w:bottom w:val="single" w:sz="1" w:space="0" w:color="C8D8DC"/>
              <w:right w:val="single" w:sz="1" w:space="0" w:color="C8D8DC"/>
            </w:tcBorders>
            <w:shd w:val="clear" w:color="auto" w:fill="FFFFFF"/>
            <w:tcMar>
              <w:top w:w="90" w:type="dxa"/>
              <w:left w:w="160" w:type="dxa"/>
              <w:bottom w:w="90" w:type="dxa"/>
              <w:right w:w="160" w:type="dxa"/>
            </w:tcMar>
            <w:vAlign w:val="center"/>
          </w:tcPr>
          <w:p w14:paraId="2DC8D967" w14:textId="77777777" w:rsidR="00C87BA9" w:rsidRDefault="00000000">
            <w:r>
              <w:rPr>
                <w:b/>
                <w:bCs/>
                <w:color w:val="0D7377"/>
                <w:sz w:val="20"/>
                <w:szCs w:val="20"/>
              </w:rPr>
              <w:t>GitHub</w:t>
            </w:r>
          </w:p>
        </w:tc>
        <w:tc>
          <w:tcPr>
            <w:tcW w:w="2400" w:type="dxa"/>
            <w:tcBorders>
              <w:top w:val="single" w:sz="1" w:space="0" w:color="C8D8DC"/>
              <w:left w:val="single" w:sz="1" w:space="0" w:color="C8D8DC"/>
              <w:bottom w:val="single" w:sz="1" w:space="0" w:color="C8D8DC"/>
              <w:right w:val="single" w:sz="1" w:space="0" w:color="C8D8DC"/>
            </w:tcBorders>
            <w:shd w:val="clear" w:color="auto" w:fill="FFFFFF"/>
            <w:tcMar>
              <w:top w:w="90" w:type="dxa"/>
              <w:left w:w="160" w:type="dxa"/>
              <w:bottom w:w="90" w:type="dxa"/>
              <w:right w:w="160" w:type="dxa"/>
            </w:tcMar>
            <w:vAlign w:val="center"/>
          </w:tcPr>
          <w:p w14:paraId="0D491891" w14:textId="77777777" w:rsidR="00C87BA9" w:rsidRDefault="00000000">
            <w:r>
              <w:rPr>
                <w:sz w:val="20"/>
                <w:szCs w:val="20"/>
              </w:rPr>
              <w:t>Version Control</w:t>
            </w:r>
          </w:p>
        </w:tc>
        <w:tc>
          <w:tcPr>
            <w:tcW w:w="2200" w:type="dxa"/>
            <w:tcBorders>
              <w:top w:val="single" w:sz="1" w:space="0" w:color="C8D8DC"/>
              <w:left w:val="single" w:sz="1" w:space="0" w:color="C8D8DC"/>
              <w:bottom w:val="single" w:sz="1" w:space="0" w:color="C8D8DC"/>
              <w:right w:val="single" w:sz="1" w:space="0" w:color="C8D8DC"/>
            </w:tcBorders>
            <w:shd w:val="clear" w:color="auto" w:fill="FFFFFF"/>
            <w:tcMar>
              <w:top w:w="90" w:type="dxa"/>
              <w:left w:w="160" w:type="dxa"/>
              <w:bottom w:w="90" w:type="dxa"/>
              <w:right w:w="160" w:type="dxa"/>
            </w:tcMar>
            <w:vAlign w:val="center"/>
          </w:tcPr>
          <w:p w14:paraId="4840257A" w14:textId="77777777" w:rsidR="00C87BA9" w:rsidRDefault="00000000">
            <w:r>
              <w:rPr>
                <w:sz w:val="20"/>
                <w:szCs w:val="20"/>
              </w:rPr>
              <w:t>Project Hosting</w:t>
            </w:r>
          </w:p>
        </w:tc>
        <w:tc>
          <w:tcPr>
            <w:tcW w:w="2800" w:type="dxa"/>
            <w:tcBorders>
              <w:top w:val="single" w:sz="1" w:space="0" w:color="C8D8DC"/>
              <w:left w:val="single" w:sz="1" w:space="0" w:color="C8D8DC"/>
              <w:bottom w:val="single" w:sz="1" w:space="0" w:color="C8D8DC"/>
              <w:right w:val="single" w:sz="1" w:space="0" w:color="C8D8DC"/>
            </w:tcBorders>
            <w:shd w:val="clear" w:color="auto" w:fill="FFFFFF"/>
            <w:tcMar>
              <w:top w:w="90" w:type="dxa"/>
              <w:left w:w="160" w:type="dxa"/>
              <w:bottom w:w="90" w:type="dxa"/>
              <w:right w:w="160" w:type="dxa"/>
            </w:tcMar>
            <w:vAlign w:val="center"/>
          </w:tcPr>
          <w:p w14:paraId="5FEA9901" w14:textId="77777777" w:rsidR="00C87BA9" w:rsidRDefault="00000000">
            <w:r>
              <w:rPr>
                <w:sz w:val="20"/>
                <w:szCs w:val="20"/>
              </w:rPr>
              <w:t>Source control, documentation &amp; public portfolio showcase</w:t>
            </w:r>
          </w:p>
        </w:tc>
      </w:tr>
    </w:tbl>
    <w:p w14:paraId="05B2A08A" w14:textId="77777777" w:rsidR="00C87BA9" w:rsidRDefault="00C87BA9">
      <w:pPr>
        <w:spacing w:after="80"/>
      </w:pPr>
    </w:p>
    <w:p w14:paraId="30C59338" w14:textId="77777777" w:rsidR="00C87BA9" w:rsidRDefault="00000000">
      <w:pPr>
        <w:pStyle w:val="Heading1"/>
        <w:shd w:val="clear" w:color="auto" w:fill="1C2B36"/>
        <w:spacing w:before="360"/>
      </w:pPr>
      <w:r>
        <w:rPr>
          <w:b w:val="0"/>
          <w:bCs w:val="0"/>
          <w:color w:val="14A085"/>
          <w:sz w:val="22"/>
          <w:szCs w:val="22"/>
        </w:rPr>
        <w:t xml:space="preserve">  05</w:t>
      </w:r>
      <w:r>
        <w:rPr>
          <w:color w:val="445566"/>
          <w:sz w:val="22"/>
          <w:szCs w:val="22"/>
        </w:rPr>
        <w:t xml:space="preserve">  |  </w:t>
      </w:r>
      <w:r>
        <w:t xml:space="preserve">Data Pipeline Architecture  </w:t>
      </w:r>
    </w:p>
    <w:p w14:paraId="26AD90F4" w14:textId="77777777" w:rsidR="00C87BA9" w:rsidRDefault="00C87BA9">
      <w:pPr>
        <w:spacing w:after="60"/>
      </w:pPr>
    </w:p>
    <w:p w14:paraId="6B9EB0A9" w14:textId="77777777" w:rsidR="00C87BA9" w:rsidRDefault="00000000">
      <w:pPr>
        <w:spacing w:before="80" w:after="80"/>
        <w:jc w:val="both"/>
      </w:pPr>
      <w:r>
        <w:t>The solution is structured as a four-stage linear pipeline, ensuring a clean, auditable, and maintainable flow of data from raw generation through to end-user consumption. Each stage has clearly defined inputs, transformations, and outputs — enabling independent testing and future extension of any layer without disrupting the whole.</w:t>
      </w:r>
    </w:p>
    <w:p w14:paraId="41EC434C" w14:textId="77777777" w:rsidR="00C87BA9" w:rsidRDefault="00C87BA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100"/>
        <w:gridCol w:w="6360"/>
      </w:tblGrid>
      <w:tr w:rsidR="00C87BA9" w14:paraId="01D30057" w14:textId="77777777">
        <w:tblPrEx>
          <w:tblCellMar>
            <w:top w:w="0" w:type="dxa"/>
            <w:bottom w:w="0" w:type="dxa"/>
          </w:tblCellMar>
        </w:tblPrEx>
        <w:tc>
          <w:tcPr>
            <w:tcW w:w="900" w:type="dxa"/>
            <w:tcBorders>
              <w:top w:val="single" w:sz="1" w:space="0" w:color="C8D8DC"/>
              <w:left w:val="single" w:sz="1" w:space="0" w:color="C8D8DC"/>
              <w:bottom w:val="single" w:sz="1" w:space="0" w:color="C8D8DC"/>
              <w:right w:val="single" w:sz="1" w:space="0" w:color="C8D8DC"/>
            </w:tcBorders>
            <w:shd w:val="clear" w:color="auto" w:fill="1C2B36"/>
            <w:tcMar>
              <w:top w:w="110" w:type="dxa"/>
              <w:left w:w="160" w:type="dxa"/>
              <w:bottom w:w="110" w:type="dxa"/>
              <w:right w:w="160" w:type="dxa"/>
            </w:tcMar>
            <w:vAlign w:val="center"/>
          </w:tcPr>
          <w:p w14:paraId="1FDE96D9" w14:textId="77777777" w:rsidR="00C87BA9" w:rsidRDefault="00000000">
            <w:pPr>
              <w:jc w:val="center"/>
            </w:pPr>
            <w:r>
              <w:rPr>
                <w:b/>
                <w:bCs/>
                <w:color w:val="FFFFFF"/>
                <w:sz w:val="20"/>
                <w:szCs w:val="20"/>
              </w:rPr>
              <w:lastRenderedPageBreak/>
              <w:t>Stage</w:t>
            </w:r>
          </w:p>
        </w:tc>
        <w:tc>
          <w:tcPr>
            <w:tcW w:w="2100" w:type="dxa"/>
            <w:tcBorders>
              <w:top w:val="single" w:sz="1" w:space="0" w:color="C8D8DC"/>
              <w:left w:val="single" w:sz="1" w:space="0" w:color="C8D8DC"/>
              <w:bottom w:val="single" w:sz="1" w:space="0" w:color="C8D8DC"/>
              <w:right w:val="single" w:sz="1" w:space="0" w:color="C8D8DC"/>
            </w:tcBorders>
            <w:shd w:val="clear" w:color="auto" w:fill="1C2B36"/>
            <w:tcMar>
              <w:top w:w="110" w:type="dxa"/>
              <w:left w:w="160" w:type="dxa"/>
              <w:bottom w:w="110" w:type="dxa"/>
              <w:right w:w="160" w:type="dxa"/>
            </w:tcMar>
            <w:vAlign w:val="center"/>
          </w:tcPr>
          <w:p w14:paraId="394DCD50" w14:textId="77777777" w:rsidR="00C87BA9" w:rsidRDefault="00000000">
            <w:r>
              <w:rPr>
                <w:b/>
                <w:bCs/>
                <w:color w:val="FFFFFF"/>
                <w:sz w:val="20"/>
                <w:szCs w:val="20"/>
              </w:rPr>
              <w:t>Layer</w:t>
            </w:r>
          </w:p>
        </w:tc>
        <w:tc>
          <w:tcPr>
            <w:tcW w:w="6360" w:type="dxa"/>
            <w:tcBorders>
              <w:top w:val="single" w:sz="1" w:space="0" w:color="C8D8DC"/>
              <w:left w:val="single" w:sz="1" w:space="0" w:color="C8D8DC"/>
              <w:bottom w:val="single" w:sz="1" w:space="0" w:color="C8D8DC"/>
              <w:right w:val="single" w:sz="1" w:space="0" w:color="C8D8DC"/>
            </w:tcBorders>
            <w:shd w:val="clear" w:color="auto" w:fill="1C2B36"/>
            <w:tcMar>
              <w:top w:w="110" w:type="dxa"/>
              <w:left w:w="160" w:type="dxa"/>
              <w:bottom w:w="110" w:type="dxa"/>
              <w:right w:w="160" w:type="dxa"/>
            </w:tcMar>
            <w:vAlign w:val="center"/>
          </w:tcPr>
          <w:p w14:paraId="78CA3EAA" w14:textId="77777777" w:rsidR="00C87BA9" w:rsidRDefault="00000000">
            <w:r>
              <w:rPr>
                <w:b/>
                <w:bCs/>
                <w:color w:val="FFFFFF"/>
                <w:sz w:val="20"/>
                <w:szCs w:val="20"/>
              </w:rPr>
              <w:t>Description</w:t>
            </w:r>
          </w:p>
        </w:tc>
      </w:tr>
      <w:tr w:rsidR="00C87BA9" w14:paraId="30E9EDAD" w14:textId="77777777">
        <w:tblPrEx>
          <w:tblCellMar>
            <w:top w:w="0" w:type="dxa"/>
            <w:bottom w:w="0" w:type="dxa"/>
          </w:tblCellMar>
        </w:tblPrEx>
        <w:tc>
          <w:tcPr>
            <w:tcW w:w="900" w:type="dxa"/>
            <w:tcBorders>
              <w:top w:val="single" w:sz="1" w:space="0" w:color="C8D8DC"/>
              <w:left w:val="single" w:sz="1" w:space="0" w:color="C8D8DC"/>
              <w:bottom w:val="single" w:sz="1" w:space="0" w:color="C8D8DC"/>
              <w:right w:val="single" w:sz="1" w:space="0" w:color="C8D8DC"/>
            </w:tcBorders>
            <w:shd w:val="clear" w:color="auto" w:fill="FFFFFF"/>
            <w:tcMar>
              <w:top w:w="90" w:type="dxa"/>
              <w:left w:w="160" w:type="dxa"/>
              <w:bottom w:w="90" w:type="dxa"/>
              <w:right w:w="160" w:type="dxa"/>
            </w:tcMar>
            <w:vAlign w:val="center"/>
          </w:tcPr>
          <w:p w14:paraId="16C0B165" w14:textId="77777777" w:rsidR="00C87BA9" w:rsidRDefault="00000000">
            <w:pPr>
              <w:jc w:val="center"/>
            </w:pPr>
            <w:r>
              <w:rPr>
                <w:b/>
                <w:bCs/>
                <w:color w:val="0D7377"/>
                <w:sz w:val="20"/>
                <w:szCs w:val="20"/>
              </w:rPr>
              <w:t>01</w:t>
            </w:r>
          </w:p>
        </w:tc>
        <w:tc>
          <w:tcPr>
            <w:tcW w:w="2100" w:type="dxa"/>
            <w:tcBorders>
              <w:top w:val="single" w:sz="1" w:space="0" w:color="C8D8DC"/>
              <w:left w:val="single" w:sz="1" w:space="0" w:color="C8D8DC"/>
              <w:bottom w:val="single" w:sz="1" w:space="0" w:color="C8D8DC"/>
              <w:right w:val="single" w:sz="1" w:space="0" w:color="C8D8DC"/>
            </w:tcBorders>
            <w:shd w:val="clear" w:color="auto" w:fill="FFFFFF"/>
            <w:tcMar>
              <w:top w:w="90" w:type="dxa"/>
              <w:left w:w="160" w:type="dxa"/>
              <w:bottom w:w="90" w:type="dxa"/>
              <w:right w:w="160" w:type="dxa"/>
            </w:tcMar>
            <w:vAlign w:val="center"/>
          </w:tcPr>
          <w:p w14:paraId="7962347A" w14:textId="77777777" w:rsidR="00C87BA9" w:rsidRDefault="00000000">
            <w:r>
              <w:rPr>
                <w:b/>
                <w:bCs/>
                <w:sz w:val="20"/>
                <w:szCs w:val="20"/>
              </w:rPr>
              <w:t>Data Generation</w:t>
            </w:r>
          </w:p>
        </w:tc>
        <w:tc>
          <w:tcPr>
            <w:tcW w:w="6360" w:type="dxa"/>
            <w:tcBorders>
              <w:top w:val="single" w:sz="1" w:space="0" w:color="C8D8DC"/>
              <w:left w:val="single" w:sz="1" w:space="0" w:color="C8D8DC"/>
              <w:bottom w:val="single" w:sz="1" w:space="0" w:color="C8D8DC"/>
              <w:right w:val="single" w:sz="1" w:space="0" w:color="C8D8DC"/>
            </w:tcBorders>
            <w:shd w:val="clear" w:color="auto" w:fill="FFFFFF"/>
            <w:tcMar>
              <w:top w:w="90" w:type="dxa"/>
              <w:left w:w="160" w:type="dxa"/>
              <w:bottom w:w="90" w:type="dxa"/>
              <w:right w:w="160" w:type="dxa"/>
            </w:tcMar>
            <w:vAlign w:val="center"/>
          </w:tcPr>
          <w:p w14:paraId="4784136C" w14:textId="77777777" w:rsidR="00C87BA9" w:rsidRDefault="00000000">
            <w:r>
              <w:rPr>
                <w:sz w:val="20"/>
                <w:szCs w:val="20"/>
              </w:rPr>
              <w:t>Python scripts simulate realistic IoT readings for multiple sensor types (temperature, humidity, vibration, pressure) across a fleet of virtual devices, producing timestamped records with built-in variance to reflect real-world conditions.</w:t>
            </w:r>
          </w:p>
        </w:tc>
      </w:tr>
      <w:tr w:rsidR="00C87BA9" w14:paraId="2EAE0767" w14:textId="77777777">
        <w:tblPrEx>
          <w:tblCellMar>
            <w:top w:w="0" w:type="dxa"/>
            <w:bottom w:w="0" w:type="dxa"/>
          </w:tblCellMar>
        </w:tblPrEx>
        <w:tc>
          <w:tcPr>
            <w:tcW w:w="900" w:type="dxa"/>
            <w:tcBorders>
              <w:top w:val="single" w:sz="1" w:space="0" w:color="C8D8DC"/>
              <w:left w:val="single" w:sz="1" w:space="0" w:color="C8D8DC"/>
              <w:bottom w:val="single" w:sz="1" w:space="0" w:color="C8D8DC"/>
              <w:right w:val="single" w:sz="1" w:space="0" w:color="C8D8DC"/>
            </w:tcBorders>
            <w:shd w:val="clear" w:color="auto" w:fill="E8F6F5"/>
            <w:tcMar>
              <w:top w:w="90" w:type="dxa"/>
              <w:left w:w="160" w:type="dxa"/>
              <w:bottom w:w="90" w:type="dxa"/>
              <w:right w:w="160" w:type="dxa"/>
            </w:tcMar>
            <w:vAlign w:val="center"/>
          </w:tcPr>
          <w:p w14:paraId="194FDEB7" w14:textId="77777777" w:rsidR="00C87BA9" w:rsidRDefault="00000000">
            <w:pPr>
              <w:jc w:val="center"/>
            </w:pPr>
            <w:r>
              <w:rPr>
                <w:b/>
                <w:bCs/>
                <w:color w:val="0D7377"/>
                <w:sz w:val="20"/>
                <w:szCs w:val="20"/>
              </w:rPr>
              <w:t>02</w:t>
            </w:r>
          </w:p>
        </w:tc>
        <w:tc>
          <w:tcPr>
            <w:tcW w:w="2100" w:type="dxa"/>
            <w:tcBorders>
              <w:top w:val="single" w:sz="1" w:space="0" w:color="C8D8DC"/>
              <w:left w:val="single" w:sz="1" w:space="0" w:color="C8D8DC"/>
              <w:bottom w:val="single" w:sz="1" w:space="0" w:color="C8D8DC"/>
              <w:right w:val="single" w:sz="1" w:space="0" w:color="C8D8DC"/>
            </w:tcBorders>
            <w:shd w:val="clear" w:color="auto" w:fill="E8F6F5"/>
            <w:tcMar>
              <w:top w:w="90" w:type="dxa"/>
              <w:left w:w="160" w:type="dxa"/>
              <w:bottom w:w="90" w:type="dxa"/>
              <w:right w:w="160" w:type="dxa"/>
            </w:tcMar>
            <w:vAlign w:val="center"/>
          </w:tcPr>
          <w:p w14:paraId="281FD64B" w14:textId="77777777" w:rsidR="00C87BA9" w:rsidRDefault="00000000">
            <w:r>
              <w:rPr>
                <w:b/>
                <w:bCs/>
                <w:sz w:val="20"/>
                <w:szCs w:val="20"/>
              </w:rPr>
              <w:t>Data Ingestion</w:t>
            </w:r>
          </w:p>
        </w:tc>
        <w:tc>
          <w:tcPr>
            <w:tcW w:w="6360" w:type="dxa"/>
            <w:tcBorders>
              <w:top w:val="single" w:sz="1" w:space="0" w:color="C8D8DC"/>
              <w:left w:val="single" w:sz="1" w:space="0" w:color="C8D8DC"/>
              <w:bottom w:val="single" w:sz="1" w:space="0" w:color="C8D8DC"/>
              <w:right w:val="single" w:sz="1" w:space="0" w:color="C8D8DC"/>
            </w:tcBorders>
            <w:shd w:val="clear" w:color="auto" w:fill="E8F6F5"/>
            <w:tcMar>
              <w:top w:w="90" w:type="dxa"/>
              <w:left w:w="160" w:type="dxa"/>
              <w:bottom w:w="90" w:type="dxa"/>
              <w:right w:w="160" w:type="dxa"/>
            </w:tcMar>
            <w:vAlign w:val="center"/>
          </w:tcPr>
          <w:p w14:paraId="686CBD7B" w14:textId="77777777" w:rsidR="00C87BA9" w:rsidRDefault="00000000">
            <w:r>
              <w:rPr>
                <w:sz w:val="20"/>
                <w:szCs w:val="20"/>
              </w:rPr>
              <w:t>Generated datasets are ingested and persisted into a structured PostgreSQL database, with each table conforming to a pre-defined schema designed for query efficiency and referential integrity.</w:t>
            </w:r>
          </w:p>
        </w:tc>
      </w:tr>
      <w:tr w:rsidR="00C87BA9" w14:paraId="4BB90ED8" w14:textId="77777777">
        <w:tblPrEx>
          <w:tblCellMar>
            <w:top w:w="0" w:type="dxa"/>
            <w:bottom w:w="0" w:type="dxa"/>
          </w:tblCellMar>
        </w:tblPrEx>
        <w:tc>
          <w:tcPr>
            <w:tcW w:w="900" w:type="dxa"/>
            <w:tcBorders>
              <w:top w:val="single" w:sz="1" w:space="0" w:color="C8D8DC"/>
              <w:left w:val="single" w:sz="1" w:space="0" w:color="C8D8DC"/>
              <w:bottom w:val="single" w:sz="1" w:space="0" w:color="C8D8DC"/>
              <w:right w:val="single" w:sz="1" w:space="0" w:color="C8D8DC"/>
            </w:tcBorders>
            <w:shd w:val="clear" w:color="auto" w:fill="FFFFFF"/>
            <w:tcMar>
              <w:top w:w="90" w:type="dxa"/>
              <w:left w:w="160" w:type="dxa"/>
              <w:bottom w:w="90" w:type="dxa"/>
              <w:right w:w="160" w:type="dxa"/>
            </w:tcMar>
            <w:vAlign w:val="center"/>
          </w:tcPr>
          <w:p w14:paraId="655ECD96" w14:textId="77777777" w:rsidR="00C87BA9" w:rsidRDefault="00000000">
            <w:pPr>
              <w:jc w:val="center"/>
            </w:pPr>
            <w:r>
              <w:rPr>
                <w:b/>
                <w:bCs/>
                <w:color w:val="0D7377"/>
                <w:sz w:val="20"/>
                <w:szCs w:val="20"/>
              </w:rPr>
              <w:t>03</w:t>
            </w:r>
          </w:p>
        </w:tc>
        <w:tc>
          <w:tcPr>
            <w:tcW w:w="2100" w:type="dxa"/>
            <w:tcBorders>
              <w:top w:val="single" w:sz="1" w:space="0" w:color="C8D8DC"/>
              <w:left w:val="single" w:sz="1" w:space="0" w:color="C8D8DC"/>
              <w:bottom w:val="single" w:sz="1" w:space="0" w:color="C8D8DC"/>
              <w:right w:val="single" w:sz="1" w:space="0" w:color="C8D8DC"/>
            </w:tcBorders>
            <w:shd w:val="clear" w:color="auto" w:fill="FFFFFF"/>
            <w:tcMar>
              <w:top w:w="90" w:type="dxa"/>
              <w:left w:w="160" w:type="dxa"/>
              <w:bottom w:w="90" w:type="dxa"/>
              <w:right w:w="160" w:type="dxa"/>
            </w:tcMar>
            <w:vAlign w:val="center"/>
          </w:tcPr>
          <w:p w14:paraId="0101E52A" w14:textId="77777777" w:rsidR="00C87BA9" w:rsidRDefault="00000000">
            <w:r>
              <w:rPr>
                <w:b/>
                <w:bCs/>
                <w:sz w:val="20"/>
                <w:szCs w:val="20"/>
              </w:rPr>
              <w:t>Transformation &amp; Alerting</w:t>
            </w:r>
          </w:p>
        </w:tc>
        <w:tc>
          <w:tcPr>
            <w:tcW w:w="6360" w:type="dxa"/>
            <w:tcBorders>
              <w:top w:val="single" w:sz="1" w:space="0" w:color="C8D8DC"/>
              <w:left w:val="single" w:sz="1" w:space="0" w:color="C8D8DC"/>
              <w:bottom w:val="single" w:sz="1" w:space="0" w:color="C8D8DC"/>
              <w:right w:val="single" w:sz="1" w:space="0" w:color="C8D8DC"/>
            </w:tcBorders>
            <w:shd w:val="clear" w:color="auto" w:fill="FFFFFF"/>
            <w:tcMar>
              <w:top w:w="90" w:type="dxa"/>
              <w:left w:w="160" w:type="dxa"/>
              <w:bottom w:w="90" w:type="dxa"/>
              <w:right w:w="160" w:type="dxa"/>
            </w:tcMar>
            <w:vAlign w:val="center"/>
          </w:tcPr>
          <w:p w14:paraId="40C11E6D" w14:textId="18B4C816" w:rsidR="00C87BA9" w:rsidRDefault="00000000">
            <w:r>
              <w:rPr>
                <w:sz w:val="20"/>
                <w:szCs w:val="20"/>
              </w:rPr>
              <w:t xml:space="preserve">SQL queries, views, and stored procedures cleanse raw data, apply threshold-based alerting logic, and produce aggregated reporting layers consumed by the </w:t>
            </w:r>
            <w:r w:rsidR="00F67455">
              <w:rPr>
                <w:sz w:val="20"/>
                <w:szCs w:val="20"/>
              </w:rPr>
              <w:t>visualization</w:t>
            </w:r>
            <w:r>
              <w:rPr>
                <w:sz w:val="20"/>
                <w:szCs w:val="20"/>
              </w:rPr>
              <w:t xml:space="preserve"> tier.</w:t>
            </w:r>
          </w:p>
        </w:tc>
      </w:tr>
      <w:tr w:rsidR="00C87BA9" w14:paraId="0160C5B1" w14:textId="77777777">
        <w:tblPrEx>
          <w:tblCellMar>
            <w:top w:w="0" w:type="dxa"/>
            <w:bottom w:w="0" w:type="dxa"/>
          </w:tblCellMar>
        </w:tblPrEx>
        <w:tc>
          <w:tcPr>
            <w:tcW w:w="900" w:type="dxa"/>
            <w:tcBorders>
              <w:top w:val="single" w:sz="1" w:space="0" w:color="C8D8DC"/>
              <w:left w:val="single" w:sz="1" w:space="0" w:color="C8D8DC"/>
              <w:bottom w:val="single" w:sz="1" w:space="0" w:color="C8D8DC"/>
              <w:right w:val="single" w:sz="1" w:space="0" w:color="C8D8DC"/>
            </w:tcBorders>
            <w:shd w:val="clear" w:color="auto" w:fill="E8F6F5"/>
            <w:tcMar>
              <w:top w:w="90" w:type="dxa"/>
              <w:left w:w="160" w:type="dxa"/>
              <w:bottom w:w="90" w:type="dxa"/>
              <w:right w:w="160" w:type="dxa"/>
            </w:tcMar>
            <w:vAlign w:val="center"/>
          </w:tcPr>
          <w:p w14:paraId="157B5235" w14:textId="77777777" w:rsidR="00C87BA9" w:rsidRDefault="00000000">
            <w:pPr>
              <w:jc w:val="center"/>
            </w:pPr>
            <w:r>
              <w:rPr>
                <w:b/>
                <w:bCs/>
                <w:color w:val="0D7377"/>
                <w:sz w:val="20"/>
                <w:szCs w:val="20"/>
              </w:rPr>
              <w:t>04</w:t>
            </w:r>
          </w:p>
        </w:tc>
        <w:tc>
          <w:tcPr>
            <w:tcW w:w="2100" w:type="dxa"/>
            <w:tcBorders>
              <w:top w:val="single" w:sz="1" w:space="0" w:color="C8D8DC"/>
              <w:left w:val="single" w:sz="1" w:space="0" w:color="C8D8DC"/>
              <w:bottom w:val="single" w:sz="1" w:space="0" w:color="C8D8DC"/>
              <w:right w:val="single" w:sz="1" w:space="0" w:color="C8D8DC"/>
            </w:tcBorders>
            <w:shd w:val="clear" w:color="auto" w:fill="E8F6F5"/>
            <w:tcMar>
              <w:top w:w="90" w:type="dxa"/>
              <w:left w:w="160" w:type="dxa"/>
              <w:bottom w:w="90" w:type="dxa"/>
              <w:right w:w="160" w:type="dxa"/>
            </w:tcMar>
            <w:vAlign w:val="center"/>
          </w:tcPr>
          <w:p w14:paraId="370D77A6" w14:textId="67C89C96" w:rsidR="00C87BA9" w:rsidRDefault="00F67455">
            <w:r>
              <w:rPr>
                <w:b/>
                <w:bCs/>
                <w:sz w:val="20"/>
                <w:szCs w:val="20"/>
              </w:rPr>
              <w:t>visualization</w:t>
            </w:r>
          </w:p>
        </w:tc>
        <w:tc>
          <w:tcPr>
            <w:tcW w:w="6360" w:type="dxa"/>
            <w:tcBorders>
              <w:top w:val="single" w:sz="1" w:space="0" w:color="C8D8DC"/>
              <w:left w:val="single" w:sz="1" w:space="0" w:color="C8D8DC"/>
              <w:bottom w:val="single" w:sz="1" w:space="0" w:color="C8D8DC"/>
              <w:right w:val="single" w:sz="1" w:space="0" w:color="C8D8DC"/>
            </w:tcBorders>
            <w:shd w:val="clear" w:color="auto" w:fill="E8F6F5"/>
            <w:tcMar>
              <w:top w:w="90" w:type="dxa"/>
              <w:left w:w="160" w:type="dxa"/>
              <w:bottom w:w="90" w:type="dxa"/>
              <w:right w:w="160" w:type="dxa"/>
            </w:tcMar>
            <w:vAlign w:val="center"/>
          </w:tcPr>
          <w:p w14:paraId="1AB3DE38" w14:textId="77777777" w:rsidR="00C87BA9" w:rsidRDefault="00000000">
            <w:r>
              <w:rPr>
                <w:sz w:val="20"/>
                <w:szCs w:val="20"/>
              </w:rPr>
              <w:t>Power BI connects directly to the PostgreSQL database via ODBC, pulling live data into an interactive, multi-page dashboard with DAX-driven KPIs, drill-through capability, and responsive filtering.</w:t>
            </w:r>
          </w:p>
        </w:tc>
      </w:tr>
    </w:tbl>
    <w:p w14:paraId="788CC561" w14:textId="77777777" w:rsidR="00C87BA9" w:rsidRDefault="00C87BA9">
      <w:pPr>
        <w:spacing w:after="60"/>
      </w:pPr>
    </w:p>
    <w:p w14:paraId="4B7D0F47" w14:textId="36D54C56" w:rsidR="00C87BA9" w:rsidRDefault="00000000">
      <w:pPr>
        <w:pBdr>
          <w:left w:val="single" w:sz="18" w:space="4" w:color="0D7377"/>
        </w:pBdr>
        <w:shd w:val="clear" w:color="auto" w:fill="E8F6F5"/>
        <w:spacing w:before="100" w:after="100"/>
        <w:ind w:left="360" w:right="360"/>
        <w:jc w:val="both"/>
      </w:pPr>
      <w:r>
        <w:rPr>
          <w:i/>
          <w:iCs/>
          <w:color w:val="2C3E50"/>
        </w:rPr>
        <w:t xml:space="preserve">Design principle: each pipeline stage is loosely coupled, meaning the data generation layer can be swapped from synthetic Python scripts to a live MQTT broker, or the database from PostgreSQL to a cloud data warehouse, without altering the downstream </w:t>
      </w:r>
      <w:r w:rsidR="00F67455">
        <w:rPr>
          <w:i/>
          <w:iCs/>
          <w:color w:val="2C3E50"/>
        </w:rPr>
        <w:t>visualization</w:t>
      </w:r>
      <w:r>
        <w:rPr>
          <w:i/>
          <w:iCs/>
          <w:color w:val="2C3E50"/>
        </w:rPr>
        <w:t xml:space="preserve"> layer.</w:t>
      </w:r>
    </w:p>
    <w:p w14:paraId="17BFF189" w14:textId="77777777" w:rsidR="00C87BA9" w:rsidRDefault="00C87BA9">
      <w:pPr>
        <w:spacing w:after="80"/>
      </w:pPr>
    </w:p>
    <w:p w14:paraId="39A1C6F9" w14:textId="77777777" w:rsidR="00C87BA9" w:rsidRDefault="00000000">
      <w:pPr>
        <w:pStyle w:val="Heading1"/>
        <w:shd w:val="clear" w:color="auto" w:fill="1C2B36"/>
        <w:spacing w:before="360"/>
      </w:pPr>
      <w:r>
        <w:rPr>
          <w:b w:val="0"/>
          <w:bCs w:val="0"/>
          <w:color w:val="14A085"/>
          <w:sz w:val="22"/>
          <w:szCs w:val="22"/>
        </w:rPr>
        <w:t xml:space="preserve">  06</w:t>
      </w:r>
      <w:r>
        <w:rPr>
          <w:color w:val="445566"/>
          <w:sz w:val="22"/>
          <w:szCs w:val="22"/>
        </w:rPr>
        <w:t xml:space="preserve">  |  </w:t>
      </w:r>
      <w:r>
        <w:t xml:space="preserve">Data Model  </w:t>
      </w:r>
    </w:p>
    <w:p w14:paraId="0E5B0CC3" w14:textId="77777777" w:rsidR="00C87BA9" w:rsidRDefault="00C87BA9">
      <w:pPr>
        <w:spacing w:after="60"/>
      </w:pPr>
    </w:p>
    <w:p w14:paraId="56054132" w14:textId="4FA27FDE" w:rsidR="00C87BA9" w:rsidRDefault="00000000">
      <w:pPr>
        <w:spacing w:before="80" w:after="80"/>
        <w:jc w:val="both"/>
      </w:pPr>
      <w:r>
        <w:t xml:space="preserve">The database is structured around a star schema — the industry-standard pattern for analytical workloads — with a central fact table surrounded by descriptive dimension tables. This design </w:t>
      </w:r>
      <w:r w:rsidR="00F67455">
        <w:t>minimizes</w:t>
      </w:r>
      <w:r>
        <w:t xml:space="preserve"> query complexity, </w:t>
      </w:r>
      <w:r w:rsidR="00F67455">
        <w:t>maximizes</w:t>
      </w:r>
      <w:r>
        <w:t xml:space="preserve"> Power BI filter propagation efficiency, and enables intuitive drill-down across multiple analytical dimensions.</w:t>
      </w:r>
    </w:p>
    <w:p w14:paraId="22A30963" w14:textId="77777777" w:rsidR="00C87BA9" w:rsidRDefault="00C87BA9">
      <w:pPr>
        <w:spacing w:after="60"/>
      </w:pPr>
    </w:p>
    <w:p w14:paraId="63ABD5DB" w14:textId="77777777" w:rsidR="00C87BA9" w:rsidRDefault="00000000">
      <w:pPr>
        <w:pStyle w:val="Heading2"/>
        <w:pBdr>
          <w:bottom w:val="single" w:sz="3" w:space="1" w:color="0D7377"/>
        </w:pBdr>
      </w:pPr>
      <w:r>
        <w:t>Fact Table — Sensor Readings</w:t>
      </w:r>
    </w:p>
    <w:p w14:paraId="523829EB" w14:textId="77777777" w:rsidR="00C87BA9" w:rsidRDefault="00000000">
      <w:pPr>
        <w:spacing w:before="80" w:after="80"/>
        <w:jc w:val="both"/>
      </w:pPr>
      <w:r>
        <w:t>The core of the schema. Each record represents a single sensor measurement event, containing the reading value, precise UTC timestamp, and foreign keys linking to the device, sensor, and location dimensions. This table is the primary source for all time-series analysis and alert threshold evaluation.</w:t>
      </w:r>
    </w:p>
    <w:p w14:paraId="4FAD03C6" w14:textId="77777777" w:rsidR="00C87BA9" w:rsidRDefault="00C87BA9">
      <w:pPr>
        <w:spacing w:after="40"/>
      </w:pPr>
    </w:p>
    <w:p w14:paraId="3B768FE2" w14:textId="77777777" w:rsidR="00C87BA9" w:rsidRDefault="00000000">
      <w:pPr>
        <w:pStyle w:val="Heading2"/>
        <w:pBdr>
          <w:bottom w:val="single" w:sz="3" w:space="1" w:color="0D7377"/>
        </w:pBdr>
      </w:pPr>
      <w:r>
        <w:t>Dimension Tables</w:t>
      </w:r>
    </w:p>
    <w:p w14:paraId="4E7A997B" w14:textId="77777777" w:rsidR="00C87BA9" w:rsidRDefault="00000000">
      <w:pPr>
        <w:pStyle w:val="ListParagraph"/>
        <w:numPr>
          <w:ilvl w:val="0"/>
          <w:numId w:val="2"/>
        </w:numPr>
        <w:spacing w:before="50" w:after="50"/>
      </w:pPr>
      <w:r>
        <w:rPr>
          <w:b/>
          <w:bCs/>
          <w:color w:val="0D7377"/>
        </w:rPr>
        <w:t xml:space="preserve">Device — </w:t>
      </w:r>
      <w:r>
        <w:t>captures device metadata including name, type, operational status, battery percentage, and signal strength — enabling device-level health monitoring</w:t>
      </w:r>
    </w:p>
    <w:p w14:paraId="505EEF5B" w14:textId="77777777" w:rsidR="00C87BA9" w:rsidRDefault="00000000">
      <w:pPr>
        <w:pStyle w:val="ListParagraph"/>
        <w:numPr>
          <w:ilvl w:val="0"/>
          <w:numId w:val="2"/>
        </w:numPr>
        <w:spacing w:before="50" w:after="50"/>
      </w:pPr>
      <w:r>
        <w:rPr>
          <w:b/>
          <w:bCs/>
          <w:color w:val="0D7377"/>
        </w:rPr>
        <w:t xml:space="preserve">Sensor — </w:t>
      </w:r>
      <w:r>
        <w:t>defines sensor specifications including measurement type, unit, minimum safe value, and maximum threshold — the reference for all alert logic</w:t>
      </w:r>
    </w:p>
    <w:p w14:paraId="65115092" w14:textId="77777777" w:rsidR="00C87BA9" w:rsidRDefault="00000000">
      <w:pPr>
        <w:pStyle w:val="ListParagraph"/>
        <w:numPr>
          <w:ilvl w:val="0"/>
          <w:numId w:val="2"/>
        </w:numPr>
        <w:spacing w:before="50" w:after="50"/>
      </w:pPr>
      <w:r>
        <w:rPr>
          <w:b/>
          <w:bCs/>
          <w:color w:val="0D7377"/>
        </w:rPr>
        <w:t xml:space="preserve">Location — </w:t>
      </w:r>
      <w:r>
        <w:t>stores facility, zone, and geographical coordinates for each device — enabling location-based alert concentration analysis</w:t>
      </w:r>
    </w:p>
    <w:p w14:paraId="644CDB10" w14:textId="77777777" w:rsidR="00C87BA9" w:rsidRDefault="00000000">
      <w:pPr>
        <w:pStyle w:val="ListParagraph"/>
        <w:numPr>
          <w:ilvl w:val="0"/>
          <w:numId w:val="2"/>
        </w:numPr>
        <w:spacing w:before="50" w:after="50"/>
      </w:pPr>
      <w:r>
        <w:rPr>
          <w:b/>
          <w:bCs/>
          <w:color w:val="0D7377"/>
        </w:rPr>
        <w:t xml:space="preserve">Alerts — </w:t>
      </w:r>
      <w:r>
        <w:t>classifies detected threshold violations by alert type, severity level (Critical / High / Medium / Low), and resolution status</w:t>
      </w:r>
    </w:p>
    <w:p w14:paraId="737CCF79" w14:textId="77777777" w:rsidR="00C87BA9" w:rsidRDefault="00C87BA9">
      <w:pPr>
        <w:spacing w:after="40"/>
      </w:pPr>
    </w:p>
    <w:p w14:paraId="16304CEC" w14:textId="77777777" w:rsidR="00C87BA9" w:rsidRDefault="00000000">
      <w:pPr>
        <w:pBdr>
          <w:left w:val="single" w:sz="18" w:space="4" w:color="0D7377"/>
        </w:pBdr>
        <w:shd w:val="clear" w:color="auto" w:fill="E8F6F5"/>
        <w:spacing w:before="100" w:after="100"/>
        <w:ind w:left="360" w:right="360"/>
        <w:jc w:val="both"/>
      </w:pPr>
      <w:r>
        <w:rPr>
          <w:i/>
          <w:iCs/>
          <w:color w:val="2C3E50"/>
        </w:rPr>
        <w:lastRenderedPageBreak/>
        <w:t>All foreign key relationships are explicitly enforced at the database level, ensuring referential integrity and enabling Power BI to propagate filters correctly across the star schema without ambiguity.</w:t>
      </w:r>
    </w:p>
    <w:p w14:paraId="5603A5DE" w14:textId="77777777" w:rsidR="00C87BA9" w:rsidRDefault="00C87BA9">
      <w:pPr>
        <w:spacing w:after="80"/>
      </w:pPr>
    </w:p>
    <w:p w14:paraId="64FF0EF6" w14:textId="77777777" w:rsidR="00C87BA9" w:rsidRDefault="00000000">
      <w:pPr>
        <w:pStyle w:val="Heading1"/>
        <w:shd w:val="clear" w:color="auto" w:fill="1C2B36"/>
        <w:spacing w:before="360"/>
      </w:pPr>
      <w:r>
        <w:rPr>
          <w:b w:val="0"/>
          <w:bCs w:val="0"/>
          <w:color w:val="14A085"/>
          <w:sz w:val="22"/>
          <w:szCs w:val="22"/>
        </w:rPr>
        <w:t xml:space="preserve">  07</w:t>
      </w:r>
      <w:r>
        <w:rPr>
          <w:color w:val="445566"/>
          <w:sz w:val="22"/>
          <w:szCs w:val="22"/>
        </w:rPr>
        <w:t xml:space="preserve">  |  </w:t>
      </w:r>
      <w:r>
        <w:t xml:space="preserve">Dashboard Overview  </w:t>
      </w:r>
    </w:p>
    <w:p w14:paraId="27EDE0FD" w14:textId="77777777" w:rsidR="00C87BA9" w:rsidRDefault="00C87BA9">
      <w:pPr>
        <w:spacing w:after="60"/>
      </w:pPr>
    </w:p>
    <w:p w14:paraId="6BDD19C8" w14:textId="77777777" w:rsidR="00C87BA9" w:rsidRDefault="00000000">
      <w:pPr>
        <w:spacing w:before="80" w:after="80"/>
        <w:jc w:val="both"/>
      </w:pPr>
      <w:r>
        <w:t>The Power BI dashboard is structured across four purpose-built pages, each targeting a specific audience and analytical use case. Together, they form a complete monitoring and reporting suite — from high-level executive summaries through to granular root-cause investigation.</w:t>
      </w:r>
    </w:p>
    <w:p w14:paraId="1C32FFA0" w14:textId="77777777" w:rsidR="00C87BA9" w:rsidRDefault="00C87BA9">
      <w:pPr>
        <w:spacing w:after="60"/>
      </w:pPr>
    </w:p>
    <w:p w14:paraId="6B855B3D" w14:textId="70DF0645" w:rsidR="00C87BA9" w:rsidRDefault="00000000">
      <w:pPr>
        <w:pStyle w:val="Heading2"/>
        <w:pBdr>
          <w:bottom w:val="single" w:sz="3" w:space="1" w:color="0D7377"/>
        </w:pBdr>
      </w:pPr>
      <w:r>
        <w:t xml:space="preserve">Page </w:t>
      </w:r>
      <w:r w:rsidR="00F67455">
        <w:t>1 —</w:t>
      </w:r>
      <w:r>
        <w:t xml:space="preserve">  Executive Overview</w:t>
      </w:r>
    </w:p>
    <w:p w14:paraId="760A2340" w14:textId="77777777" w:rsidR="00C87BA9" w:rsidRDefault="00000000">
      <w:pPr>
        <w:spacing w:before="80" w:after="80"/>
        <w:jc w:val="both"/>
      </w:pPr>
      <w:r>
        <w:t>Designed for leadership and operations managers requiring a rapid situational snapshot:</w:t>
      </w:r>
    </w:p>
    <w:p w14:paraId="7DF74442" w14:textId="77777777" w:rsidR="00C87BA9" w:rsidRDefault="00000000">
      <w:pPr>
        <w:pStyle w:val="ListParagraph"/>
        <w:numPr>
          <w:ilvl w:val="0"/>
          <w:numId w:val="2"/>
        </w:numPr>
        <w:spacing w:before="50" w:after="50"/>
      </w:pPr>
      <w:r>
        <w:rPr>
          <w:b/>
          <w:bCs/>
          <w:color w:val="0D7377"/>
        </w:rPr>
        <w:t xml:space="preserve">KPI scorecards — </w:t>
      </w:r>
      <w:r>
        <w:t>total active devices, cumulative alerts, and critical alert count with period-over-period change indicators</w:t>
      </w:r>
    </w:p>
    <w:p w14:paraId="12029B7B" w14:textId="77777777" w:rsidR="00C87BA9" w:rsidRDefault="00000000">
      <w:pPr>
        <w:pStyle w:val="ListParagraph"/>
        <w:numPr>
          <w:ilvl w:val="0"/>
          <w:numId w:val="2"/>
        </w:numPr>
        <w:spacing w:before="50" w:after="50"/>
      </w:pPr>
      <w:r>
        <w:rPr>
          <w:b/>
          <w:bCs/>
          <w:color w:val="0D7377"/>
        </w:rPr>
        <w:t xml:space="preserve">Alert severity distribution — </w:t>
      </w:r>
      <w:r>
        <w:t>doughnut chart breaking down alert volume by severity tier (Critical, High, Medium, Low)</w:t>
      </w:r>
    </w:p>
    <w:p w14:paraId="091368C5" w14:textId="77777777" w:rsidR="00C87BA9" w:rsidRDefault="00000000">
      <w:pPr>
        <w:pStyle w:val="ListParagraph"/>
        <w:numPr>
          <w:ilvl w:val="0"/>
          <w:numId w:val="2"/>
        </w:numPr>
        <w:spacing w:before="50" w:after="50"/>
      </w:pPr>
      <w:r>
        <w:rPr>
          <w:b/>
          <w:bCs/>
          <w:color w:val="0D7377"/>
        </w:rPr>
        <w:t xml:space="preserve">Live readings panel — </w:t>
      </w:r>
      <w:r>
        <w:t>latest sensor values across all active devices, highlighting readings approaching or breaching thresholds</w:t>
      </w:r>
    </w:p>
    <w:p w14:paraId="48A7120D" w14:textId="77777777" w:rsidR="00C87BA9" w:rsidRDefault="00C87BA9">
      <w:pPr>
        <w:spacing w:after="60"/>
      </w:pPr>
    </w:p>
    <w:p w14:paraId="4C6C574F" w14:textId="25C7F12E" w:rsidR="00C87BA9" w:rsidRDefault="00000000">
      <w:pPr>
        <w:pStyle w:val="Heading2"/>
        <w:pBdr>
          <w:bottom w:val="single" w:sz="3" w:space="1" w:color="0D7377"/>
        </w:pBdr>
      </w:pPr>
      <w:r>
        <w:t xml:space="preserve">Page </w:t>
      </w:r>
      <w:r w:rsidR="00F67455">
        <w:t>2 —</w:t>
      </w:r>
      <w:r>
        <w:t xml:space="preserve">  Device Health Monitoring</w:t>
      </w:r>
    </w:p>
    <w:p w14:paraId="735E62B0" w14:textId="77777777" w:rsidR="00C87BA9" w:rsidRDefault="00000000">
      <w:pPr>
        <w:spacing w:before="80" w:after="80"/>
        <w:jc w:val="both"/>
      </w:pPr>
      <w:r>
        <w:t>Operational dashboard for field engineers and device management teams:</w:t>
      </w:r>
    </w:p>
    <w:p w14:paraId="06FCF6D9" w14:textId="77777777" w:rsidR="00C87BA9" w:rsidRDefault="00000000">
      <w:pPr>
        <w:pStyle w:val="ListParagraph"/>
        <w:numPr>
          <w:ilvl w:val="0"/>
          <w:numId w:val="2"/>
        </w:numPr>
        <w:spacing w:before="50" w:after="50"/>
      </w:pPr>
      <w:r>
        <w:rPr>
          <w:b/>
          <w:bCs/>
          <w:color w:val="0D7377"/>
        </w:rPr>
        <w:t xml:space="preserve">Device performance grid — </w:t>
      </w:r>
      <w:r>
        <w:t>tabular view of each device showing status, uptime percentage, battery level, and signal strength</w:t>
      </w:r>
    </w:p>
    <w:p w14:paraId="31968E84" w14:textId="77777777" w:rsidR="00C87BA9" w:rsidRDefault="00000000">
      <w:pPr>
        <w:pStyle w:val="ListParagraph"/>
        <w:numPr>
          <w:ilvl w:val="0"/>
          <w:numId w:val="2"/>
        </w:numPr>
        <w:spacing w:before="50" w:after="50"/>
      </w:pPr>
      <w:r>
        <w:rPr>
          <w:b/>
          <w:bCs/>
          <w:color w:val="0D7377"/>
        </w:rPr>
        <w:t xml:space="preserve">Battery &amp; signal heatmap — </w:t>
      </w:r>
      <w:r>
        <w:t>visual health indicators enabling rapid identification of devices requiring maintenance</w:t>
      </w:r>
    </w:p>
    <w:p w14:paraId="77E633D1" w14:textId="14C6B1E7" w:rsidR="00C87BA9" w:rsidRDefault="00000000">
      <w:pPr>
        <w:pStyle w:val="ListParagraph"/>
        <w:numPr>
          <w:ilvl w:val="0"/>
          <w:numId w:val="2"/>
        </w:numPr>
        <w:spacing w:before="50" w:after="50"/>
      </w:pPr>
      <w:r>
        <w:rPr>
          <w:b/>
          <w:bCs/>
          <w:color w:val="0D7377"/>
        </w:rPr>
        <w:t xml:space="preserve">Geographic distribution map — </w:t>
      </w:r>
      <w:r>
        <w:t xml:space="preserve">facility-level map showing device locations with </w:t>
      </w:r>
      <w:r w:rsidR="00F67455">
        <w:t>color</w:t>
      </w:r>
      <w:r>
        <w:t>-coded alert status overlays</w:t>
      </w:r>
    </w:p>
    <w:p w14:paraId="555EDF45" w14:textId="77777777" w:rsidR="00C87BA9" w:rsidRDefault="00C87BA9">
      <w:pPr>
        <w:spacing w:after="60"/>
      </w:pPr>
    </w:p>
    <w:p w14:paraId="33A84E22" w14:textId="2B362B67" w:rsidR="00C87BA9" w:rsidRDefault="00000000">
      <w:pPr>
        <w:pStyle w:val="Heading2"/>
        <w:pBdr>
          <w:bottom w:val="single" w:sz="3" w:space="1" w:color="0D7377"/>
        </w:pBdr>
      </w:pPr>
      <w:r>
        <w:t xml:space="preserve">Page </w:t>
      </w:r>
      <w:r w:rsidR="00F67455">
        <w:t>3 —</w:t>
      </w:r>
      <w:r>
        <w:t xml:space="preserve">  Trend &amp; Anomaly Analysis</w:t>
      </w:r>
    </w:p>
    <w:p w14:paraId="5ACA2FB0" w14:textId="77777777" w:rsidR="00C87BA9" w:rsidRDefault="00000000">
      <w:pPr>
        <w:spacing w:before="80" w:after="80"/>
        <w:jc w:val="both"/>
      </w:pPr>
      <w:r>
        <w:t>Analytical page for data teams identifying patterns and forecasting maintenance needs:</w:t>
      </w:r>
    </w:p>
    <w:p w14:paraId="19945BC4" w14:textId="77777777" w:rsidR="00C87BA9" w:rsidRDefault="00000000">
      <w:pPr>
        <w:pStyle w:val="ListParagraph"/>
        <w:numPr>
          <w:ilvl w:val="0"/>
          <w:numId w:val="2"/>
        </w:numPr>
        <w:spacing w:before="50" w:after="50"/>
      </w:pPr>
      <w:r>
        <w:rPr>
          <w:b/>
          <w:bCs/>
          <w:color w:val="0D7377"/>
        </w:rPr>
        <w:t xml:space="preserve">Time-series line charts — </w:t>
      </w:r>
      <w:r>
        <w:t>sensor reading trends over selectable date ranges with rolling average overlays for smoothed pattern visibility</w:t>
      </w:r>
    </w:p>
    <w:p w14:paraId="6B912619" w14:textId="77777777" w:rsidR="00C87BA9" w:rsidRDefault="00000000">
      <w:pPr>
        <w:pStyle w:val="ListParagraph"/>
        <w:numPr>
          <w:ilvl w:val="0"/>
          <w:numId w:val="2"/>
        </w:numPr>
        <w:spacing w:before="50" w:after="50"/>
      </w:pPr>
      <w:r>
        <w:rPr>
          <w:b/>
          <w:bCs/>
          <w:color w:val="0D7377"/>
        </w:rPr>
        <w:t xml:space="preserve">Alert frequency trends — </w:t>
      </w:r>
      <w:r>
        <w:t>daily/weekly alert counts segmented by severity, revealing operational cycles and instability periods</w:t>
      </w:r>
    </w:p>
    <w:p w14:paraId="3A6F7A41" w14:textId="77777777" w:rsidR="00C87BA9" w:rsidRDefault="00000000">
      <w:pPr>
        <w:pStyle w:val="ListParagraph"/>
        <w:numPr>
          <w:ilvl w:val="0"/>
          <w:numId w:val="2"/>
        </w:numPr>
        <w:spacing w:before="50" w:after="50"/>
      </w:pPr>
      <w:r>
        <w:rPr>
          <w:b/>
          <w:bCs/>
          <w:color w:val="0D7377"/>
        </w:rPr>
        <w:t xml:space="preserve">Anomaly flagging — </w:t>
      </w:r>
      <w:r>
        <w:t>automated highlighting of readings that deviate beyond two standard deviations from the device baseline</w:t>
      </w:r>
    </w:p>
    <w:p w14:paraId="61B1DC1D" w14:textId="77777777" w:rsidR="00C87BA9" w:rsidRDefault="00C87BA9">
      <w:pPr>
        <w:spacing w:after="60"/>
      </w:pPr>
    </w:p>
    <w:p w14:paraId="7F562FD4" w14:textId="77777777" w:rsidR="00C87BA9" w:rsidRDefault="00000000">
      <w:pPr>
        <w:pStyle w:val="Heading2"/>
        <w:pBdr>
          <w:bottom w:val="single" w:sz="3" w:space="1" w:color="0D7377"/>
        </w:pBdr>
      </w:pPr>
      <w:r>
        <w:t>Page 4  —  Alert Deep Dive</w:t>
      </w:r>
    </w:p>
    <w:p w14:paraId="2875DC6A" w14:textId="77777777" w:rsidR="00C87BA9" w:rsidRDefault="00000000">
      <w:pPr>
        <w:spacing w:before="80" w:after="80"/>
        <w:jc w:val="both"/>
      </w:pPr>
      <w:r>
        <w:t>Investigation page for maintenance coordinators and incident response teams:</w:t>
      </w:r>
    </w:p>
    <w:p w14:paraId="4C95A6D9" w14:textId="106DC0F6" w:rsidR="00C87BA9" w:rsidRDefault="00000000">
      <w:pPr>
        <w:pStyle w:val="ListParagraph"/>
        <w:numPr>
          <w:ilvl w:val="0"/>
          <w:numId w:val="2"/>
        </w:numPr>
        <w:spacing w:before="50" w:after="50"/>
      </w:pPr>
      <w:r>
        <w:rPr>
          <w:b/>
          <w:bCs/>
          <w:color w:val="0D7377"/>
        </w:rPr>
        <w:lastRenderedPageBreak/>
        <w:t xml:space="preserve">Top offenders ranking — </w:t>
      </w:r>
      <w:r>
        <w:t xml:space="preserve">ranked bar chart of devices generating the highest alert volumes, enabling </w:t>
      </w:r>
      <w:r w:rsidR="00F67455">
        <w:t>prioritized</w:t>
      </w:r>
      <w:r>
        <w:t xml:space="preserve"> response</w:t>
      </w:r>
    </w:p>
    <w:p w14:paraId="242EB298" w14:textId="77777777" w:rsidR="00C87BA9" w:rsidRDefault="00000000">
      <w:pPr>
        <w:pStyle w:val="ListParagraph"/>
        <w:numPr>
          <w:ilvl w:val="0"/>
          <w:numId w:val="2"/>
        </w:numPr>
        <w:spacing w:before="50" w:after="50"/>
      </w:pPr>
      <w:r>
        <w:rPr>
          <w:b/>
          <w:bCs/>
          <w:color w:val="0D7377"/>
        </w:rPr>
        <w:t xml:space="preserve">Alert by sensor type &amp; location — </w:t>
      </w:r>
      <w:r>
        <w:t>matrix view cross-referencing alert counts against sensor category and facility zone</w:t>
      </w:r>
    </w:p>
    <w:p w14:paraId="2E8629F1" w14:textId="77777777" w:rsidR="00C87BA9" w:rsidRDefault="00000000">
      <w:pPr>
        <w:pStyle w:val="ListParagraph"/>
        <w:numPr>
          <w:ilvl w:val="0"/>
          <w:numId w:val="2"/>
        </w:numPr>
        <w:spacing w:before="50" w:after="50"/>
      </w:pPr>
      <w:r>
        <w:rPr>
          <w:b/>
          <w:bCs/>
          <w:color w:val="0D7377"/>
        </w:rPr>
        <w:t xml:space="preserve">Drill-through detail table — </w:t>
      </w:r>
      <w:r>
        <w:t>granular record-level view with timestamp, reading value, threshold breach margin, and alert severity for root-cause analysis</w:t>
      </w:r>
    </w:p>
    <w:p w14:paraId="6C03C948" w14:textId="77777777" w:rsidR="00C87BA9" w:rsidRDefault="00C87BA9">
      <w:pPr>
        <w:spacing w:after="80"/>
      </w:pPr>
    </w:p>
    <w:p w14:paraId="684DBAFA" w14:textId="77777777" w:rsidR="00C87BA9" w:rsidRDefault="00000000">
      <w:pPr>
        <w:pStyle w:val="Heading1"/>
        <w:shd w:val="clear" w:color="auto" w:fill="1C2B36"/>
        <w:spacing w:before="360"/>
      </w:pPr>
      <w:r>
        <w:rPr>
          <w:b w:val="0"/>
          <w:bCs w:val="0"/>
          <w:color w:val="14A085"/>
          <w:sz w:val="22"/>
          <w:szCs w:val="22"/>
        </w:rPr>
        <w:t xml:space="preserve">  08</w:t>
      </w:r>
      <w:r>
        <w:rPr>
          <w:color w:val="445566"/>
          <w:sz w:val="22"/>
          <w:szCs w:val="22"/>
        </w:rPr>
        <w:t xml:space="preserve">  |  </w:t>
      </w:r>
      <w:r>
        <w:t xml:space="preserve">Key Insights  </w:t>
      </w:r>
    </w:p>
    <w:p w14:paraId="090AF159" w14:textId="77777777" w:rsidR="00C87BA9" w:rsidRDefault="00C87BA9">
      <w:pPr>
        <w:spacing w:after="60"/>
      </w:pPr>
    </w:p>
    <w:p w14:paraId="03D9A5B9" w14:textId="77777777" w:rsidR="00C87BA9" w:rsidRDefault="00000000">
      <w:pPr>
        <w:spacing w:before="80" w:after="80"/>
        <w:jc w:val="both"/>
      </w:pPr>
      <w:r>
        <w:t>Exploratory analysis of the simulated dataset through the dashboard surface several operationally significant findings that reflect realistic patterns observed in production IoT environments:</w:t>
      </w:r>
    </w:p>
    <w:p w14:paraId="4FB75B22" w14:textId="77777777" w:rsidR="00C87BA9" w:rsidRDefault="00C87BA9">
      <w:pPr>
        <w:spacing w:after="40"/>
      </w:pPr>
    </w:p>
    <w:p w14:paraId="483018A5" w14:textId="77777777" w:rsidR="00C87BA9" w:rsidRDefault="00000000">
      <w:pPr>
        <w:pStyle w:val="ListParagraph"/>
        <w:numPr>
          <w:ilvl w:val="0"/>
          <w:numId w:val="2"/>
        </w:numPr>
        <w:spacing w:before="50" w:after="50"/>
      </w:pPr>
      <w:r>
        <w:rPr>
          <w:b/>
          <w:bCs/>
          <w:color w:val="0D7377"/>
        </w:rPr>
        <w:t xml:space="preserve">Device-Level Risk Concentration — </w:t>
      </w:r>
      <w:r>
        <w:t>Device-006 accounts for a disproportionate share of total alerts relative to its peer devices, indicating probable hardware degradation, sensor miscalibration, or environmental exposure beyond design tolerances. In a live environment, this device would be a priority for physical inspection.</w:t>
      </w:r>
    </w:p>
    <w:p w14:paraId="782E3DFE" w14:textId="77777777" w:rsidR="00C87BA9" w:rsidRDefault="00C87BA9">
      <w:pPr>
        <w:spacing w:after="20"/>
      </w:pPr>
    </w:p>
    <w:p w14:paraId="210D2120" w14:textId="77777777" w:rsidR="00C87BA9" w:rsidRDefault="00000000">
      <w:pPr>
        <w:pStyle w:val="ListParagraph"/>
        <w:numPr>
          <w:ilvl w:val="0"/>
          <w:numId w:val="2"/>
        </w:numPr>
        <w:spacing w:before="50" w:after="50"/>
      </w:pPr>
      <w:r>
        <w:rPr>
          <w:b/>
          <w:bCs/>
          <w:color w:val="0D7377"/>
        </w:rPr>
        <w:t xml:space="preserve">Humidity as the Dominant Alert Driver — </w:t>
      </w:r>
      <w:r>
        <w:t>Humidity sensors generate the highest aggregate alert volume across all sensor types. This may reflect either genuinely volatile ambient conditions or threshold settings that are more conservative than operationally necessary — both of which warrant investigation before production deployment.</w:t>
      </w:r>
    </w:p>
    <w:p w14:paraId="0FBC992D" w14:textId="77777777" w:rsidR="00C87BA9" w:rsidRDefault="00C87BA9">
      <w:pPr>
        <w:spacing w:after="20"/>
      </w:pPr>
    </w:p>
    <w:p w14:paraId="514D10F0" w14:textId="77777777" w:rsidR="00C87BA9" w:rsidRDefault="00000000">
      <w:pPr>
        <w:pStyle w:val="ListParagraph"/>
        <w:numPr>
          <w:ilvl w:val="0"/>
          <w:numId w:val="2"/>
        </w:numPr>
        <w:spacing w:before="50" w:after="50"/>
      </w:pPr>
      <w:r>
        <w:rPr>
          <w:b/>
          <w:bCs/>
          <w:color w:val="0D7377"/>
        </w:rPr>
        <w:t xml:space="preserve">Cyclical Alert Patterns — </w:t>
      </w:r>
      <w:r>
        <w:t>Alert frequency does not distribute uniformly over time. Day-of-week and hour-of-day clustering is visible in trend charts, suggesting that certain operational activities or environmental shifts — such as shift changeovers or temperature cycles — correlate with elevated sensor stress.</w:t>
      </w:r>
    </w:p>
    <w:p w14:paraId="148FACDE" w14:textId="77777777" w:rsidR="00C87BA9" w:rsidRDefault="00C87BA9">
      <w:pPr>
        <w:spacing w:after="20"/>
      </w:pPr>
    </w:p>
    <w:p w14:paraId="66E786C7" w14:textId="77777777" w:rsidR="00C87BA9" w:rsidRDefault="00000000">
      <w:pPr>
        <w:pStyle w:val="ListParagraph"/>
        <w:numPr>
          <w:ilvl w:val="0"/>
          <w:numId w:val="2"/>
        </w:numPr>
        <w:spacing w:before="50" w:after="50"/>
      </w:pPr>
      <w:r>
        <w:rPr>
          <w:b/>
          <w:bCs/>
          <w:color w:val="0D7377"/>
        </w:rPr>
        <w:t xml:space="preserve">Geographic Alert Concentration — </w:t>
      </w:r>
      <w:r>
        <w:t>Specific facility zones exhibit consistently higher alert densities than others, suggesting that location-specific factors such as proximity to heat sources, poor ventilation, or vibration from adjacent machinery may be contributing factors requiring site-level investigation.</w:t>
      </w:r>
    </w:p>
    <w:p w14:paraId="5B2A8118" w14:textId="77777777" w:rsidR="00C87BA9" w:rsidRDefault="00C87BA9">
      <w:pPr>
        <w:spacing w:after="40"/>
      </w:pPr>
    </w:p>
    <w:p w14:paraId="08A758C7" w14:textId="0729413C" w:rsidR="00C87BA9" w:rsidRDefault="00000000">
      <w:pPr>
        <w:pBdr>
          <w:left w:val="single" w:sz="18" w:space="4" w:color="0D7377"/>
        </w:pBdr>
        <w:shd w:val="clear" w:color="auto" w:fill="E8F6F5"/>
        <w:spacing w:before="100" w:after="100"/>
        <w:ind w:left="360" w:right="360"/>
        <w:jc w:val="both"/>
      </w:pPr>
      <w:r>
        <w:rPr>
          <w:i/>
          <w:iCs/>
          <w:color w:val="2C3E50"/>
        </w:rPr>
        <w:t xml:space="preserve">These insights demonstrate the practical value of the dashboard beyond data display — it enables hypothesis formation, </w:t>
      </w:r>
      <w:r w:rsidR="00F67455">
        <w:rPr>
          <w:i/>
          <w:iCs/>
          <w:color w:val="2C3E50"/>
        </w:rPr>
        <w:t>prioritized</w:t>
      </w:r>
      <w:r>
        <w:rPr>
          <w:i/>
          <w:iCs/>
          <w:color w:val="2C3E50"/>
        </w:rPr>
        <w:t xml:space="preserve"> investigation, and evidence-based operational decision-making.</w:t>
      </w:r>
    </w:p>
    <w:p w14:paraId="170582B8" w14:textId="77777777" w:rsidR="00C87BA9" w:rsidRDefault="00C87BA9">
      <w:pPr>
        <w:spacing w:after="80"/>
      </w:pPr>
    </w:p>
    <w:p w14:paraId="497477B4" w14:textId="77777777" w:rsidR="00C87BA9" w:rsidRDefault="00000000">
      <w:pPr>
        <w:pStyle w:val="Heading1"/>
        <w:shd w:val="clear" w:color="auto" w:fill="1C2B36"/>
        <w:spacing w:before="360"/>
      </w:pPr>
      <w:r>
        <w:rPr>
          <w:b w:val="0"/>
          <w:bCs w:val="0"/>
          <w:color w:val="14A085"/>
          <w:sz w:val="22"/>
          <w:szCs w:val="22"/>
        </w:rPr>
        <w:t xml:space="preserve">  09</w:t>
      </w:r>
      <w:r>
        <w:rPr>
          <w:color w:val="445566"/>
          <w:sz w:val="22"/>
          <w:szCs w:val="22"/>
        </w:rPr>
        <w:t xml:space="preserve">  |  </w:t>
      </w:r>
      <w:r>
        <w:t xml:space="preserve">Technical Challenges &amp; Resolutions  </w:t>
      </w:r>
    </w:p>
    <w:p w14:paraId="14210A56" w14:textId="77777777" w:rsidR="00C87BA9" w:rsidRDefault="00C87BA9">
      <w:pPr>
        <w:spacing w:after="60"/>
      </w:pPr>
    </w:p>
    <w:p w14:paraId="529645D4" w14:textId="77777777" w:rsidR="00C87BA9" w:rsidRDefault="00000000">
      <w:pPr>
        <w:spacing w:before="80" w:after="80"/>
        <w:jc w:val="both"/>
      </w:pPr>
      <w:r>
        <w:t>The following challenges were encountered during development. Each represents a genuine technical obstacle that required research, experimentation, and iterative problem-solving — skills directly transferable to professional data engineering roles.</w:t>
      </w:r>
    </w:p>
    <w:p w14:paraId="6A01C5E2" w14:textId="77777777" w:rsidR="00C87BA9" w:rsidRDefault="00C87BA9">
      <w:pPr>
        <w:spacing w:after="40"/>
      </w:pPr>
    </w:p>
    <w:p w14:paraId="3F6E7048" w14:textId="77777777" w:rsidR="00F67455" w:rsidRDefault="00F67455">
      <w:pPr>
        <w:spacing w:after="40"/>
      </w:pPr>
    </w:p>
    <w:p w14:paraId="61115035" w14:textId="77777777" w:rsidR="00C87BA9" w:rsidRDefault="00000000">
      <w:pPr>
        <w:pStyle w:val="Heading2"/>
        <w:pBdr>
          <w:bottom w:val="single" w:sz="3" w:space="1" w:color="0D7377"/>
        </w:pBdr>
      </w:pPr>
      <w:r>
        <w:lastRenderedPageBreak/>
        <w:t>Data Model Relationship Ambiguity</w:t>
      </w:r>
    </w:p>
    <w:p w14:paraId="703EEAAD" w14:textId="458C97A8" w:rsidR="00C87BA9" w:rsidRDefault="00000000">
      <w:pPr>
        <w:spacing w:before="80" w:after="80"/>
        <w:jc w:val="both"/>
      </w:pPr>
      <w:r>
        <w:t xml:space="preserve">Power BI raised ambiguous relationship errors when multiple dimension tables shared join paths to the fact table. This was resolved by auditing the schema to eliminate redundant cross-references and implementing single, unambiguous active relationships, with inactive relationships handled explicitly via </w:t>
      </w:r>
      <w:r w:rsidR="00F67455">
        <w:t>USERELATIONSHIP (</w:t>
      </w:r>
      <w:r>
        <w:t>) in DAX where required.</w:t>
      </w:r>
    </w:p>
    <w:p w14:paraId="38BDDE7E" w14:textId="77777777" w:rsidR="00C87BA9" w:rsidRDefault="00C87BA9">
      <w:pPr>
        <w:spacing w:after="40"/>
      </w:pPr>
    </w:p>
    <w:p w14:paraId="670D5420" w14:textId="77777777" w:rsidR="00C87BA9" w:rsidRDefault="00000000">
      <w:pPr>
        <w:pStyle w:val="Heading2"/>
        <w:pBdr>
          <w:bottom w:val="single" w:sz="3" w:space="1" w:color="0D7377"/>
        </w:pBdr>
      </w:pPr>
      <w:r>
        <w:t>Filter Context Propagation Errors</w:t>
      </w:r>
    </w:p>
    <w:p w14:paraId="05612CFD" w14:textId="2FD5FC51" w:rsidR="00C87BA9" w:rsidRDefault="00000000">
      <w:pPr>
        <w:spacing w:before="80" w:after="80"/>
        <w:jc w:val="both"/>
      </w:pPr>
      <w:r>
        <w:t xml:space="preserve">Certain DAX measures returned incorrect aggregations due to misconfigured filter context — a common but subtle issue when working with star schemas containing multiple related dimensions. Each measure was refactored using explicit </w:t>
      </w:r>
      <w:r w:rsidR="00F67455">
        <w:t>CALCULATE (</w:t>
      </w:r>
      <w:r>
        <w:t xml:space="preserve">) scoping to ensure correct and predictable </w:t>
      </w:r>
      <w:r w:rsidR="00F67455">
        <w:t>behavior</w:t>
      </w:r>
      <w:r>
        <w:t xml:space="preserve"> across all filter combinations.</w:t>
      </w:r>
    </w:p>
    <w:p w14:paraId="7C07A5D2" w14:textId="77777777" w:rsidR="00C87BA9" w:rsidRDefault="00C87BA9">
      <w:pPr>
        <w:spacing w:after="40"/>
      </w:pPr>
    </w:p>
    <w:p w14:paraId="4C71672B" w14:textId="77777777" w:rsidR="00C87BA9" w:rsidRDefault="00000000">
      <w:pPr>
        <w:pStyle w:val="Heading2"/>
        <w:pBdr>
          <w:bottom w:val="single" w:sz="3" w:space="1" w:color="0D7377"/>
        </w:pBdr>
      </w:pPr>
      <w:r>
        <w:t>Dashboard Readability for Mixed Audiences</w:t>
      </w:r>
    </w:p>
    <w:p w14:paraId="358FBC75" w14:textId="77777777" w:rsidR="00C87BA9" w:rsidRDefault="00000000">
      <w:pPr>
        <w:spacing w:before="80" w:after="80"/>
        <w:jc w:val="both"/>
      </w:pPr>
      <w:r>
        <w:t>Designing a dashboard that satisfies both executive users (who need immediate visual clarity) and technical users (who require data granularity) required multiple design iterations. The solution was a layered approach: summary KPIs at page level with drill-through navigation to detailed record-level views, keeping each page visually clean without sacrificing analytical depth.</w:t>
      </w:r>
    </w:p>
    <w:p w14:paraId="663D9431" w14:textId="77777777" w:rsidR="00C87BA9" w:rsidRDefault="00C87BA9">
      <w:pPr>
        <w:spacing w:after="80"/>
      </w:pPr>
    </w:p>
    <w:p w14:paraId="636B04C6" w14:textId="77777777" w:rsidR="00C87BA9" w:rsidRDefault="00000000">
      <w:pPr>
        <w:pStyle w:val="Heading1"/>
        <w:shd w:val="clear" w:color="auto" w:fill="1C2B36"/>
        <w:spacing w:before="360"/>
      </w:pPr>
      <w:r>
        <w:rPr>
          <w:b w:val="0"/>
          <w:bCs w:val="0"/>
          <w:color w:val="14A085"/>
          <w:sz w:val="22"/>
          <w:szCs w:val="22"/>
        </w:rPr>
        <w:t xml:space="preserve">  10</w:t>
      </w:r>
      <w:r>
        <w:rPr>
          <w:color w:val="445566"/>
          <w:sz w:val="22"/>
          <w:szCs w:val="22"/>
        </w:rPr>
        <w:t xml:space="preserve">  |  </w:t>
      </w:r>
      <w:r>
        <w:t xml:space="preserve">Conclusion  </w:t>
      </w:r>
    </w:p>
    <w:p w14:paraId="1BA30C21" w14:textId="77777777" w:rsidR="00C87BA9" w:rsidRDefault="00C87BA9">
      <w:pPr>
        <w:spacing w:after="60"/>
      </w:pPr>
    </w:p>
    <w:p w14:paraId="59150C8D" w14:textId="3B11F3C5" w:rsidR="00C87BA9" w:rsidRDefault="00000000">
      <w:pPr>
        <w:spacing w:before="80" w:after="80"/>
        <w:jc w:val="both"/>
      </w:pPr>
      <w:r>
        <w:t xml:space="preserve">This project delivers a complete, end-to-end IoT data analytics solution — spanning synthetic data engineering, relational database design, SQL-based transformation and alerting, and professional Power BI reporting. It demonstrates that raw, high-frequency sensor data can be systematically structured, enriched, and </w:t>
      </w:r>
      <w:r w:rsidR="00F67455">
        <w:t>visualized</w:t>
      </w:r>
      <w:r>
        <w:t xml:space="preserve"> to produce intelligence that is genuinely useful to decision-makers at every level of an </w:t>
      </w:r>
      <w:r w:rsidR="00F67455">
        <w:t>organization</w:t>
      </w:r>
      <w:r>
        <w:t>.</w:t>
      </w:r>
    </w:p>
    <w:p w14:paraId="178F70C4" w14:textId="77777777" w:rsidR="00C87BA9" w:rsidRDefault="00C87BA9">
      <w:pPr>
        <w:spacing w:after="40"/>
      </w:pPr>
    </w:p>
    <w:p w14:paraId="74E5C61F" w14:textId="2F53B566" w:rsidR="00C87BA9" w:rsidRDefault="00000000">
      <w:pPr>
        <w:spacing w:before="80" w:after="80"/>
        <w:jc w:val="both"/>
      </w:pPr>
      <w:r>
        <w:t xml:space="preserve">The four-page dashboard provides a layered analytical experience: from macro-level executive KPIs, through device health monitoring and trend analysis, to granular alert investigation — all within a single, cohesive reporting suite. The star schema data model and </w:t>
      </w:r>
      <w:r w:rsidR="00F67455">
        <w:t>parameterized</w:t>
      </w:r>
      <w:r>
        <w:t xml:space="preserve"> threshold logic ensure that the solution is extensible: new sensor types, devices, or locations can be added without architectural change.</w:t>
      </w:r>
    </w:p>
    <w:p w14:paraId="2DEE98EF" w14:textId="77777777" w:rsidR="00C87BA9" w:rsidRDefault="00C87BA9">
      <w:pPr>
        <w:spacing w:after="40"/>
      </w:pPr>
    </w:p>
    <w:p w14:paraId="356DE476" w14:textId="77777777" w:rsidR="00C87BA9" w:rsidRDefault="00000000">
      <w:pPr>
        <w:pBdr>
          <w:left w:val="single" w:sz="18" w:space="4" w:color="0D7377"/>
        </w:pBdr>
        <w:shd w:val="clear" w:color="auto" w:fill="E8F6F5"/>
        <w:spacing w:before="100" w:after="100"/>
        <w:ind w:left="360" w:right="360"/>
        <w:jc w:val="both"/>
      </w:pPr>
      <w:r>
        <w:rPr>
          <w:i/>
          <w:iCs/>
          <w:color w:val="2C3E50"/>
        </w:rPr>
        <w:t>Built independently as a portfolio project, this solution reflects Venkata Sai Krishna Baggu's applied capabilities across the full data stack — Python data engineering, PostgreSQL database design, SQL transformation logic, and Power BI analytics — and serves as a practical demonstration of readiness for professional data engineering and analytics roles.</w:t>
      </w:r>
    </w:p>
    <w:p w14:paraId="53E26253" w14:textId="77777777" w:rsidR="00C87BA9" w:rsidRDefault="00C87BA9">
      <w:pPr>
        <w:spacing w:after="80"/>
      </w:pPr>
    </w:p>
    <w:p w14:paraId="2EE2F3BA" w14:textId="77777777" w:rsidR="00C87BA9" w:rsidRDefault="00000000">
      <w:pPr>
        <w:pStyle w:val="Heading1"/>
        <w:shd w:val="clear" w:color="auto" w:fill="1C2B36"/>
        <w:spacing w:before="360"/>
      </w:pPr>
      <w:r>
        <w:rPr>
          <w:b w:val="0"/>
          <w:bCs w:val="0"/>
          <w:color w:val="14A085"/>
          <w:sz w:val="22"/>
          <w:szCs w:val="22"/>
        </w:rPr>
        <w:t xml:space="preserve">  11</w:t>
      </w:r>
      <w:r>
        <w:rPr>
          <w:color w:val="445566"/>
          <w:sz w:val="22"/>
          <w:szCs w:val="22"/>
        </w:rPr>
        <w:t xml:space="preserve">  |  </w:t>
      </w:r>
      <w:r>
        <w:t xml:space="preserve">Future Roadmap  </w:t>
      </w:r>
    </w:p>
    <w:p w14:paraId="53ACFDC9" w14:textId="77777777" w:rsidR="00C87BA9" w:rsidRDefault="00C87BA9">
      <w:pPr>
        <w:spacing w:after="60"/>
      </w:pPr>
    </w:p>
    <w:p w14:paraId="2E90F258" w14:textId="77777777" w:rsidR="00C87BA9" w:rsidRDefault="00000000">
      <w:pPr>
        <w:spacing w:before="80" w:after="80"/>
        <w:jc w:val="both"/>
      </w:pPr>
      <w:r>
        <w:t>The current solution establishes a solid architectural foundation. The following enhancements represent a natural progression toward a production-grade, enterprise-ready IoT monitoring platform:</w:t>
      </w:r>
    </w:p>
    <w:p w14:paraId="09ADEA25" w14:textId="77777777" w:rsidR="00C87BA9" w:rsidRDefault="00C87BA9">
      <w:pPr>
        <w:spacing w:after="40"/>
      </w:pPr>
    </w:p>
    <w:p w14:paraId="6FFC4E8D" w14:textId="77777777" w:rsidR="00C87BA9" w:rsidRDefault="00000000">
      <w:pPr>
        <w:pStyle w:val="Heading2"/>
        <w:pBdr>
          <w:bottom w:val="single" w:sz="3" w:space="1" w:color="0D7377"/>
        </w:pBdr>
      </w:pPr>
      <w:r>
        <w:lastRenderedPageBreak/>
        <w:t>Phase 2 — Real-Time Streaming</w:t>
      </w:r>
    </w:p>
    <w:p w14:paraId="3D5E7182" w14:textId="77777777" w:rsidR="00C87BA9" w:rsidRDefault="00000000">
      <w:pPr>
        <w:spacing w:before="80" w:after="80"/>
        <w:jc w:val="both"/>
      </w:pPr>
      <w:r>
        <w:t>Replace batch Python data generation with a live MQTT or Apache Kafka streaming layer, enabling sub-second dashboard refresh rates and true real-time alerting. This would involve integrating a streaming ingestion layer such as Azure Stream Analytics or AWS Kinesis upstream of the PostgreSQL storage tier.</w:t>
      </w:r>
    </w:p>
    <w:p w14:paraId="6B354C7C" w14:textId="77777777" w:rsidR="00C87BA9" w:rsidRDefault="00C87BA9">
      <w:pPr>
        <w:spacing w:after="40"/>
      </w:pPr>
    </w:p>
    <w:p w14:paraId="76C41D17" w14:textId="77777777" w:rsidR="00C87BA9" w:rsidRDefault="00000000">
      <w:pPr>
        <w:pStyle w:val="Heading2"/>
        <w:pBdr>
          <w:bottom w:val="single" w:sz="3" w:space="1" w:color="0D7377"/>
        </w:pBdr>
      </w:pPr>
      <w:r>
        <w:t>Phase 3 — Predictive Maintenance</w:t>
      </w:r>
    </w:p>
    <w:p w14:paraId="5C9CF8DC" w14:textId="77777777" w:rsidR="00C87BA9" w:rsidRDefault="00000000">
      <w:pPr>
        <w:spacing w:before="80" w:after="80"/>
        <w:jc w:val="both"/>
      </w:pPr>
      <w:r>
        <w:t>Integrate a machine learning inference layer — trained on historical sensor patterns — to predict device failure probability before threshold breaches occur. Models such as isolation forests for anomaly detection or LSTM networks for time-series forecasting would complement the existing rule-based alerting approach.</w:t>
      </w:r>
    </w:p>
    <w:p w14:paraId="0D03F35B" w14:textId="77777777" w:rsidR="00C87BA9" w:rsidRDefault="00C87BA9">
      <w:pPr>
        <w:spacing w:after="40"/>
      </w:pPr>
    </w:p>
    <w:p w14:paraId="6B9B9EF5" w14:textId="77777777" w:rsidR="00C87BA9" w:rsidRDefault="00000000">
      <w:pPr>
        <w:pStyle w:val="Heading2"/>
        <w:pBdr>
          <w:bottom w:val="single" w:sz="3" w:space="1" w:color="0D7377"/>
        </w:pBdr>
      </w:pPr>
      <w:r>
        <w:t>Phase 4 — Automated Notifications</w:t>
      </w:r>
    </w:p>
    <w:p w14:paraId="4C2DFFFC" w14:textId="77777777" w:rsidR="00C87BA9" w:rsidRDefault="00000000">
      <w:pPr>
        <w:spacing w:before="80" w:after="80"/>
        <w:jc w:val="both"/>
      </w:pPr>
      <w:r>
        <w:t>Implement a configurable alert escalation engine that triggers notifications via email, SMS, or Slack/Teams webhooks when severity thresholds are crossed. Escalation rules would be configurable per device, sensor type, and business hours policy.</w:t>
      </w:r>
    </w:p>
    <w:p w14:paraId="1BC23E71" w14:textId="77777777" w:rsidR="00C87BA9" w:rsidRDefault="00C87BA9">
      <w:pPr>
        <w:spacing w:after="40"/>
      </w:pPr>
    </w:p>
    <w:p w14:paraId="05E22B01" w14:textId="77777777" w:rsidR="00C87BA9" w:rsidRDefault="00000000">
      <w:pPr>
        <w:pStyle w:val="Heading2"/>
        <w:pBdr>
          <w:bottom w:val="single" w:sz="3" w:space="1" w:color="0D7377"/>
        </w:pBdr>
      </w:pPr>
      <w:r>
        <w:t>Phase 5 — Cloud Deployment</w:t>
      </w:r>
    </w:p>
    <w:p w14:paraId="50987072" w14:textId="77777777" w:rsidR="00C87BA9" w:rsidRDefault="00000000">
      <w:pPr>
        <w:spacing w:before="80" w:after="80"/>
        <w:jc w:val="both"/>
      </w:pPr>
      <w:r>
        <w:t>Migrate the full pipeline to a cloud-native architecture using Azure Data Factory for orchestration, Azure Database for PostgreSQL as the managed database tier, and Power BI Premium for enterprise-scale reporting with row-level security and scheduled dataset refresh.</w:t>
      </w:r>
    </w:p>
    <w:p w14:paraId="031EB044" w14:textId="77777777" w:rsidR="00C87BA9" w:rsidRDefault="00C87BA9">
      <w:pPr>
        <w:spacing w:after="300"/>
      </w:pPr>
    </w:p>
    <w:sectPr w:rsidR="00C87BA9">
      <w:headerReference w:type="default" r:id="rId7"/>
      <w:footerReference w:type="default" r:id="rId8"/>
      <w:pgSz w:w="12240" w:h="15840"/>
      <w:pgMar w:top="1080" w:right="126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683E45" w14:textId="77777777" w:rsidR="00F6126E" w:rsidRDefault="00F6126E">
      <w:r>
        <w:separator/>
      </w:r>
    </w:p>
  </w:endnote>
  <w:endnote w:type="continuationSeparator" w:id="0">
    <w:p w14:paraId="6228D117" w14:textId="77777777" w:rsidR="00F6126E" w:rsidRDefault="00F612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DEFEC5" w14:textId="00741F2B" w:rsidR="00C87BA9" w:rsidRDefault="00000000">
    <w:pPr>
      <w:pBdr>
        <w:top w:val="single" w:sz="4" w:space="2" w:color="0D7377"/>
      </w:pBdr>
      <w:spacing w:before="80"/>
    </w:pPr>
    <w:r>
      <w:rPr>
        <w:color w:val="607D8B"/>
        <w:sz w:val="16"/>
        <w:szCs w:val="16"/>
      </w:rPr>
      <w:t xml:space="preserve">Portfolio </w:t>
    </w:r>
    <w:r w:rsidR="00F67455">
      <w:rPr>
        <w:color w:val="607D8B"/>
        <w:sz w:val="16"/>
        <w:szCs w:val="16"/>
      </w:rPr>
      <w:t>Project · Personal</w:t>
    </w:r>
    <w:r>
      <w:rPr>
        <w:color w:val="607D8B"/>
        <w:sz w:val="16"/>
        <w:szCs w:val="16"/>
      </w:rPr>
      <w:t xml:space="preserve"> &amp; Non-Commercial Use</w:t>
    </w:r>
    <w:r>
      <w:rPr>
        <w:sz w:val="16"/>
        <w:szCs w:val="16"/>
      </w:rPr>
      <w:ptab w:relativeTo="margin" w:alignment="right" w:leader="none"/>
    </w:r>
    <w:r>
      <w:rPr>
        <w:color w:val="607D8B"/>
        <w:sz w:val="16"/>
        <w:szCs w:val="16"/>
      </w:rPr>
      <w:t xml:space="preserve">Page </w:t>
    </w:r>
    <w:r>
      <w:rPr>
        <w:b/>
        <w:bCs/>
        <w:color w:val="0D7377"/>
        <w:sz w:val="16"/>
        <w:szCs w:val="16"/>
      </w:rPr>
      <w:fldChar w:fldCharType="begin"/>
    </w:r>
    <w:r>
      <w:rPr>
        <w:b/>
        <w:bCs/>
        <w:color w:val="0D7377"/>
        <w:sz w:val="16"/>
        <w:szCs w:val="16"/>
      </w:rPr>
      <w:instrText>PAGE</w:instrText>
    </w:r>
    <w:r>
      <w:rPr>
        <w:b/>
        <w:bCs/>
        <w:color w:val="0D7377"/>
        <w:sz w:val="16"/>
        <w:szCs w:val="16"/>
      </w:rPr>
      <w:fldChar w:fldCharType="separate"/>
    </w:r>
    <w:r w:rsidR="00F67455">
      <w:rPr>
        <w:b/>
        <w:bCs/>
        <w:noProof/>
        <w:color w:val="0D7377"/>
        <w:sz w:val="16"/>
        <w:szCs w:val="16"/>
      </w:rPr>
      <w:t>1</w:t>
    </w:r>
    <w:r>
      <w:rPr>
        <w:b/>
        <w:bCs/>
        <w:color w:val="0D7377"/>
        <w:sz w:val="16"/>
        <w:szCs w:val="16"/>
      </w:rPr>
      <w:fldChar w:fldCharType="end"/>
    </w:r>
    <w:r>
      <w:rPr>
        <w:color w:val="607D8B"/>
        <w:sz w:val="16"/>
        <w:szCs w:val="16"/>
      </w:rPr>
      <w:t xml:space="preserve"> of </w:t>
    </w:r>
    <w:r>
      <w:rPr>
        <w:color w:val="607D8B"/>
        <w:sz w:val="16"/>
        <w:szCs w:val="16"/>
      </w:rPr>
      <w:fldChar w:fldCharType="begin"/>
    </w:r>
    <w:r>
      <w:rPr>
        <w:color w:val="607D8B"/>
        <w:sz w:val="16"/>
        <w:szCs w:val="16"/>
      </w:rPr>
      <w:instrText>NUMPAGES</w:instrText>
    </w:r>
    <w:r>
      <w:rPr>
        <w:color w:val="607D8B"/>
        <w:sz w:val="16"/>
        <w:szCs w:val="16"/>
      </w:rPr>
      <w:fldChar w:fldCharType="separate"/>
    </w:r>
    <w:r w:rsidR="00F67455">
      <w:rPr>
        <w:noProof/>
        <w:color w:val="607D8B"/>
        <w:sz w:val="16"/>
        <w:szCs w:val="16"/>
      </w:rPr>
      <w:t>2</w:t>
    </w:r>
    <w:r>
      <w:rPr>
        <w:color w:val="607D8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65EAEB" w14:textId="77777777" w:rsidR="00F6126E" w:rsidRDefault="00F6126E">
      <w:r>
        <w:separator/>
      </w:r>
    </w:p>
  </w:footnote>
  <w:footnote w:type="continuationSeparator" w:id="0">
    <w:p w14:paraId="6FC35A2C" w14:textId="77777777" w:rsidR="00F6126E" w:rsidRDefault="00F612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14336C" w14:textId="69D992F0" w:rsidR="00C87BA9" w:rsidRDefault="00000000">
    <w:pPr>
      <w:pBdr>
        <w:bottom w:val="single" w:sz="4" w:space="2" w:color="0D7377"/>
      </w:pBdr>
    </w:pPr>
    <w:r>
      <w:rPr>
        <w:b/>
        <w:bCs/>
        <w:color w:val="0D7377"/>
        <w:sz w:val="18"/>
        <w:szCs w:val="18"/>
      </w:rPr>
      <w:t xml:space="preserve">IoT Sensor Monitoring </w:t>
    </w:r>
    <w:r w:rsidR="00F67455">
      <w:rPr>
        <w:b/>
        <w:bCs/>
        <w:color w:val="0D7377"/>
        <w:sz w:val="18"/>
        <w:szCs w:val="18"/>
      </w:rPr>
      <w:t>Dashboard</w:t>
    </w:r>
    <w:r w:rsidR="00F67455">
      <w:rPr>
        <w:color w:val="607D8B"/>
        <w:sz w:val="18"/>
        <w:szCs w:val="18"/>
      </w:rPr>
      <w:t xml:space="preserve"> · Technical</w:t>
    </w:r>
    <w:r>
      <w:rPr>
        <w:color w:val="607D8B"/>
        <w:sz w:val="18"/>
        <w:szCs w:val="18"/>
      </w:rPr>
      <w:t xml:space="preserve"> Project Report</w:t>
    </w:r>
    <w:r>
      <w:rPr>
        <w:sz w:val="18"/>
        <w:szCs w:val="18"/>
      </w:rPr>
      <w:ptab w:relativeTo="margin" w:alignment="right" w:leader="none"/>
    </w:r>
    <w:r>
      <w:rPr>
        <w:color w:val="607D8B"/>
        <w:sz w:val="18"/>
        <w:szCs w:val="18"/>
      </w:rPr>
      <w:t>Venkata Sai Krishna Baggu  ·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8822C89"/>
    <w:multiLevelType w:val="hybridMultilevel"/>
    <w:tmpl w:val="8012A6AE"/>
    <w:lvl w:ilvl="0" w:tplc="E07E04DC">
      <w:start w:val="1"/>
      <w:numFmt w:val="bullet"/>
      <w:lvlText w:val="●"/>
      <w:lvlJc w:val="left"/>
      <w:pPr>
        <w:ind w:left="720" w:hanging="360"/>
      </w:pPr>
    </w:lvl>
    <w:lvl w:ilvl="1" w:tplc="D548A630">
      <w:start w:val="1"/>
      <w:numFmt w:val="bullet"/>
      <w:lvlText w:val="○"/>
      <w:lvlJc w:val="left"/>
      <w:pPr>
        <w:ind w:left="1440" w:hanging="360"/>
      </w:pPr>
    </w:lvl>
    <w:lvl w:ilvl="2" w:tplc="06A07502">
      <w:start w:val="1"/>
      <w:numFmt w:val="bullet"/>
      <w:lvlText w:val="■"/>
      <w:lvlJc w:val="left"/>
      <w:pPr>
        <w:ind w:left="2160" w:hanging="360"/>
      </w:pPr>
    </w:lvl>
    <w:lvl w:ilvl="3" w:tplc="3364CFB6">
      <w:start w:val="1"/>
      <w:numFmt w:val="bullet"/>
      <w:lvlText w:val="●"/>
      <w:lvlJc w:val="left"/>
      <w:pPr>
        <w:ind w:left="2880" w:hanging="360"/>
      </w:pPr>
    </w:lvl>
    <w:lvl w:ilvl="4" w:tplc="32F06966">
      <w:start w:val="1"/>
      <w:numFmt w:val="bullet"/>
      <w:lvlText w:val="○"/>
      <w:lvlJc w:val="left"/>
      <w:pPr>
        <w:ind w:left="3600" w:hanging="360"/>
      </w:pPr>
    </w:lvl>
    <w:lvl w:ilvl="5" w:tplc="FE3E41B0">
      <w:start w:val="1"/>
      <w:numFmt w:val="bullet"/>
      <w:lvlText w:val="■"/>
      <w:lvlJc w:val="left"/>
      <w:pPr>
        <w:ind w:left="4320" w:hanging="360"/>
      </w:pPr>
    </w:lvl>
    <w:lvl w:ilvl="6" w:tplc="5126894A">
      <w:start w:val="1"/>
      <w:numFmt w:val="bullet"/>
      <w:lvlText w:val="●"/>
      <w:lvlJc w:val="left"/>
      <w:pPr>
        <w:ind w:left="5040" w:hanging="360"/>
      </w:pPr>
    </w:lvl>
    <w:lvl w:ilvl="7" w:tplc="5ABEC50A">
      <w:start w:val="1"/>
      <w:numFmt w:val="bullet"/>
      <w:lvlText w:val="●"/>
      <w:lvlJc w:val="left"/>
      <w:pPr>
        <w:ind w:left="5760" w:hanging="360"/>
      </w:pPr>
    </w:lvl>
    <w:lvl w:ilvl="8" w:tplc="B3BA7F02">
      <w:start w:val="1"/>
      <w:numFmt w:val="bullet"/>
      <w:lvlText w:val="●"/>
      <w:lvlJc w:val="left"/>
      <w:pPr>
        <w:ind w:left="6480" w:hanging="360"/>
      </w:pPr>
    </w:lvl>
  </w:abstractNum>
  <w:abstractNum w:abstractNumId="1" w15:restartNumberingAfterBreak="0">
    <w:nsid w:val="5C1144E1"/>
    <w:multiLevelType w:val="hybridMultilevel"/>
    <w:tmpl w:val="6A88848C"/>
    <w:lvl w:ilvl="0" w:tplc="6CE4E0A8">
      <w:start w:val="1"/>
      <w:numFmt w:val="bullet"/>
      <w:lvlText w:val="•"/>
      <w:lvlJc w:val="left"/>
      <w:pPr>
        <w:ind w:left="800" w:hanging="400"/>
      </w:pPr>
    </w:lvl>
    <w:lvl w:ilvl="1" w:tplc="2124B29E">
      <w:numFmt w:val="decimal"/>
      <w:lvlText w:val=""/>
      <w:lvlJc w:val="left"/>
    </w:lvl>
    <w:lvl w:ilvl="2" w:tplc="ECC6208E">
      <w:numFmt w:val="decimal"/>
      <w:lvlText w:val=""/>
      <w:lvlJc w:val="left"/>
    </w:lvl>
    <w:lvl w:ilvl="3" w:tplc="5A32A380">
      <w:numFmt w:val="decimal"/>
      <w:lvlText w:val=""/>
      <w:lvlJc w:val="left"/>
    </w:lvl>
    <w:lvl w:ilvl="4" w:tplc="CD96773C">
      <w:numFmt w:val="decimal"/>
      <w:lvlText w:val=""/>
      <w:lvlJc w:val="left"/>
    </w:lvl>
    <w:lvl w:ilvl="5" w:tplc="B7A27750">
      <w:numFmt w:val="decimal"/>
      <w:lvlText w:val=""/>
      <w:lvlJc w:val="left"/>
    </w:lvl>
    <w:lvl w:ilvl="6" w:tplc="9318811C">
      <w:numFmt w:val="decimal"/>
      <w:lvlText w:val=""/>
      <w:lvlJc w:val="left"/>
    </w:lvl>
    <w:lvl w:ilvl="7" w:tplc="76506E96">
      <w:numFmt w:val="decimal"/>
      <w:lvlText w:val=""/>
      <w:lvlJc w:val="left"/>
    </w:lvl>
    <w:lvl w:ilvl="8" w:tplc="DB6A3558">
      <w:numFmt w:val="decimal"/>
      <w:lvlText w:val=""/>
      <w:lvlJc w:val="left"/>
    </w:lvl>
  </w:abstractNum>
  <w:num w:numId="1" w16cid:durableId="1038160002">
    <w:abstractNumId w:val="0"/>
    <w:lvlOverride w:ilvl="0">
      <w:startOverride w:val="1"/>
    </w:lvlOverride>
  </w:num>
  <w:num w:numId="2" w16cid:durableId="162164305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7BA9"/>
    <w:rsid w:val="00051DBD"/>
    <w:rsid w:val="00C87BA9"/>
    <w:rsid w:val="00F6126E"/>
    <w:rsid w:val="00F674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8CBAF"/>
  <w15:docId w15:val="{71FD1EAB-93EB-4CED-8A34-7246C539F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1A2332"/>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outlineLvl w:val="0"/>
    </w:pPr>
    <w:rPr>
      <w:b/>
      <w:bCs/>
      <w:color w:val="FFFFFF"/>
      <w:sz w:val="26"/>
      <w:szCs w:val="26"/>
    </w:rPr>
  </w:style>
  <w:style w:type="paragraph" w:styleId="Heading2">
    <w:name w:val="heading 2"/>
    <w:uiPriority w:val="9"/>
    <w:unhideWhenUsed/>
    <w:qFormat/>
    <w:pPr>
      <w:spacing w:before="200" w:after="60"/>
      <w:outlineLvl w:val="1"/>
    </w:pPr>
    <w:rPr>
      <w:b/>
      <w:bCs/>
      <w:color w:val="0D7377"/>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67455"/>
    <w:pPr>
      <w:tabs>
        <w:tab w:val="center" w:pos="4680"/>
        <w:tab w:val="right" w:pos="9360"/>
      </w:tabs>
    </w:pPr>
  </w:style>
  <w:style w:type="character" w:customStyle="1" w:styleId="HeaderChar">
    <w:name w:val="Header Char"/>
    <w:basedOn w:val="DefaultParagraphFont"/>
    <w:link w:val="Header"/>
    <w:uiPriority w:val="99"/>
    <w:rsid w:val="00F67455"/>
  </w:style>
  <w:style w:type="paragraph" w:styleId="Footer">
    <w:name w:val="footer"/>
    <w:basedOn w:val="Normal"/>
    <w:link w:val="FooterChar"/>
    <w:uiPriority w:val="99"/>
    <w:unhideWhenUsed/>
    <w:rsid w:val="00F67455"/>
    <w:pPr>
      <w:tabs>
        <w:tab w:val="center" w:pos="4680"/>
        <w:tab w:val="right" w:pos="9360"/>
      </w:tabs>
    </w:pPr>
  </w:style>
  <w:style w:type="character" w:customStyle="1" w:styleId="FooterChar">
    <w:name w:val="Footer Char"/>
    <w:basedOn w:val="DefaultParagraphFont"/>
    <w:link w:val="Footer"/>
    <w:uiPriority w:val="99"/>
    <w:rsid w:val="00F674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2304</Words>
  <Characters>13139</Characters>
  <Application>Microsoft Office Word</Application>
  <DocSecurity>0</DocSecurity>
  <Lines>109</Lines>
  <Paragraphs>30</Paragraphs>
  <ScaleCrop>false</ScaleCrop>
  <Company/>
  <LinksUpToDate>false</LinksUpToDate>
  <CharactersWithSpaces>15413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Venkata Sai Krishna Baggu</cp:lastModifiedBy>
  <cp:revision>2</cp:revision>
  <dcterms:created xsi:type="dcterms:W3CDTF">2026-04-24T01:50:00Z</dcterms:created>
  <dcterms:modified xsi:type="dcterms:W3CDTF">2026-04-24T01:59:00Z</dcterms:modified>
</cp:coreProperties>
</file>