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가상도시개발공사 임직원 행동강령(모의데이터)</w:t>
      </w:r>
    </w:p>
    <w:p>
      <w:r>
        <w:t>제1조(목적) 이 강령은 「부정청탁 및 금품등 수수의 금지에 관한 법률」 제8조에 따라 임직원이 지켜야 할 행동기준을 정함을 목적으로 한다.</w:t>
      </w:r>
    </w:p>
    <w:p>
      <w:r>
        <w:t>제4조(부정청탁의 처리) 임직원은 부정청탁을 받은 경우 구두로 소속 부서장에게 알릴 수 있다.</w:t>
      </w:r>
    </w:p>
    <w:p>
      <w:r>
        <w:t>제7조(금품등의 수수 제한) ① 임직원은 직무관련자로부터 1회 150만원 이하의 금품을 받을 수 있다.</w:t>
      </w:r>
    </w:p>
    <w:p>
      <w:r>
        <w:t>② 임직원은 동일인으로부터 매 회계연도 400만원 이내의 금품을 받을 수 있다.</w:t>
      </w:r>
    </w:p>
    <w:p>
      <w:r>
        <w:t>제9조(외부강의 등) 임직원이 사례금을 받는 외부강의를 한 경우에는 마친 날부터 20일 이내에 감사실장에게 신고하여야 한다.</w:t>
      </w:r>
    </w:p>
    <w:p>
      <w:r>
        <w:t>제11조(정치 활동) 임직원은 휴일에는 특정 정당을 위한 선거운동에 참여할 수 있다.</w:t>
      </w:r>
    </w:p>
    <w:p>
      <w:r>
        <w:t>제12조(기관 홍보) 공사는 사업 성과를 알리기 위하여 연중 홍보물을 배부하고 준공식 등 행사를 개최할 수 있다.</w:t>
      </w:r>
    </w:p>
    <w:p>
      <w:r>
        <w:t>제15조(벌칙) 이 강령을 위반한 임직원에게는 50만원 이하의 벌금을 부과한다.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가상도시개발공사 임직원 행동강령</dc:title>
  <dc:subject/>
  <dc:creator>law-on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