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ECE" w:rsidRDefault="00387ECE" w:rsidP="00CC6824">
      <w:pPr>
        <w:jc w:val="both"/>
        <w:rPr>
          <w:b/>
          <w:bCs/>
          <w:u w:val="single"/>
        </w:rPr>
      </w:pPr>
      <w:r w:rsidRPr="005512B1">
        <w:rPr>
          <w:b/>
          <w:bCs/>
          <w:u w:val="single"/>
        </w:rPr>
        <w:t>Pairwise distance based</w:t>
      </w:r>
      <w:r>
        <w:rPr>
          <w:b/>
          <w:bCs/>
          <w:u w:val="single"/>
        </w:rPr>
        <w:t xml:space="preserve"> phylo/trait turnover</w:t>
      </w:r>
    </w:p>
    <w:p w:rsidR="00387ECE" w:rsidRDefault="00387ECE" w:rsidP="00CC6824">
      <w:pPr>
        <w:jc w:val="both"/>
        <w:rPr>
          <w:bCs/>
        </w:rPr>
      </w:pPr>
      <w:r>
        <w:rPr>
          <w:bCs/>
        </w:rPr>
        <w:t xml:space="preserve">In order to adopt an approach based on solely based on pairwise distances, </w:t>
      </w:r>
      <w:r w:rsidRPr="003B388F">
        <w:rPr>
          <w:bCs/>
        </w:rPr>
        <w:t xml:space="preserve">I have </w:t>
      </w:r>
      <w:r>
        <w:rPr>
          <w:bCs/>
        </w:rPr>
        <w:t>adapted the mean nearest taxon distance (</w:t>
      </w:r>
      <w:r w:rsidRPr="005D6397">
        <w:rPr>
          <w:bCs/>
        </w:rPr>
        <w:t>MNTD</w:t>
      </w:r>
      <w:r>
        <w:rPr>
          <w:bCs/>
        </w:rPr>
        <w:t xml:space="preserve">) metric </w:t>
      </w:r>
      <w:r w:rsidR="000865EC">
        <w:rPr>
          <w:bCs/>
        </w:rPr>
        <w:fldChar w:fldCharType="begin"/>
      </w:r>
      <w:r>
        <w:rPr>
          <w:bCs/>
        </w:rPr>
        <w:instrText xml:space="preserve"> ADDIN EN.CITE &lt;EndNote&gt;&lt;Cite&gt;&lt;Author&gt;Webb&lt;/Author&gt;&lt;Year&gt;2008&lt;/Year&gt;&lt;RecNum&gt;195&lt;/RecNum&gt;&lt;DisplayText&gt;(Webb et al. 2008)&lt;/DisplayText&gt;&lt;record&gt;&lt;rec-number&gt;195&lt;/rec-number&gt;&lt;foreign-keys&gt;&lt;key app="EN" db-id="9dv2fwstopst0ae9aagv5esbw2dp5dxfzdvr"&gt;195&lt;/key&gt;&lt;/foreign-keys&gt;&lt;ref-type name="Journal Article"&gt;17&lt;/ref-type&gt;&lt;contributors&gt;&lt;authors&gt;&lt;author&gt;Webb, Campbell O.&lt;/author&gt;&lt;author&gt;Ackerly, David D.&lt;/author&gt;&lt;author&gt;Kembel, Steven W.&lt;/author&gt;&lt;/authors&gt;&lt;/contributors&gt;&lt;titles&gt;&lt;title&gt;Phylocom: software for the analysis of phylogenetic community structure and trait evolution&lt;/title&gt;&lt;secondary-title&gt;Bioinformatics&lt;/secondary-title&gt;&lt;/titles&gt;&lt;periodical&gt;&lt;full-title&gt;Bioinformatics&lt;/full-title&gt;&lt;/periodical&gt;&lt;pages&gt;2098-2100&lt;/pages&gt;&lt;volume&gt;24&lt;/volume&gt;&lt;number&gt;18&lt;/number&gt;&lt;dates&gt;&lt;year&gt;2008&lt;/year&gt;&lt;pub-dates&gt;&lt;date&gt;September 15, 2008&lt;/date&gt;&lt;/pub-dates&gt;&lt;/dates&gt;&lt;urls&gt;&lt;related-urls&gt;&lt;url&gt;http://bioinformatics.oxfordjournals.org/content/24/18/2098.abstract&lt;/url&gt;&lt;/related-urls&gt;&lt;/urls&gt;&lt;electronic-resource-num&gt;10.1093/bioinformatics/btn358&lt;/electronic-resource-num&gt;&lt;/record&gt;&lt;/Cite&gt;&lt;/EndNote&gt;</w:instrText>
      </w:r>
      <w:r w:rsidR="000865EC">
        <w:rPr>
          <w:bCs/>
        </w:rPr>
        <w:fldChar w:fldCharType="separate"/>
      </w:r>
      <w:r>
        <w:rPr>
          <w:bCs/>
          <w:noProof/>
        </w:rPr>
        <w:t>(</w:t>
      </w:r>
      <w:hyperlink w:anchor="_ENREF_2" w:tooltip="Webb, 2008 #195" w:history="1">
        <w:r>
          <w:rPr>
            <w:bCs/>
            <w:noProof/>
          </w:rPr>
          <w:t>Webb et al. 2008</w:t>
        </w:r>
      </w:hyperlink>
      <w:r>
        <w:rPr>
          <w:bCs/>
          <w:noProof/>
        </w:rPr>
        <w:t>)</w:t>
      </w:r>
      <w:r w:rsidR="000865EC">
        <w:rPr>
          <w:bCs/>
        </w:rPr>
        <w:fldChar w:fldCharType="end"/>
      </w:r>
      <w:r>
        <w:rPr>
          <w:bCs/>
        </w:rPr>
        <w:t xml:space="preserve"> in order to focus solely on turnover.  This is because I believe we are interested in drivers of change in community composition and not drivers of richness gradients.  I preferred the MNTD metric to the mean pairwise distance (MPD) metric as I wanted a metric that measured the absolute distance between unique species (weighted by their contribution to community turnover). This is achieved </w:t>
      </w:r>
      <w:r w:rsidR="00CC6824">
        <w:rPr>
          <w:bCs/>
        </w:rPr>
        <w:t>by</w:t>
      </w:r>
      <w:r>
        <w:rPr>
          <w:bCs/>
        </w:rPr>
        <w:t xml:space="preserve"> MNTD since all shared species have a nearest taxon distance of zero</w:t>
      </w:r>
      <w:r w:rsidR="00CC6824">
        <w:rPr>
          <w:bCs/>
        </w:rPr>
        <w:t>, therefore lots of shared species result in lots of zeros and therefore reduce the influence of the unique species</w:t>
      </w:r>
      <w:r>
        <w:rPr>
          <w:bCs/>
        </w:rPr>
        <w:t xml:space="preserve">. For MPD, shared species will have a mean pairwise distance that is influenced by the trait characteristics of all the species in the opposing community and the resulting overall MPD between communities is influenced by within community </w:t>
      </w:r>
      <w:r w:rsidR="00BB2612">
        <w:rPr>
          <w:bCs/>
        </w:rPr>
        <w:t>diversity</w:t>
      </w:r>
      <w:r>
        <w:rPr>
          <w:bCs/>
        </w:rPr>
        <w:t>.  I’m</w:t>
      </w:r>
      <w:r w:rsidR="00BB2612">
        <w:rPr>
          <w:bCs/>
        </w:rPr>
        <w:t xml:space="preserve"> not sure this is desirable; </w:t>
      </w:r>
      <w:r>
        <w:rPr>
          <w:bCs/>
        </w:rPr>
        <w:t xml:space="preserve">I think we want an absolute measure: which communities are the most different? which are most similar? - regardless of within community diversity.  </w:t>
      </w:r>
      <w:r w:rsidR="00BB2612">
        <w:rPr>
          <w:bCs/>
        </w:rPr>
        <w:t>So</w:t>
      </w:r>
      <w:r>
        <w:rPr>
          <w:bCs/>
        </w:rPr>
        <w:t xml:space="preserve"> I went for MNTD.  This is the formula according </w:t>
      </w:r>
      <w:r w:rsidR="00BB2612">
        <w:rPr>
          <w:bCs/>
        </w:rPr>
        <w:t>to the phylocom package (there</w:t>
      </w:r>
      <w:r>
        <w:rPr>
          <w:bCs/>
        </w:rPr>
        <w:t xml:space="preserve"> seems to be some confusion about the formula but since this is the package that’s always cited I took it straight from here):</w:t>
      </w:r>
    </w:p>
    <w:p w:rsidR="00387ECE" w:rsidRDefault="00E848D1" w:rsidP="00CC6824">
      <w:pPr>
        <w:jc w:val="both"/>
        <w:rPr>
          <w:bCs/>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773430</wp:posOffset>
                </wp:positionH>
                <wp:positionV relativeFrom="paragraph">
                  <wp:posOffset>26035</wp:posOffset>
                </wp:positionV>
                <wp:extent cx="4084320" cy="3594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4320" cy="359410"/>
                        </a:xfrm>
                        <a:prstGeom prst="rect">
                          <a:avLst/>
                        </a:prstGeom>
                        <a:noFill/>
                      </wps:spPr>
                      <wps:txbx>
                        <w:txbxContent>
                          <w:p w:rsidR="00E848D1" w:rsidRDefault="00E848D1" w:rsidP="00E848D1">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36"/>
                                    <w:szCs w:val="36"/>
                                  </w:rPr>
                                  <m:t>MNTD</m:t>
                                </m:r>
                                <m:r>
                                  <w:rPr>
                                    <w:rFonts w:ascii="Cambria Math" w:hAnsi="Cambria Math" w:cstheme="minorBidi"/>
                                    <w:color w:val="000000" w:themeColor="text1"/>
                                    <w:kern w:val="24"/>
                                    <w:sz w:val="36"/>
                                    <w:szCs w:val="36"/>
                                  </w:rPr>
                                  <m:t>= mean(NNab,NNba)</m:t>
                                </m:r>
                              </m:oMath>
                            </m:oMathPara>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0.9pt;margin-top:2.05pt;width:321.6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" filled="f" stroked="f">
                <v:path arrowok="t"/>
                <v:textbox style="mso-fit-shape-to-text:t">
                  <w:txbxContent>
                    <w:p w:rsidR="00E848D1" w:rsidRDefault="00E848D1" w:rsidP="00E848D1">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kern w:val="24"/>
                              <w:sz w:val="36"/>
                              <w:szCs w:val="36"/>
                            </w:rPr>
                            <m:t>MNTD</m:t>
                          </m:r>
                          <m:r>
                            <w:rPr>
                              <w:rFonts w:ascii="Cambria Math" w:hAnsi="Cambria Math" w:cstheme="minorBidi"/>
                              <w:color w:val="000000" w:themeColor="text1"/>
                              <w:kern w:val="24"/>
                              <w:sz w:val="36"/>
                              <w:szCs w:val="36"/>
                            </w:rPr>
                            <m:t>= mean(NNab,NNba)</m:t>
                          </m:r>
                        </m:oMath>
                      </m:oMathPara>
                    </w:p>
                  </w:txbxContent>
                </v:textbox>
              </v:shape>
            </w:pict>
          </mc:Fallback>
        </mc:AlternateContent>
      </w:r>
    </w:p>
    <w:p w:rsidR="00BB2612" w:rsidRDefault="00BB2612" w:rsidP="00CC6824">
      <w:pPr>
        <w:jc w:val="both"/>
        <w:rPr>
          <w:bCs/>
        </w:rPr>
      </w:pPr>
    </w:p>
    <w:p w:rsidR="00387ECE" w:rsidRDefault="00387ECE" w:rsidP="00CC6824">
      <w:pPr>
        <w:jc w:val="both"/>
        <w:rPr>
          <w:bCs/>
        </w:rPr>
      </w:pPr>
      <w:r>
        <w:rPr>
          <w:bCs/>
        </w:rPr>
        <w:t xml:space="preserve">Where </w:t>
      </w:r>
      <w:r w:rsidRPr="008622AC">
        <w:rPr>
          <w:bCs/>
          <w:i/>
        </w:rPr>
        <w:t>NNab</w:t>
      </w:r>
      <w:r>
        <w:rPr>
          <w:bCs/>
        </w:rPr>
        <w:t xml:space="preserve"> represents all the nearest </w:t>
      </w:r>
      <w:r w:rsidR="00BB2612">
        <w:rPr>
          <w:bCs/>
        </w:rPr>
        <w:t>taxon</w:t>
      </w:r>
      <w:r>
        <w:rPr>
          <w:bCs/>
        </w:rPr>
        <w:t xml:space="preserve"> distances between community </w:t>
      </w:r>
      <w:r w:rsidRPr="008622AC">
        <w:rPr>
          <w:bCs/>
          <w:i/>
        </w:rPr>
        <w:t>a</w:t>
      </w:r>
      <w:r>
        <w:rPr>
          <w:bCs/>
          <w:i/>
        </w:rPr>
        <w:t xml:space="preserve"> </w:t>
      </w:r>
      <w:r>
        <w:rPr>
          <w:bCs/>
        </w:rPr>
        <w:t xml:space="preserve">and community </w:t>
      </w:r>
      <w:r>
        <w:rPr>
          <w:bCs/>
          <w:i/>
        </w:rPr>
        <w:t>b</w:t>
      </w:r>
      <w:r>
        <w:rPr>
          <w:bCs/>
        </w:rPr>
        <w:t xml:space="preserve"> and </w:t>
      </w:r>
      <w:r w:rsidRPr="008622AC">
        <w:rPr>
          <w:bCs/>
          <w:i/>
        </w:rPr>
        <w:t>NNab</w:t>
      </w:r>
      <w:r>
        <w:rPr>
          <w:bCs/>
        </w:rPr>
        <w:t xml:space="preserve"> vice versa.  So it is simply the mean of all the nearest taxon distances.  My turnover version is:</w:t>
      </w:r>
    </w:p>
    <w:p w:rsidR="00387ECE" w:rsidRDefault="00E848D1" w:rsidP="00CC6824">
      <w:pPr>
        <w:jc w:val="both"/>
        <w:rPr>
          <w:bCs/>
        </w:rP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179070</wp:posOffset>
                </wp:positionH>
                <wp:positionV relativeFrom="paragraph">
                  <wp:posOffset>50800</wp:posOffset>
                </wp:positionV>
                <wp:extent cx="5242560" cy="35941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2560" cy="359410"/>
                        </a:xfrm>
                        <a:prstGeom prst="rect">
                          <a:avLst/>
                        </a:prstGeom>
                        <a:noFill/>
                      </wps:spPr>
                      <wps:txbx>
                        <w:txbxContent>
                          <w:p w:rsidR="00E848D1" w:rsidRDefault="00E848D1" w:rsidP="00E848D1">
                            <w:pPr>
                              <w:pStyle w:val="NormalWeb"/>
                              <w:spacing w:before="0" w:beforeAutospacing="0" w:after="0" w:afterAutospacing="0"/>
                              <w:jc w:val="center"/>
                            </w:pPr>
                            <m:oMathPara>
                              <m:oMathParaPr>
                                <m:jc m:val="centerGroup"/>
                              </m:oMathParaPr>
                              <m:oMath>
                                <m:r>
                                  <m:rPr>
                                    <m:sty m:val="p"/>
                                  </m:rPr>
                                  <w:rPr>
                                    <w:rFonts w:ascii="Cambria Math" w:hAnsi="Cambria Math" w:cstheme="minorBidi"/>
                                    <w:color w:val="000000" w:themeColor="text1"/>
                                    <w:kern w:val="24"/>
                                    <w:sz w:val="36"/>
                                    <w:szCs w:val="36"/>
                                  </w:rPr>
                                  <m:t>MNTD</m:t>
                                </m:r>
                                <m:r>
                                  <w:rPr>
                                    <w:rFonts w:ascii="Cambria Math" w:hAnsi="Cambria Math" w:cstheme="minorBidi"/>
                                    <w:color w:val="000000" w:themeColor="text1"/>
                                    <w:kern w:val="24"/>
                                    <w:sz w:val="36"/>
                                    <w:szCs w:val="36"/>
                                  </w:rPr>
                                  <m:t>t=</m:t>
                                </m:r>
                                <m:r>
                                  <m:rPr>
                                    <m:sty m:val="p"/>
                                  </m:rPr>
                                  <w:rPr>
                                    <w:rFonts w:ascii="Cambria Math" w:hAnsi="Cambria Math" w:cstheme="minorBidi"/>
                                    <w:color w:val="000000" w:themeColor="text1"/>
                                    <w:kern w:val="24"/>
                                    <w:sz w:val="36"/>
                                    <w:szCs w:val="36"/>
                                  </w:rPr>
                                  <m:t>min</m:t>
                                </m:r>
                                <m:r>
                                  <w:rPr>
                                    <w:rFonts w:ascii="Cambria Math" w:hAnsi="Cambria Math" w:cstheme="minorBidi"/>
                                    <w:color w:val="000000" w:themeColor="text1"/>
                                    <w:kern w:val="24"/>
                                    <w:sz w:val="36"/>
                                    <w:szCs w:val="36"/>
                                  </w:rPr>
                                  <m:t>⁡(mean</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NNab</m:t>
                                    </m:r>
                                  </m:e>
                                </m:d>
                                <m:r>
                                  <w:rPr>
                                    <w:rFonts w:ascii="Cambria Math" w:hAnsi="Cambria Math" w:cstheme="minorBidi"/>
                                    <w:color w:val="000000" w:themeColor="text1"/>
                                    <w:kern w:val="24"/>
                                    <w:sz w:val="36"/>
                                    <w:szCs w:val="36"/>
                                  </w:rPr>
                                  <m:t>,mean(NNba))</m:t>
                                </m:r>
                              </m:oMath>
                            </m:oMathPara>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4.1pt;margin-top:4pt;width:412.8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" filled="f" stroked="f">
                <v:path arrowok="t"/>
                <v:textbox style="mso-fit-shape-to-text:t">
                  <w:txbxContent>
                    <w:p w:rsidR="00E848D1" w:rsidRDefault="00E848D1" w:rsidP="00E848D1">
                      <w:pPr>
                        <w:pStyle w:val="NormalWeb"/>
                        <w:spacing w:before="0" w:beforeAutospacing="0" w:after="0" w:afterAutospacing="0"/>
                        <w:jc w:val="center"/>
                      </w:pPr>
                      <m:oMathPara>
                        <m:oMathParaPr>
                          <m:jc m:val="centerGroup"/>
                        </m:oMathParaPr>
                        <m:oMath>
                          <m:r>
                            <m:rPr>
                              <m:sty m:val="p"/>
                            </m:rPr>
                            <w:rPr>
                              <w:rFonts w:ascii="Cambria Math" w:hAnsi="Cambria Math" w:cstheme="minorBidi"/>
                              <w:color w:val="000000" w:themeColor="text1"/>
                              <w:kern w:val="24"/>
                              <w:sz w:val="36"/>
                              <w:szCs w:val="36"/>
                            </w:rPr>
                            <m:t>MNTD</m:t>
                          </m:r>
                          <m:r>
                            <w:rPr>
                              <w:rFonts w:ascii="Cambria Math" w:hAnsi="Cambria Math" w:cstheme="minorBidi"/>
                              <w:color w:val="000000" w:themeColor="text1"/>
                              <w:kern w:val="24"/>
                              <w:sz w:val="36"/>
                              <w:szCs w:val="36"/>
                            </w:rPr>
                            <m:t>t=</m:t>
                          </m:r>
                          <m:r>
                            <m:rPr>
                              <m:sty m:val="p"/>
                            </m:rPr>
                            <w:rPr>
                              <w:rFonts w:ascii="Cambria Math" w:hAnsi="Cambria Math" w:cstheme="minorBidi"/>
                              <w:color w:val="000000" w:themeColor="text1"/>
                              <w:kern w:val="24"/>
                              <w:sz w:val="36"/>
                              <w:szCs w:val="36"/>
                            </w:rPr>
                            <m:t>min</m:t>
                          </m:r>
                          <m:r>
                            <w:rPr>
                              <w:rFonts w:ascii="Cambria Math" w:hAnsi="Cambria Math" w:cstheme="minorBidi"/>
                              <w:color w:val="000000" w:themeColor="text1"/>
                              <w:kern w:val="24"/>
                              <w:sz w:val="36"/>
                              <w:szCs w:val="36"/>
                            </w:rPr>
                            <m:t>⁡(mean</m:t>
                          </m:r>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NNab</m:t>
                              </m:r>
                            </m:e>
                          </m:d>
                          <m:r>
                            <w:rPr>
                              <w:rFonts w:ascii="Cambria Math" w:hAnsi="Cambria Math" w:cstheme="minorBidi"/>
                              <w:color w:val="000000" w:themeColor="text1"/>
                              <w:kern w:val="24"/>
                              <w:sz w:val="36"/>
                              <w:szCs w:val="36"/>
                            </w:rPr>
                            <m:t>,mean(NNba))</m:t>
                          </m:r>
                        </m:oMath>
                      </m:oMathPara>
                    </w:p>
                  </w:txbxContent>
                </v:textbox>
              </v:shape>
            </w:pict>
          </mc:Fallback>
        </mc:AlternateContent>
      </w:r>
    </w:p>
    <w:p w:rsidR="00387ECE" w:rsidRPr="008622AC" w:rsidRDefault="00387ECE" w:rsidP="00CC6824">
      <w:pPr>
        <w:jc w:val="both"/>
        <w:rPr>
          <w:bCs/>
        </w:rPr>
      </w:pPr>
    </w:p>
    <w:p w:rsidR="00387ECE" w:rsidRDefault="00387ECE" w:rsidP="00CC6824">
      <w:pPr>
        <w:jc w:val="both"/>
        <w:rPr>
          <w:bCs/>
        </w:rPr>
      </w:pPr>
      <w:r>
        <w:rPr>
          <w:bCs/>
        </w:rPr>
        <w:t>Therefore, in keeping with other turnover metrics, only the least diverse community will influence the result.  If one community has no unique species then the result will be zero. If the communities have completely different species but the within community diversity is equal (N.B. not species diversity but either phylo</w:t>
      </w:r>
      <w:r w:rsidR="00BB2612">
        <w:rPr>
          <w:bCs/>
        </w:rPr>
        <w:t>genetic</w:t>
      </w:r>
      <w:r>
        <w:rPr>
          <w:bCs/>
        </w:rPr>
        <w:t xml:space="preserve"> or trait diversity, whatever is being measured), then this MNTD turnover metric will be equal to MNTD. I refer to this new turnover metric as MNTD</w:t>
      </w:r>
      <w:r w:rsidRPr="00164324">
        <w:rPr>
          <w:bCs/>
          <w:i/>
        </w:rPr>
        <w:t>t</w:t>
      </w:r>
      <w:r>
        <w:rPr>
          <w:bCs/>
        </w:rPr>
        <w:t>.  The nestedness (</w:t>
      </w:r>
      <w:r w:rsidR="00BB2612">
        <w:rPr>
          <w:bCs/>
        </w:rPr>
        <w:t xml:space="preserve">referred to as </w:t>
      </w:r>
      <w:r>
        <w:rPr>
          <w:bCs/>
        </w:rPr>
        <w:t>MNTD</w:t>
      </w:r>
      <w:r>
        <w:rPr>
          <w:bCs/>
          <w:i/>
        </w:rPr>
        <w:t>n</w:t>
      </w:r>
      <w:r>
        <w:rPr>
          <w:bCs/>
        </w:rPr>
        <w:t>) component is obtained by subtracting MNTD</w:t>
      </w:r>
      <w:r w:rsidRPr="00164324">
        <w:rPr>
          <w:bCs/>
          <w:i/>
        </w:rPr>
        <w:t>t</w:t>
      </w:r>
      <w:r>
        <w:rPr>
          <w:bCs/>
          <w:i/>
        </w:rPr>
        <w:t xml:space="preserve"> </w:t>
      </w:r>
      <w:r>
        <w:rPr>
          <w:bCs/>
        </w:rPr>
        <w:t>from MNTD</w:t>
      </w:r>
      <w:r>
        <w:rPr>
          <w:bCs/>
          <w:i/>
        </w:rPr>
        <w:t>.</w:t>
      </w:r>
    </w:p>
    <w:p w:rsidR="00387ECE" w:rsidRDefault="00387ECE" w:rsidP="00CC6824">
      <w:pPr>
        <w:jc w:val="both"/>
        <w:rPr>
          <w:bCs/>
        </w:rPr>
      </w:pPr>
      <w:r>
        <w:rPr>
          <w:bCs/>
        </w:rPr>
        <w:t>To test the properties for MNTD</w:t>
      </w:r>
      <w:r w:rsidRPr="00164324">
        <w:rPr>
          <w:bCs/>
          <w:i/>
        </w:rPr>
        <w:t>t</w:t>
      </w:r>
      <w:r>
        <w:rPr>
          <w:bCs/>
        </w:rPr>
        <w:t xml:space="preserve"> calculated the metric for the following test communities and traits (as well as MNTD</w:t>
      </w:r>
      <w:r>
        <w:rPr>
          <w:bCs/>
          <w:i/>
        </w:rPr>
        <w:t xml:space="preserve"> </w:t>
      </w:r>
      <w:r w:rsidRPr="00387ECE">
        <w:rPr>
          <w:bCs/>
        </w:rPr>
        <w:t>and</w:t>
      </w:r>
      <w:r>
        <w:rPr>
          <w:bCs/>
        </w:rPr>
        <w:t xml:space="preserve"> MNTD</w:t>
      </w:r>
      <w:r>
        <w:rPr>
          <w:bCs/>
          <w:i/>
        </w:rPr>
        <w:t>n</w:t>
      </w:r>
      <w:r>
        <w:rPr>
          <w:bCs/>
        </w:rPr>
        <w:t>):</w:t>
      </w:r>
      <w:bookmarkStart w:id="0" w:name="_GoBack"/>
      <w:bookmarkEnd w:id="0"/>
    </w:p>
    <w:p w:rsidR="00B81CB2" w:rsidRDefault="00B81CB2" w:rsidP="00CC6824">
      <w:pPr>
        <w:pStyle w:val="Caption"/>
        <w:keepNext/>
        <w:jc w:val="both"/>
      </w:pPr>
      <w:r>
        <w:t xml:space="preserve">Table </w:t>
      </w:r>
      <w:r w:rsidR="000865EC">
        <w:fldChar w:fldCharType="begin"/>
      </w:r>
      <w:r>
        <w:instrText xml:space="preserve"> SEQ Table \* ARABIC </w:instrText>
      </w:r>
      <w:r w:rsidR="000865EC">
        <w:fldChar w:fldCharType="separate"/>
      </w:r>
      <w:r>
        <w:rPr>
          <w:noProof/>
        </w:rPr>
        <w:t>1</w:t>
      </w:r>
      <w:r w:rsidR="000865EC">
        <w:fldChar w:fldCharType="end"/>
      </w:r>
      <w:r>
        <w:t>. Test community data</w:t>
      </w:r>
    </w:p>
    <w:tbl>
      <w:tblPr>
        <w:tblW w:w="0" w:type="auto"/>
        <w:tblInd w:w="93" w:type="dxa"/>
        <w:tblLook w:val="04A0" w:firstRow="1" w:lastRow="0" w:firstColumn="1" w:lastColumn="0" w:noHBand="0" w:noVBand="1"/>
      </w:tblPr>
      <w:tblGrid>
        <w:gridCol w:w="813"/>
        <w:gridCol w:w="660"/>
        <w:gridCol w:w="660"/>
        <w:gridCol w:w="660"/>
        <w:gridCol w:w="660"/>
        <w:gridCol w:w="660"/>
        <w:gridCol w:w="660"/>
        <w:gridCol w:w="660"/>
      </w:tblGrid>
      <w:tr w:rsidR="00387ECE" w:rsidRPr="00387ECE" w:rsidTr="00387ECE">
        <w:trPr>
          <w:trHeight w:val="288"/>
        </w:trPr>
        <w:tc>
          <w:tcPr>
            <w:tcW w:w="0" w:type="auto"/>
            <w:tcBorders>
              <w:top w:val="nil"/>
              <w:left w:val="nil"/>
              <w:bottom w:val="nil"/>
              <w:right w:val="nil"/>
            </w:tcBorders>
            <w:shd w:val="clear" w:color="auto" w:fill="auto"/>
            <w:noWrap/>
            <w:vAlign w:val="center"/>
            <w:hideMark/>
          </w:tcPr>
          <w:p w:rsidR="00387ECE" w:rsidRPr="00387ECE" w:rsidRDefault="00387ECE" w:rsidP="00CC6824">
            <w:pPr>
              <w:jc w:val="both"/>
              <w:rPr>
                <w:rFonts w:eastAsia="Times New Roman"/>
                <w:lang w:eastAsia="en-GB"/>
              </w:rPr>
            </w:pP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Sp_2</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Sp_3</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Sp_4</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Sp_5</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Sp_6</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b/>
                <w:lang w:eastAsia="en-GB"/>
              </w:rPr>
            </w:pPr>
            <w:r w:rsidRPr="00387ECE">
              <w:rPr>
                <w:rFonts w:ascii="Calibri" w:eastAsia="Times New Roman" w:hAnsi="Calibri"/>
                <w:b/>
                <w:lang w:eastAsia="en-GB"/>
              </w:rPr>
              <w:t>Sp_7</w:t>
            </w:r>
          </w:p>
        </w:tc>
      </w:tr>
      <w:tr w:rsidR="00387ECE" w:rsidRPr="00387ECE" w:rsidTr="00387ECE">
        <w:trPr>
          <w:trHeight w:val="288"/>
        </w:trPr>
        <w:tc>
          <w:tcPr>
            <w:tcW w:w="0" w:type="auto"/>
            <w:tcBorders>
              <w:top w:val="nil"/>
              <w:left w:val="nil"/>
              <w:bottom w:val="nil"/>
              <w:right w:val="nil"/>
            </w:tcBorders>
            <w:shd w:val="clear" w:color="auto" w:fill="auto"/>
            <w:noWrap/>
            <w:vAlign w:val="center"/>
            <w:hideMark/>
          </w:tcPr>
          <w:p w:rsidR="00387ECE" w:rsidRPr="00387ECE" w:rsidRDefault="00B81CB2" w:rsidP="00CC6824">
            <w:pPr>
              <w:jc w:val="both"/>
              <w:rPr>
                <w:rFonts w:eastAsia="Times New Roman"/>
                <w:b/>
                <w:lang w:eastAsia="en-GB"/>
              </w:rPr>
            </w:pPr>
            <w:r>
              <w:rPr>
                <w:rFonts w:eastAsia="Times New Roman"/>
                <w:b/>
                <w:color w:val="00B050"/>
                <w:lang w:eastAsia="en-GB"/>
              </w:rPr>
              <w:t xml:space="preserve">Com </w:t>
            </w:r>
            <w:r w:rsidR="00387ECE" w:rsidRPr="00387ECE">
              <w:rPr>
                <w:rFonts w:eastAsia="Times New Roman"/>
                <w:b/>
                <w:color w:val="00B050"/>
                <w:lang w:eastAsia="en-GB"/>
              </w:rPr>
              <w:t>A</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r>
      <w:tr w:rsidR="00387ECE" w:rsidRPr="00387ECE" w:rsidTr="00387ECE">
        <w:trPr>
          <w:trHeight w:val="288"/>
        </w:trPr>
        <w:tc>
          <w:tcPr>
            <w:tcW w:w="0" w:type="auto"/>
            <w:tcBorders>
              <w:top w:val="nil"/>
              <w:left w:val="nil"/>
              <w:bottom w:val="nil"/>
              <w:right w:val="nil"/>
            </w:tcBorders>
            <w:shd w:val="clear" w:color="auto" w:fill="auto"/>
            <w:noWrap/>
            <w:vAlign w:val="center"/>
            <w:hideMark/>
          </w:tcPr>
          <w:p w:rsidR="00387ECE" w:rsidRPr="00387ECE" w:rsidRDefault="00B81CB2" w:rsidP="00CC6824">
            <w:pPr>
              <w:jc w:val="both"/>
              <w:rPr>
                <w:rFonts w:eastAsia="Times New Roman"/>
                <w:b/>
                <w:lang w:eastAsia="en-GB"/>
              </w:rPr>
            </w:pPr>
            <w:r>
              <w:rPr>
                <w:rFonts w:eastAsia="Times New Roman"/>
                <w:b/>
                <w:color w:val="1F497D" w:themeColor="text2"/>
                <w:lang w:eastAsia="en-GB"/>
              </w:rPr>
              <w:t xml:space="preserve">Com </w:t>
            </w:r>
            <w:r w:rsidR="00387ECE" w:rsidRPr="00387ECE">
              <w:rPr>
                <w:rFonts w:eastAsia="Times New Roman"/>
                <w:b/>
                <w:color w:val="1F497D" w:themeColor="text2"/>
                <w:lang w:eastAsia="en-GB"/>
              </w:rPr>
              <w:t>B</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r>
      <w:tr w:rsidR="00387ECE" w:rsidRPr="00387ECE" w:rsidTr="00387ECE">
        <w:trPr>
          <w:trHeight w:val="288"/>
        </w:trPr>
        <w:tc>
          <w:tcPr>
            <w:tcW w:w="0" w:type="auto"/>
            <w:tcBorders>
              <w:top w:val="nil"/>
              <w:left w:val="nil"/>
              <w:bottom w:val="nil"/>
              <w:right w:val="nil"/>
            </w:tcBorders>
            <w:shd w:val="clear" w:color="auto" w:fill="auto"/>
            <w:noWrap/>
            <w:vAlign w:val="center"/>
            <w:hideMark/>
          </w:tcPr>
          <w:p w:rsidR="00387ECE" w:rsidRPr="00387ECE" w:rsidRDefault="00387ECE" w:rsidP="00CC6824">
            <w:pPr>
              <w:jc w:val="both"/>
              <w:rPr>
                <w:rFonts w:eastAsia="Times New Roman"/>
                <w:b/>
                <w:lang w:eastAsia="en-GB"/>
              </w:rPr>
            </w:pPr>
            <w:r w:rsidRPr="00387ECE">
              <w:rPr>
                <w:rFonts w:eastAsia="Times New Roman"/>
                <w:b/>
                <w:color w:val="FF0000"/>
                <w:lang w:eastAsia="en-GB"/>
              </w:rPr>
              <w:t>Com</w:t>
            </w:r>
            <w:r w:rsidR="00B81CB2">
              <w:rPr>
                <w:rFonts w:eastAsia="Times New Roman"/>
                <w:b/>
                <w:color w:val="FF0000"/>
                <w:lang w:eastAsia="en-GB"/>
              </w:rPr>
              <w:t xml:space="preserve"> </w:t>
            </w:r>
            <w:r w:rsidRPr="00387ECE">
              <w:rPr>
                <w:rFonts w:eastAsia="Times New Roman"/>
                <w:b/>
                <w:color w:val="FF0000"/>
                <w:lang w:eastAsia="en-GB"/>
              </w:rPr>
              <w:t>C</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0</w:t>
            </w:r>
          </w:p>
        </w:tc>
        <w:tc>
          <w:tcPr>
            <w:tcW w:w="0" w:type="auto"/>
            <w:tcBorders>
              <w:top w:val="nil"/>
              <w:left w:val="nil"/>
              <w:bottom w:val="nil"/>
              <w:right w:val="nil"/>
            </w:tcBorders>
            <w:shd w:val="clear" w:color="auto" w:fill="auto"/>
            <w:noWrap/>
            <w:vAlign w:val="bottom"/>
            <w:hideMark/>
          </w:tcPr>
          <w:p w:rsidR="00387ECE" w:rsidRPr="00387ECE" w:rsidRDefault="00387ECE" w:rsidP="00CC6824">
            <w:pPr>
              <w:jc w:val="both"/>
              <w:rPr>
                <w:rFonts w:ascii="Calibri" w:eastAsia="Times New Roman" w:hAnsi="Calibri"/>
                <w:lang w:eastAsia="en-GB"/>
              </w:rPr>
            </w:pPr>
            <w:r w:rsidRPr="00387ECE">
              <w:rPr>
                <w:rFonts w:ascii="Calibri" w:eastAsia="Times New Roman" w:hAnsi="Calibri"/>
                <w:lang w:eastAsia="en-GB"/>
              </w:rPr>
              <w:t>1</w:t>
            </w:r>
          </w:p>
        </w:tc>
      </w:tr>
    </w:tbl>
    <w:p w:rsidR="00B81CB2" w:rsidRDefault="00B81CB2" w:rsidP="00CC6824">
      <w:pPr>
        <w:jc w:val="both"/>
        <w:rPr>
          <w:bCs/>
        </w:rPr>
      </w:pPr>
    </w:p>
    <w:p w:rsidR="00B81CB2" w:rsidRDefault="00B81CB2" w:rsidP="00CC6824">
      <w:pPr>
        <w:pStyle w:val="Caption"/>
        <w:keepNext/>
        <w:jc w:val="both"/>
      </w:pPr>
      <w:r>
        <w:lastRenderedPageBreak/>
        <w:t xml:space="preserve">Table </w:t>
      </w:r>
      <w:r w:rsidR="000865EC">
        <w:fldChar w:fldCharType="begin"/>
      </w:r>
      <w:r>
        <w:instrText xml:space="preserve"> SEQ Table \* ARABIC </w:instrText>
      </w:r>
      <w:r w:rsidR="000865EC">
        <w:fldChar w:fldCharType="separate"/>
      </w:r>
      <w:r>
        <w:rPr>
          <w:noProof/>
        </w:rPr>
        <w:t>2</w:t>
      </w:r>
      <w:r w:rsidR="000865EC">
        <w:fldChar w:fldCharType="end"/>
      </w:r>
      <w:r>
        <w:t>. Test trait data for species in communtiy dataset.  N.B. Species 1 and 7 have identical traits.</w:t>
      </w:r>
    </w:p>
    <w:tbl>
      <w:tblPr>
        <w:tblW w:w="2880" w:type="dxa"/>
        <w:tblInd w:w="93" w:type="dxa"/>
        <w:tblLook w:val="04A0" w:firstRow="1" w:lastRow="0" w:firstColumn="1" w:lastColumn="0" w:noHBand="0" w:noVBand="1"/>
      </w:tblPr>
      <w:tblGrid>
        <w:gridCol w:w="960"/>
        <w:gridCol w:w="960"/>
        <w:gridCol w:w="960"/>
      </w:tblGrid>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Traitx</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Traity</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Sp_1</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Sp_2</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2</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Sp_3</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3</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Sp_4</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Sp_5</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2</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Sp_6</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3</w:t>
            </w:r>
          </w:p>
        </w:tc>
      </w:tr>
      <w:tr w:rsidR="00B81CB2" w:rsidRPr="00B81CB2" w:rsidTr="00B81CB2">
        <w:trPr>
          <w:trHeight w:val="288"/>
        </w:trPr>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Sp_7</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1CB2" w:rsidRPr="00B81CB2" w:rsidRDefault="00B81CB2" w:rsidP="00CC6824">
            <w:pPr>
              <w:spacing w:after="0" w:line="240" w:lineRule="auto"/>
              <w:jc w:val="both"/>
              <w:rPr>
                <w:rFonts w:ascii="Calibri" w:eastAsia="Times New Roman" w:hAnsi="Calibri" w:cs="Times New Roman"/>
                <w:color w:val="000000"/>
                <w:lang w:eastAsia="en-GB"/>
              </w:rPr>
            </w:pPr>
            <w:r w:rsidRPr="00B81CB2">
              <w:rPr>
                <w:rFonts w:ascii="Calibri" w:eastAsia="Times New Roman" w:hAnsi="Calibri" w:cs="Times New Roman"/>
                <w:color w:val="000000"/>
                <w:lang w:eastAsia="en-GB"/>
              </w:rPr>
              <w:t>1</w:t>
            </w:r>
          </w:p>
        </w:tc>
      </w:tr>
    </w:tbl>
    <w:p w:rsidR="00B81CB2" w:rsidRDefault="00B81CB2" w:rsidP="00CC6824">
      <w:pPr>
        <w:jc w:val="both"/>
        <w:rPr>
          <w:bCs/>
        </w:rPr>
      </w:pPr>
    </w:p>
    <w:p w:rsidR="00B81CB2" w:rsidRDefault="00B81CB2" w:rsidP="00CC6824">
      <w:pPr>
        <w:keepNext/>
        <w:jc w:val="both"/>
      </w:pPr>
      <w:r>
        <w:rPr>
          <w:bCs/>
          <w:noProof/>
          <w:lang w:eastAsia="en-GB"/>
        </w:rPr>
        <w:drawing>
          <wp:inline distT="0" distB="0" distL="0" distR="0">
            <wp:extent cx="5731510" cy="24504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fig.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rsidR="00B81CB2" w:rsidRDefault="00B81CB2" w:rsidP="00CC6824">
      <w:pPr>
        <w:pStyle w:val="Caption"/>
        <w:jc w:val="both"/>
      </w:pPr>
      <w:r>
        <w:t xml:space="preserve">Figure </w:t>
      </w:r>
      <w:r w:rsidR="000865EC">
        <w:fldChar w:fldCharType="begin"/>
      </w:r>
      <w:r>
        <w:instrText xml:space="preserve"> SEQ Figure \* ARABIC </w:instrText>
      </w:r>
      <w:r w:rsidR="000865EC">
        <w:fldChar w:fldCharType="separate"/>
      </w:r>
      <w:r>
        <w:rPr>
          <w:noProof/>
        </w:rPr>
        <w:t>1</w:t>
      </w:r>
      <w:r w:rsidR="000865EC">
        <w:fldChar w:fldCharType="end"/>
      </w:r>
      <w:r>
        <w:t>. Pairwise between community trait comparisons based on nearest taxon distances.</w:t>
      </w:r>
    </w:p>
    <w:p w:rsidR="00B81CB2" w:rsidRPr="00B81CB2" w:rsidRDefault="00B81CB2" w:rsidP="00CC6824">
      <w:pPr>
        <w:jc w:val="both"/>
        <w:rPr>
          <w:i/>
        </w:rPr>
      </w:pPr>
      <w:r w:rsidRPr="00B81CB2">
        <w:rPr>
          <w:i/>
        </w:rPr>
        <w:t>MNTD</w:t>
      </w:r>
    </w:p>
    <w:tbl>
      <w:tblPr>
        <w:tblStyle w:val="TableGrid"/>
        <w:tblW w:w="0" w:type="auto"/>
        <w:tblLook w:val="04A0" w:firstRow="1" w:lastRow="0" w:firstColumn="1" w:lastColumn="0" w:noHBand="0" w:noVBand="1"/>
      </w:tblPr>
      <w:tblGrid>
        <w:gridCol w:w="820"/>
        <w:gridCol w:w="2120"/>
        <w:gridCol w:w="2462"/>
      </w:tblGrid>
      <w:tr w:rsidR="00B81CB2" w:rsidRPr="00B81CB2" w:rsidTr="000111B9">
        <w:trPr>
          <w:trHeight w:val="288"/>
        </w:trPr>
        <w:tc>
          <w:tcPr>
            <w:tcW w:w="0" w:type="auto"/>
            <w:noWrap/>
            <w:hideMark/>
          </w:tcPr>
          <w:p w:rsidR="00B81CB2" w:rsidRPr="00B81CB2" w:rsidRDefault="00B81CB2" w:rsidP="00CC6824">
            <w:pPr>
              <w:jc w:val="both"/>
              <w:rPr>
                <w:rFonts w:eastAsia="Times New Roman"/>
                <w:lang w:eastAsia="en-GB"/>
              </w:rPr>
            </w:pPr>
          </w:p>
        </w:tc>
        <w:tc>
          <w:tcPr>
            <w:tcW w:w="2120" w:type="dxa"/>
            <w:noWrap/>
            <w:hideMark/>
          </w:tcPr>
          <w:p w:rsidR="00B81CB2" w:rsidRPr="006D0FDE" w:rsidRDefault="00B81CB2"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00B050"/>
                <w:sz w:val="20"/>
                <w:szCs w:val="20"/>
                <w:lang w:eastAsia="en-GB"/>
              </w:rPr>
              <w:t>Com_A</w:t>
            </w:r>
          </w:p>
        </w:tc>
        <w:tc>
          <w:tcPr>
            <w:tcW w:w="2462" w:type="dxa"/>
            <w:noWrap/>
            <w:hideMark/>
          </w:tcPr>
          <w:p w:rsidR="00B81CB2" w:rsidRPr="006D0FDE" w:rsidRDefault="00B81CB2" w:rsidP="00CC6824">
            <w:pPr>
              <w:jc w:val="both"/>
              <w:rPr>
                <w:rFonts w:ascii="Lucida Console" w:eastAsia="Times New Roman" w:hAnsi="Lucida Console"/>
                <w:b/>
                <w:color w:val="1F497D" w:themeColor="text2"/>
                <w:sz w:val="20"/>
                <w:szCs w:val="20"/>
                <w:lang w:eastAsia="en-GB"/>
              </w:rPr>
            </w:pPr>
            <w:r w:rsidRPr="006D0FDE">
              <w:rPr>
                <w:rFonts w:ascii="Lucida Console" w:eastAsia="Times New Roman" w:hAnsi="Lucida Console"/>
                <w:b/>
                <w:color w:val="1F497D" w:themeColor="text2"/>
                <w:sz w:val="20"/>
                <w:szCs w:val="20"/>
                <w:lang w:eastAsia="en-GB"/>
              </w:rPr>
              <w:t>Com_B</w:t>
            </w:r>
          </w:p>
        </w:tc>
      </w:tr>
      <w:tr w:rsidR="00B81CB2" w:rsidRPr="00B81CB2" w:rsidTr="000111B9">
        <w:trPr>
          <w:trHeight w:val="288"/>
        </w:trPr>
        <w:tc>
          <w:tcPr>
            <w:tcW w:w="0" w:type="auto"/>
            <w:noWrap/>
            <w:hideMark/>
          </w:tcPr>
          <w:p w:rsidR="00B81CB2" w:rsidRPr="006D0FDE" w:rsidRDefault="00B81CB2"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1F497D" w:themeColor="text2"/>
                <w:sz w:val="20"/>
                <w:szCs w:val="20"/>
                <w:lang w:eastAsia="en-GB"/>
              </w:rPr>
              <w:t>Com_B</w:t>
            </w:r>
          </w:p>
        </w:tc>
        <w:tc>
          <w:tcPr>
            <w:tcW w:w="2120" w:type="dxa"/>
            <w:noWrap/>
            <w:hideMark/>
          </w:tcPr>
          <w:p w:rsidR="00B81CB2" w:rsidRPr="00B81CB2" w:rsidRDefault="000111B9" w:rsidP="00CC6824">
            <w:pPr>
              <w:jc w:val="both"/>
              <w:rPr>
                <w:rFonts w:eastAsia="Times New Roman"/>
                <w:lang w:eastAsia="en-GB"/>
              </w:rPr>
            </w:pPr>
            <w:r>
              <w:rPr>
                <w:rFonts w:eastAsia="Times New Roman"/>
                <w:lang w:eastAsia="en-GB"/>
              </w:rPr>
              <w:t xml:space="preserve">mean(1,1,1,1,1,1) = </w:t>
            </w:r>
            <w:r w:rsidR="00B81CB2" w:rsidRPr="000111B9">
              <w:rPr>
                <w:rFonts w:eastAsia="Times New Roman"/>
                <w:b/>
                <w:lang w:eastAsia="en-GB"/>
              </w:rPr>
              <w:t>1</w:t>
            </w:r>
          </w:p>
        </w:tc>
        <w:tc>
          <w:tcPr>
            <w:tcW w:w="2462" w:type="dxa"/>
            <w:noWrap/>
            <w:hideMark/>
          </w:tcPr>
          <w:p w:rsidR="00B81CB2" w:rsidRPr="00B81CB2" w:rsidRDefault="00B81CB2" w:rsidP="00CC6824">
            <w:pPr>
              <w:jc w:val="both"/>
              <w:rPr>
                <w:rFonts w:eastAsia="Times New Roman"/>
                <w:lang w:eastAsia="en-GB"/>
              </w:rPr>
            </w:pPr>
            <w:r w:rsidRPr="00B81CB2">
              <w:rPr>
                <w:rFonts w:eastAsia="Times New Roman"/>
                <w:lang w:eastAsia="en-GB"/>
              </w:rPr>
              <w:t>-</w:t>
            </w:r>
          </w:p>
        </w:tc>
      </w:tr>
      <w:tr w:rsidR="00B81CB2" w:rsidRPr="00B81CB2" w:rsidTr="000111B9">
        <w:trPr>
          <w:trHeight w:val="288"/>
        </w:trPr>
        <w:tc>
          <w:tcPr>
            <w:tcW w:w="0" w:type="auto"/>
            <w:noWrap/>
            <w:hideMark/>
          </w:tcPr>
          <w:p w:rsidR="00B81CB2" w:rsidRPr="006D0FDE" w:rsidRDefault="00B81CB2"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FF0000"/>
                <w:sz w:val="20"/>
                <w:szCs w:val="20"/>
                <w:lang w:eastAsia="en-GB"/>
              </w:rPr>
              <w:t>Com_C</w:t>
            </w:r>
          </w:p>
        </w:tc>
        <w:tc>
          <w:tcPr>
            <w:tcW w:w="2120" w:type="dxa"/>
            <w:noWrap/>
            <w:hideMark/>
          </w:tcPr>
          <w:p w:rsidR="00B81CB2" w:rsidRPr="00B81CB2" w:rsidRDefault="000111B9" w:rsidP="00CC6824">
            <w:pPr>
              <w:jc w:val="both"/>
              <w:rPr>
                <w:rFonts w:eastAsia="Times New Roman"/>
                <w:lang w:eastAsia="en-GB"/>
              </w:rPr>
            </w:pPr>
            <w:r>
              <w:rPr>
                <w:rFonts w:eastAsia="Times New Roman"/>
                <w:lang w:eastAsia="en-GB"/>
              </w:rPr>
              <w:t xml:space="preserve">mean(1,2,0,0) = </w:t>
            </w:r>
            <w:r w:rsidR="00B81CB2" w:rsidRPr="000111B9">
              <w:rPr>
                <w:rFonts w:eastAsia="Times New Roman"/>
                <w:b/>
                <w:lang w:eastAsia="en-GB"/>
              </w:rPr>
              <w:t>0.75</w:t>
            </w:r>
          </w:p>
        </w:tc>
        <w:tc>
          <w:tcPr>
            <w:tcW w:w="2462" w:type="dxa"/>
            <w:noWrap/>
            <w:hideMark/>
          </w:tcPr>
          <w:p w:rsidR="00B81CB2" w:rsidRPr="00B81CB2" w:rsidRDefault="000111B9" w:rsidP="00CC6824">
            <w:pPr>
              <w:jc w:val="both"/>
              <w:rPr>
                <w:rFonts w:eastAsia="Times New Roman"/>
                <w:lang w:eastAsia="en-GB"/>
              </w:rPr>
            </w:pPr>
            <w:r>
              <w:rPr>
                <w:rFonts w:eastAsia="Times New Roman"/>
                <w:lang w:eastAsia="en-GB"/>
              </w:rPr>
              <w:t xml:space="preserve">mean(1,1.4,2.2,1) = </w:t>
            </w:r>
            <w:r w:rsidR="00B81CB2" w:rsidRPr="000111B9">
              <w:rPr>
                <w:rFonts w:eastAsia="Times New Roman"/>
                <w:b/>
                <w:lang w:eastAsia="en-GB"/>
              </w:rPr>
              <w:t>1.4</w:t>
            </w:r>
          </w:p>
        </w:tc>
      </w:tr>
    </w:tbl>
    <w:p w:rsidR="006D0FDE" w:rsidRPr="006D0FDE" w:rsidRDefault="006D0FDE" w:rsidP="00CC6824">
      <w:pPr>
        <w:jc w:val="both"/>
      </w:pPr>
      <w:r w:rsidRPr="00B81CB2">
        <w:rPr>
          <w:i/>
        </w:rPr>
        <w:t>MNTD</w:t>
      </w:r>
      <w:r>
        <w:t>t</w:t>
      </w:r>
    </w:p>
    <w:tbl>
      <w:tblPr>
        <w:tblStyle w:val="TableGrid"/>
        <w:tblW w:w="0" w:type="auto"/>
        <w:tblLook w:val="04A0" w:firstRow="1" w:lastRow="0" w:firstColumn="1" w:lastColumn="0" w:noHBand="0" w:noVBand="1"/>
      </w:tblPr>
      <w:tblGrid>
        <w:gridCol w:w="820"/>
        <w:gridCol w:w="3235"/>
        <w:gridCol w:w="3236"/>
      </w:tblGrid>
      <w:tr w:rsidR="000111B9" w:rsidRPr="00B81CB2" w:rsidTr="000111B9">
        <w:trPr>
          <w:trHeight w:val="288"/>
        </w:trPr>
        <w:tc>
          <w:tcPr>
            <w:tcW w:w="0" w:type="auto"/>
            <w:noWrap/>
            <w:hideMark/>
          </w:tcPr>
          <w:p w:rsidR="006D0FDE" w:rsidRPr="00B81CB2" w:rsidRDefault="006D0FDE" w:rsidP="00CC6824">
            <w:pPr>
              <w:jc w:val="both"/>
              <w:rPr>
                <w:rFonts w:eastAsia="Times New Roman"/>
                <w:lang w:eastAsia="en-GB"/>
              </w:rPr>
            </w:pPr>
          </w:p>
        </w:tc>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00B050"/>
                <w:sz w:val="20"/>
                <w:szCs w:val="20"/>
                <w:lang w:eastAsia="en-GB"/>
              </w:rPr>
              <w:t>Com_A</w:t>
            </w:r>
          </w:p>
        </w:tc>
        <w:tc>
          <w:tcPr>
            <w:tcW w:w="0" w:type="auto"/>
            <w:noWrap/>
            <w:hideMark/>
          </w:tcPr>
          <w:p w:rsidR="006D0FDE" w:rsidRPr="006D0FDE" w:rsidRDefault="006D0FDE" w:rsidP="00CC6824">
            <w:pPr>
              <w:jc w:val="both"/>
              <w:rPr>
                <w:rFonts w:ascii="Lucida Console" w:eastAsia="Times New Roman" w:hAnsi="Lucida Console"/>
                <w:b/>
                <w:color w:val="1F497D" w:themeColor="text2"/>
                <w:sz w:val="20"/>
                <w:szCs w:val="20"/>
                <w:lang w:eastAsia="en-GB"/>
              </w:rPr>
            </w:pPr>
            <w:r w:rsidRPr="006D0FDE">
              <w:rPr>
                <w:rFonts w:ascii="Lucida Console" w:eastAsia="Times New Roman" w:hAnsi="Lucida Console"/>
                <w:b/>
                <w:color w:val="1F497D" w:themeColor="text2"/>
                <w:sz w:val="20"/>
                <w:szCs w:val="20"/>
                <w:lang w:eastAsia="en-GB"/>
              </w:rPr>
              <w:t>Com_B</w:t>
            </w:r>
          </w:p>
        </w:tc>
      </w:tr>
      <w:tr w:rsidR="000111B9" w:rsidRPr="00B81CB2" w:rsidTr="000111B9">
        <w:trPr>
          <w:trHeight w:val="288"/>
        </w:trPr>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1F497D" w:themeColor="text2"/>
                <w:sz w:val="20"/>
                <w:szCs w:val="20"/>
                <w:lang w:eastAsia="en-GB"/>
              </w:rPr>
              <w:t>Com_B</w:t>
            </w:r>
          </w:p>
        </w:tc>
        <w:tc>
          <w:tcPr>
            <w:tcW w:w="0" w:type="auto"/>
            <w:noWrap/>
            <w:hideMark/>
          </w:tcPr>
          <w:p w:rsidR="006D0FDE" w:rsidRPr="00B81CB2" w:rsidRDefault="000111B9" w:rsidP="00CC6824">
            <w:pPr>
              <w:jc w:val="both"/>
              <w:rPr>
                <w:rFonts w:eastAsia="Times New Roman"/>
                <w:lang w:eastAsia="en-GB"/>
              </w:rPr>
            </w:pPr>
            <w:r>
              <w:rPr>
                <w:rFonts w:eastAsia="Times New Roman"/>
                <w:lang w:eastAsia="en-GB"/>
              </w:rPr>
              <w:t xml:space="preserve">min(mean(1,1,1),mean(1,1,1)) = </w:t>
            </w:r>
            <w:r w:rsidR="006D0FDE" w:rsidRPr="000111B9">
              <w:rPr>
                <w:rFonts w:eastAsia="Times New Roman"/>
                <w:b/>
                <w:lang w:eastAsia="en-GB"/>
              </w:rPr>
              <w:t>1</w:t>
            </w:r>
          </w:p>
        </w:tc>
        <w:tc>
          <w:tcPr>
            <w:tcW w:w="0" w:type="auto"/>
            <w:noWrap/>
            <w:hideMark/>
          </w:tcPr>
          <w:p w:rsidR="006D0FDE" w:rsidRPr="00B81CB2" w:rsidRDefault="006D0FDE" w:rsidP="00CC6824">
            <w:pPr>
              <w:jc w:val="both"/>
              <w:rPr>
                <w:rFonts w:eastAsia="Times New Roman"/>
                <w:lang w:eastAsia="en-GB"/>
              </w:rPr>
            </w:pPr>
            <w:r w:rsidRPr="00B81CB2">
              <w:rPr>
                <w:rFonts w:eastAsia="Times New Roman"/>
                <w:lang w:eastAsia="en-GB"/>
              </w:rPr>
              <w:t>-</w:t>
            </w:r>
          </w:p>
        </w:tc>
      </w:tr>
      <w:tr w:rsidR="000111B9" w:rsidRPr="00B81CB2" w:rsidTr="000111B9">
        <w:trPr>
          <w:trHeight w:val="288"/>
        </w:trPr>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FF0000"/>
                <w:sz w:val="20"/>
                <w:szCs w:val="20"/>
                <w:lang w:eastAsia="en-GB"/>
              </w:rPr>
              <w:t>Com_C</w:t>
            </w:r>
          </w:p>
        </w:tc>
        <w:tc>
          <w:tcPr>
            <w:tcW w:w="0" w:type="auto"/>
            <w:noWrap/>
            <w:hideMark/>
          </w:tcPr>
          <w:p w:rsidR="006D0FDE" w:rsidRPr="00B81CB2" w:rsidRDefault="000111B9" w:rsidP="00CC6824">
            <w:pPr>
              <w:jc w:val="both"/>
              <w:rPr>
                <w:rFonts w:eastAsia="Times New Roman"/>
                <w:lang w:eastAsia="en-GB"/>
              </w:rPr>
            </w:pPr>
            <w:r>
              <w:rPr>
                <w:rFonts w:eastAsia="Times New Roman"/>
                <w:lang w:eastAsia="en-GB"/>
              </w:rPr>
              <w:t xml:space="preserve">min(mean(1,2,0),mean(0)) = </w:t>
            </w:r>
            <w:r w:rsidR="006D0FDE" w:rsidRPr="000111B9">
              <w:rPr>
                <w:rFonts w:eastAsia="Times New Roman"/>
                <w:b/>
                <w:lang w:eastAsia="en-GB"/>
              </w:rPr>
              <w:t>0</w:t>
            </w:r>
          </w:p>
        </w:tc>
        <w:tc>
          <w:tcPr>
            <w:tcW w:w="0" w:type="auto"/>
            <w:noWrap/>
            <w:hideMark/>
          </w:tcPr>
          <w:p w:rsidR="006D0FDE" w:rsidRPr="00B81CB2" w:rsidRDefault="000111B9" w:rsidP="00CC6824">
            <w:pPr>
              <w:jc w:val="both"/>
              <w:rPr>
                <w:rFonts w:eastAsia="Times New Roman"/>
                <w:lang w:eastAsia="en-GB"/>
              </w:rPr>
            </w:pPr>
            <w:r>
              <w:rPr>
                <w:rFonts w:eastAsia="Times New Roman"/>
                <w:lang w:eastAsia="en-GB"/>
              </w:rPr>
              <w:t xml:space="preserve">min(mean(1,1.4,2.2),mean(1)) = </w:t>
            </w:r>
            <w:r w:rsidR="006D0FDE" w:rsidRPr="000111B9">
              <w:rPr>
                <w:rFonts w:eastAsia="Times New Roman"/>
                <w:b/>
                <w:lang w:eastAsia="en-GB"/>
              </w:rPr>
              <w:t>1</w:t>
            </w:r>
          </w:p>
        </w:tc>
      </w:tr>
    </w:tbl>
    <w:p w:rsidR="006D0FDE" w:rsidRPr="006D0FDE" w:rsidRDefault="006D0FDE" w:rsidP="00CC6824">
      <w:pPr>
        <w:jc w:val="both"/>
      </w:pPr>
      <w:r w:rsidRPr="00B81CB2">
        <w:rPr>
          <w:i/>
        </w:rPr>
        <w:t>MNTD</w:t>
      </w:r>
      <w:r>
        <w:t>n</w:t>
      </w:r>
    </w:p>
    <w:tbl>
      <w:tblPr>
        <w:tblStyle w:val="TableGrid"/>
        <w:tblW w:w="0" w:type="auto"/>
        <w:tblLook w:val="04A0" w:firstRow="1" w:lastRow="0" w:firstColumn="1" w:lastColumn="0" w:noHBand="0" w:noVBand="1"/>
      </w:tblPr>
      <w:tblGrid>
        <w:gridCol w:w="820"/>
        <w:gridCol w:w="1529"/>
        <w:gridCol w:w="1306"/>
      </w:tblGrid>
      <w:tr w:rsidR="006D0FDE" w:rsidRPr="00B81CB2" w:rsidTr="000111B9">
        <w:trPr>
          <w:trHeight w:val="288"/>
        </w:trPr>
        <w:tc>
          <w:tcPr>
            <w:tcW w:w="0" w:type="auto"/>
            <w:noWrap/>
            <w:hideMark/>
          </w:tcPr>
          <w:p w:rsidR="006D0FDE" w:rsidRPr="00B81CB2" w:rsidRDefault="006D0FDE" w:rsidP="00CC6824">
            <w:pPr>
              <w:jc w:val="both"/>
              <w:rPr>
                <w:rFonts w:eastAsia="Times New Roman"/>
                <w:lang w:eastAsia="en-GB"/>
              </w:rPr>
            </w:pPr>
          </w:p>
        </w:tc>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00B050"/>
                <w:sz w:val="20"/>
                <w:szCs w:val="20"/>
                <w:lang w:eastAsia="en-GB"/>
              </w:rPr>
              <w:t>Com_A</w:t>
            </w:r>
          </w:p>
        </w:tc>
        <w:tc>
          <w:tcPr>
            <w:tcW w:w="0" w:type="auto"/>
            <w:noWrap/>
            <w:hideMark/>
          </w:tcPr>
          <w:p w:rsidR="006D0FDE" w:rsidRPr="006D0FDE" w:rsidRDefault="006D0FDE" w:rsidP="00CC6824">
            <w:pPr>
              <w:jc w:val="both"/>
              <w:rPr>
                <w:rFonts w:ascii="Lucida Console" w:eastAsia="Times New Roman" w:hAnsi="Lucida Console"/>
                <w:b/>
                <w:color w:val="1F497D" w:themeColor="text2"/>
                <w:sz w:val="20"/>
                <w:szCs w:val="20"/>
                <w:lang w:eastAsia="en-GB"/>
              </w:rPr>
            </w:pPr>
            <w:r w:rsidRPr="006D0FDE">
              <w:rPr>
                <w:rFonts w:ascii="Lucida Console" w:eastAsia="Times New Roman" w:hAnsi="Lucida Console"/>
                <w:b/>
                <w:color w:val="1F497D" w:themeColor="text2"/>
                <w:sz w:val="20"/>
                <w:szCs w:val="20"/>
                <w:lang w:eastAsia="en-GB"/>
              </w:rPr>
              <w:t>Com_B</w:t>
            </w:r>
          </w:p>
        </w:tc>
      </w:tr>
      <w:tr w:rsidR="006D0FDE" w:rsidRPr="00B81CB2" w:rsidTr="000111B9">
        <w:trPr>
          <w:trHeight w:val="288"/>
        </w:trPr>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1F497D" w:themeColor="text2"/>
                <w:sz w:val="20"/>
                <w:szCs w:val="20"/>
                <w:lang w:eastAsia="en-GB"/>
              </w:rPr>
              <w:t>Com_B</w:t>
            </w:r>
          </w:p>
        </w:tc>
        <w:tc>
          <w:tcPr>
            <w:tcW w:w="0" w:type="auto"/>
            <w:noWrap/>
            <w:hideMark/>
          </w:tcPr>
          <w:p w:rsidR="006D0FDE" w:rsidRPr="000111B9" w:rsidRDefault="000111B9" w:rsidP="00CC6824">
            <w:pPr>
              <w:jc w:val="both"/>
              <w:rPr>
                <w:rFonts w:eastAsia="Times New Roman"/>
                <w:b/>
                <w:lang w:eastAsia="en-GB"/>
              </w:rPr>
            </w:pPr>
            <w:r>
              <w:rPr>
                <w:rFonts w:eastAsia="Times New Roman"/>
                <w:lang w:eastAsia="en-GB"/>
              </w:rPr>
              <w:t xml:space="preserve">1 – 1 = </w:t>
            </w:r>
            <w:r w:rsidR="006D0FDE" w:rsidRPr="000111B9">
              <w:rPr>
                <w:rFonts w:eastAsia="Times New Roman"/>
                <w:b/>
                <w:lang w:eastAsia="en-GB"/>
              </w:rPr>
              <w:t>0</w:t>
            </w:r>
          </w:p>
        </w:tc>
        <w:tc>
          <w:tcPr>
            <w:tcW w:w="0" w:type="auto"/>
            <w:noWrap/>
            <w:hideMark/>
          </w:tcPr>
          <w:p w:rsidR="006D0FDE" w:rsidRPr="000111B9" w:rsidRDefault="006D0FDE" w:rsidP="00CC6824">
            <w:pPr>
              <w:jc w:val="both"/>
              <w:rPr>
                <w:rFonts w:eastAsia="Times New Roman"/>
                <w:b/>
                <w:lang w:eastAsia="en-GB"/>
              </w:rPr>
            </w:pPr>
            <w:r w:rsidRPr="000111B9">
              <w:rPr>
                <w:rFonts w:eastAsia="Times New Roman"/>
                <w:b/>
                <w:lang w:eastAsia="en-GB"/>
              </w:rPr>
              <w:t>-</w:t>
            </w:r>
          </w:p>
        </w:tc>
      </w:tr>
      <w:tr w:rsidR="006D0FDE" w:rsidRPr="00B81CB2" w:rsidTr="000111B9">
        <w:trPr>
          <w:trHeight w:val="288"/>
        </w:trPr>
        <w:tc>
          <w:tcPr>
            <w:tcW w:w="0" w:type="auto"/>
            <w:noWrap/>
            <w:hideMark/>
          </w:tcPr>
          <w:p w:rsidR="006D0FDE" w:rsidRPr="006D0FDE" w:rsidRDefault="006D0FDE" w:rsidP="00CC6824">
            <w:pPr>
              <w:jc w:val="both"/>
              <w:rPr>
                <w:rFonts w:ascii="Lucida Console" w:eastAsia="Times New Roman" w:hAnsi="Lucida Console"/>
                <w:b/>
                <w:sz w:val="20"/>
                <w:szCs w:val="20"/>
                <w:lang w:eastAsia="en-GB"/>
              </w:rPr>
            </w:pPr>
            <w:r w:rsidRPr="006D0FDE">
              <w:rPr>
                <w:rFonts w:ascii="Lucida Console" w:eastAsia="Times New Roman" w:hAnsi="Lucida Console"/>
                <w:b/>
                <w:color w:val="FF0000"/>
                <w:sz w:val="20"/>
                <w:szCs w:val="20"/>
                <w:lang w:eastAsia="en-GB"/>
              </w:rPr>
              <w:t>Com_C</w:t>
            </w:r>
          </w:p>
        </w:tc>
        <w:tc>
          <w:tcPr>
            <w:tcW w:w="0" w:type="auto"/>
            <w:noWrap/>
            <w:hideMark/>
          </w:tcPr>
          <w:p w:rsidR="006D0FDE" w:rsidRPr="000111B9" w:rsidRDefault="000111B9" w:rsidP="00CC6824">
            <w:pPr>
              <w:jc w:val="both"/>
              <w:rPr>
                <w:rFonts w:eastAsia="Times New Roman"/>
                <w:b/>
                <w:lang w:eastAsia="en-GB"/>
              </w:rPr>
            </w:pPr>
            <w:r w:rsidRPr="000111B9">
              <w:rPr>
                <w:rFonts w:eastAsia="Times New Roman"/>
                <w:lang w:eastAsia="en-GB"/>
              </w:rPr>
              <w:t>0.75 – 0 =</w:t>
            </w:r>
            <w:r>
              <w:rPr>
                <w:rFonts w:eastAsia="Times New Roman"/>
                <w:b/>
                <w:lang w:eastAsia="en-GB"/>
              </w:rPr>
              <w:t xml:space="preserve"> </w:t>
            </w:r>
            <w:r w:rsidR="006D0FDE" w:rsidRPr="000111B9">
              <w:rPr>
                <w:rFonts w:eastAsia="Times New Roman"/>
                <w:b/>
                <w:lang w:eastAsia="en-GB"/>
              </w:rPr>
              <w:t>0.75</w:t>
            </w:r>
          </w:p>
        </w:tc>
        <w:tc>
          <w:tcPr>
            <w:tcW w:w="0" w:type="auto"/>
            <w:noWrap/>
            <w:hideMark/>
          </w:tcPr>
          <w:p w:rsidR="006D0FDE" w:rsidRPr="000111B9" w:rsidRDefault="000111B9" w:rsidP="00CC6824">
            <w:pPr>
              <w:jc w:val="both"/>
              <w:rPr>
                <w:rFonts w:eastAsia="Times New Roman"/>
                <w:b/>
                <w:lang w:eastAsia="en-GB"/>
              </w:rPr>
            </w:pPr>
            <w:r w:rsidRPr="000111B9">
              <w:rPr>
                <w:rFonts w:eastAsia="Times New Roman"/>
                <w:lang w:eastAsia="en-GB"/>
              </w:rPr>
              <w:t>1.4 – 1 =</w:t>
            </w:r>
            <w:r>
              <w:rPr>
                <w:rFonts w:eastAsia="Times New Roman"/>
                <w:b/>
                <w:lang w:eastAsia="en-GB"/>
              </w:rPr>
              <w:t xml:space="preserve"> </w:t>
            </w:r>
            <w:r w:rsidR="006D0FDE" w:rsidRPr="000111B9">
              <w:rPr>
                <w:rFonts w:eastAsia="Times New Roman"/>
                <w:b/>
                <w:lang w:eastAsia="en-GB"/>
              </w:rPr>
              <w:t>0.4</w:t>
            </w:r>
          </w:p>
        </w:tc>
      </w:tr>
    </w:tbl>
    <w:p w:rsidR="006D0FDE" w:rsidRPr="000111B9" w:rsidRDefault="006D0FDE" w:rsidP="00CC6824">
      <w:pPr>
        <w:jc w:val="both"/>
      </w:pPr>
      <w:r>
        <w:t xml:space="preserve">So communities </w:t>
      </w:r>
      <w:r w:rsidR="000111B9">
        <w:t>A and B have no identical species and there MNTD</w:t>
      </w:r>
      <w:r w:rsidR="000111B9">
        <w:rPr>
          <w:i/>
        </w:rPr>
        <w:t>t</w:t>
      </w:r>
      <w:r w:rsidR="000111B9">
        <w:t xml:space="preserve"> = MNTD, whereas community C has no species that are unique from the species in community A and therefore MNTD</w:t>
      </w:r>
      <w:r w:rsidR="000111B9">
        <w:rPr>
          <w:i/>
        </w:rPr>
        <w:t xml:space="preserve">t </w:t>
      </w:r>
      <w:r w:rsidR="000111B9">
        <w:t>= 0 and the only difference between the communities is measured by MNTD</w:t>
      </w:r>
      <w:r w:rsidR="00E848D1">
        <w:rPr>
          <w:i/>
        </w:rPr>
        <w:t>n</w:t>
      </w:r>
      <w:r w:rsidR="000111B9">
        <w:rPr>
          <w:i/>
        </w:rPr>
        <w:t>.</w:t>
      </w:r>
    </w:p>
    <w:sectPr w:rsidR="006D0FDE" w:rsidRPr="000111B9" w:rsidSect="0008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CE"/>
    <w:rsid w:val="000111B9"/>
    <w:rsid w:val="000865EC"/>
    <w:rsid w:val="00387ECE"/>
    <w:rsid w:val="006D0FDE"/>
    <w:rsid w:val="00790D6E"/>
    <w:rsid w:val="007B0F8D"/>
    <w:rsid w:val="00B81CB2"/>
    <w:rsid w:val="00BB2612"/>
    <w:rsid w:val="00CC6824"/>
    <w:rsid w:val="00E37AF8"/>
    <w:rsid w:val="00E846A1"/>
    <w:rsid w:val="00E8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C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ECE"/>
    <w:pPr>
      <w:spacing w:before="100" w:beforeAutospacing="1" w:after="100" w:afterAutospacing="1" w:line="240" w:lineRule="auto"/>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87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ECE"/>
    <w:rPr>
      <w:rFonts w:ascii="Tahoma" w:eastAsiaTheme="minorEastAsia" w:hAnsi="Tahoma" w:cs="Tahoma"/>
      <w:sz w:val="16"/>
      <w:szCs w:val="16"/>
      <w:lang w:eastAsia="zh-CN"/>
    </w:rPr>
  </w:style>
  <w:style w:type="paragraph" w:styleId="Caption">
    <w:name w:val="caption"/>
    <w:basedOn w:val="Normal"/>
    <w:next w:val="Normal"/>
    <w:uiPriority w:val="35"/>
    <w:unhideWhenUsed/>
    <w:qFormat/>
    <w:rsid w:val="00BB2612"/>
    <w:pPr>
      <w:spacing w:line="240" w:lineRule="auto"/>
    </w:pPr>
    <w:rPr>
      <w:b/>
      <w:bCs/>
      <w:i/>
      <w:sz w:val="20"/>
      <w:szCs w:val="18"/>
    </w:rPr>
  </w:style>
  <w:style w:type="table" w:styleId="TableGrid">
    <w:name w:val="Table Grid"/>
    <w:basedOn w:val="TableNormal"/>
    <w:uiPriority w:val="59"/>
    <w:rsid w:val="00011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7AF8"/>
    <w:rPr>
      <w:sz w:val="16"/>
      <w:szCs w:val="16"/>
    </w:rPr>
  </w:style>
  <w:style w:type="paragraph" w:styleId="CommentText">
    <w:name w:val="annotation text"/>
    <w:basedOn w:val="Normal"/>
    <w:link w:val="CommentTextChar"/>
    <w:uiPriority w:val="99"/>
    <w:semiHidden/>
    <w:unhideWhenUsed/>
    <w:rsid w:val="00E37AF8"/>
    <w:pPr>
      <w:spacing w:line="240" w:lineRule="auto"/>
    </w:pPr>
    <w:rPr>
      <w:sz w:val="20"/>
      <w:szCs w:val="20"/>
    </w:rPr>
  </w:style>
  <w:style w:type="character" w:customStyle="1" w:styleId="CommentTextChar">
    <w:name w:val="Comment Text Char"/>
    <w:basedOn w:val="DefaultParagraphFont"/>
    <w:link w:val="CommentText"/>
    <w:uiPriority w:val="99"/>
    <w:semiHidden/>
    <w:rsid w:val="00E37AF8"/>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E37AF8"/>
    <w:rPr>
      <w:b/>
      <w:bCs/>
    </w:rPr>
  </w:style>
  <w:style w:type="character" w:customStyle="1" w:styleId="CommentSubjectChar">
    <w:name w:val="Comment Subject Char"/>
    <w:basedOn w:val="CommentTextChar"/>
    <w:link w:val="CommentSubject"/>
    <w:uiPriority w:val="99"/>
    <w:semiHidden/>
    <w:rsid w:val="00E37AF8"/>
    <w:rPr>
      <w:rFonts w:eastAsiaTheme="minorEastAsia"/>
      <w:b/>
      <w:bCs/>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C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ECE"/>
    <w:pPr>
      <w:spacing w:before="100" w:beforeAutospacing="1" w:after="100" w:afterAutospacing="1" w:line="240" w:lineRule="auto"/>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87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ECE"/>
    <w:rPr>
      <w:rFonts w:ascii="Tahoma" w:eastAsiaTheme="minorEastAsia" w:hAnsi="Tahoma" w:cs="Tahoma"/>
      <w:sz w:val="16"/>
      <w:szCs w:val="16"/>
      <w:lang w:eastAsia="zh-CN"/>
    </w:rPr>
  </w:style>
  <w:style w:type="paragraph" w:styleId="Caption">
    <w:name w:val="caption"/>
    <w:basedOn w:val="Normal"/>
    <w:next w:val="Normal"/>
    <w:uiPriority w:val="35"/>
    <w:unhideWhenUsed/>
    <w:qFormat/>
    <w:rsid w:val="00BB2612"/>
    <w:pPr>
      <w:spacing w:line="240" w:lineRule="auto"/>
    </w:pPr>
    <w:rPr>
      <w:b/>
      <w:bCs/>
      <w:i/>
      <w:sz w:val="20"/>
      <w:szCs w:val="18"/>
    </w:rPr>
  </w:style>
  <w:style w:type="table" w:styleId="TableGrid">
    <w:name w:val="Table Grid"/>
    <w:basedOn w:val="TableNormal"/>
    <w:uiPriority w:val="59"/>
    <w:rsid w:val="00011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7AF8"/>
    <w:rPr>
      <w:sz w:val="16"/>
      <w:szCs w:val="16"/>
    </w:rPr>
  </w:style>
  <w:style w:type="paragraph" w:styleId="CommentText">
    <w:name w:val="annotation text"/>
    <w:basedOn w:val="Normal"/>
    <w:link w:val="CommentTextChar"/>
    <w:uiPriority w:val="99"/>
    <w:semiHidden/>
    <w:unhideWhenUsed/>
    <w:rsid w:val="00E37AF8"/>
    <w:pPr>
      <w:spacing w:line="240" w:lineRule="auto"/>
    </w:pPr>
    <w:rPr>
      <w:sz w:val="20"/>
      <w:szCs w:val="20"/>
    </w:rPr>
  </w:style>
  <w:style w:type="character" w:customStyle="1" w:styleId="CommentTextChar">
    <w:name w:val="Comment Text Char"/>
    <w:basedOn w:val="DefaultParagraphFont"/>
    <w:link w:val="CommentText"/>
    <w:uiPriority w:val="99"/>
    <w:semiHidden/>
    <w:rsid w:val="00E37AF8"/>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E37AF8"/>
    <w:rPr>
      <w:b/>
      <w:bCs/>
    </w:rPr>
  </w:style>
  <w:style w:type="character" w:customStyle="1" w:styleId="CommentSubjectChar">
    <w:name w:val="Comment Subject Char"/>
    <w:basedOn w:val="CommentTextChar"/>
    <w:link w:val="CommentSubject"/>
    <w:uiPriority w:val="99"/>
    <w:semiHidden/>
    <w:rsid w:val="00E37AF8"/>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9764">
      <w:bodyDiv w:val="1"/>
      <w:marLeft w:val="0"/>
      <w:marRight w:val="0"/>
      <w:marTop w:val="0"/>
      <w:marBottom w:val="0"/>
      <w:divBdr>
        <w:top w:val="none" w:sz="0" w:space="0" w:color="auto"/>
        <w:left w:val="none" w:sz="0" w:space="0" w:color="auto"/>
        <w:bottom w:val="none" w:sz="0" w:space="0" w:color="auto"/>
        <w:right w:val="none" w:sz="0" w:space="0" w:color="auto"/>
      </w:divBdr>
    </w:div>
    <w:div w:id="347372092">
      <w:bodyDiv w:val="1"/>
      <w:marLeft w:val="0"/>
      <w:marRight w:val="0"/>
      <w:marTop w:val="0"/>
      <w:marBottom w:val="0"/>
      <w:divBdr>
        <w:top w:val="none" w:sz="0" w:space="0" w:color="auto"/>
        <w:left w:val="none" w:sz="0" w:space="0" w:color="auto"/>
        <w:bottom w:val="none" w:sz="0" w:space="0" w:color="auto"/>
        <w:right w:val="none" w:sz="0" w:space="0" w:color="auto"/>
      </w:divBdr>
    </w:div>
    <w:div w:id="689643982">
      <w:bodyDiv w:val="1"/>
      <w:marLeft w:val="0"/>
      <w:marRight w:val="0"/>
      <w:marTop w:val="0"/>
      <w:marBottom w:val="0"/>
      <w:divBdr>
        <w:top w:val="none" w:sz="0" w:space="0" w:color="auto"/>
        <w:left w:val="none" w:sz="0" w:space="0" w:color="auto"/>
        <w:bottom w:val="none" w:sz="0" w:space="0" w:color="auto"/>
        <w:right w:val="none" w:sz="0" w:space="0" w:color="auto"/>
      </w:divBdr>
    </w:div>
    <w:div w:id="9893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bholt</cp:lastModifiedBy>
  <cp:revision>2</cp:revision>
  <dcterms:created xsi:type="dcterms:W3CDTF">2013-08-01T09:11:00Z</dcterms:created>
  <dcterms:modified xsi:type="dcterms:W3CDTF">2013-08-01T09:11:00Z</dcterms:modified>
</cp:coreProperties>
</file>