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42423E" w:rsidP="00975E59">
      <w:pPr>
        <w:pStyle w:val="Title"/>
      </w:pPr>
      <w:r>
        <w:t xml:space="preserve">Analysis: </w:t>
      </w:r>
      <w:r w:rsidR="00BF2CEB">
        <w:t xml:space="preserve">Academic </w:t>
      </w:r>
      <w:r w:rsidR="00234776">
        <w:t>Betadiversity</w:t>
      </w:r>
      <w:r w:rsidR="00BF2CEB">
        <w:t xml:space="preserve"> and </w:t>
      </w:r>
      <w:r w:rsidR="00234776">
        <w:t>Future</w:t>
      </w:r>
      <w:r w:rsidR="00BF2CEB">
        <w:t xml:space="preserve"> of Biological </w:t>
      </w:r>
      <w:r w:rsidR="00234776">
        <w:t>Collaboration</w:t>
      </w:r>
    </w:p>
    <w:p w:rsidR="00B537E8" w:rsidRDefault="00BF2CEB" w:rsidP="00975E59">
      <w:pPr>
        <w:pStyle w:val="Heading2"/>
      </w:pPr>
      <w:r>
        <w:t>Abstract</w:t>
      </w:r>
    </w:p>
    <w:p w:rsidR="00B537E8" w:rsidRDefault="00E00795" w:rsidP="00E00795">
      <w:r>
        <w:t>Interdisciplinary work is a critical component of solving biological problems. The mixing of fields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disciplines are part of a complex network.</w:t>
      </w:r>
      <w:r w:rsidR="00C240F9">
        <w:t xml:space="preserve"> This network is highly modular and connected by several key fields which act as bridges between compartments of authors. </w:t>
      </w:r>
      <w:r w:rsidR="00DC15C8">
        <w:t xml:space="preserve"> </w:t>
      </w:r>
      <w:r w:rsidR="009172BA">
        <w:t xml:space="preserve">This analysis highlights the contribution of </w:t>
      </w:r>
      <w:r w:rsidR="00DC15C8">
        <w:t>Environmental Sciences, Biotechnology</w:t>
      </w:r>
      <w:r w:rsidR="00210DC9">
        <w:t>,</w:t>
      </w:r>
      <w:r w:rsidR="009172BA">
        <w:t xml:space="preserve"> and</w:t>
      </w:r>
      <w:r w:rsidR="00210DC9">
        <w:t xml:space="preserve"> Biodiversity and Conservation Biology, </w:t>
      </w:r>
      <w:r w:rsidR="009172BA">
        <w:t xml:space="preserve">to stitching together the biological sciences. Changes in connections among fields over time show the birth and growth of new disciplines within Biology. </w:t>
      </w:r>
      <w:r w:rsidR="00210DC9">
        <w:t>Future growth among biological fields will require integration to forge new bridges to connect currently disparate topics.</w:t>
      </w:r>
    </w:p>
    <w:p w:rsidR="00234776" w:rsidRDefault="00BF2CEB" w:rsidP="00975E59">
      <w:pPr>
        <w:pStyle w:val="Heading2"/>
      </w:pPr>
      <w:r w:rsidRPr="00975E59">
        <w:rPr>
          <w:rStyle w:val="Heading1Char"/>
        </w:rPr>
        <w:t>Introduction</w:t>
      </w:r>
    </w:p>
    <w:p w:rsidR="00BF2CEB" w:rsidRDefault="00234776" w:rsidP="00B34FF1">
      <w:r>
        <w:t>Innovative discoveries come from</w:t>
      </w:r>
      <w:r w:rsidR="004E66DB">
        <w:t xml:space="preserve"> the</w:t>
      </w:r>
      <w:r>
        <w:t xml:space="preserve"> </w:t>
      </w:r>
      <w:r w:rsidR="0040175A">
        <w:t>mixing</w:t>
      </w:r>
      <w:r>
        <w:t xml:space="preserve"> </w:t>
      </w:r>
      <w:r w:rsidR="008B09F3">
        <w:t>of</w:t>
      </w:r>
      <w:r>
        <w:t xml:space="preserve"> </w:t>
      </w:r>
      <w:r w:rsidR="004E66DB">
        <w:t>academic</w:t>
      </w:r>
      <w:r>
        <w:t xml:space="preserve"> fields.</w:t>
      </w:r>
      <w:r w:rsidR="00B0616C">
        <w:t xml:space="preserve"> The National Science Foundation and the National Institutes of Health</w:t>
      </w:r>
      <w:r>
        <w:t xml:space="preserve"> </w:t>
      </w:r>
      <w:r w:rsidR="00B0616C">
        <w:t>highlight c</w:t>
      </w:r>
      <w:r>
        <w:t xml:space="preserve">ross-disciplinary </w:t>
      </w:r>
      <w:r w:rsidR="00495638">
        <w:t xml:space="preserve">as a central </w:t>
      </w:r>
      <w:r w:rsidR="00B0616C">
        <w:t>ingredient</w:t>
      </w:r>
      <w:r w:rsidR="00495638">
        <w:t xml:space="preserve"> for sparking scientific breakthroughs</w:t>
      </w:r>
      <w:r>
        <w:t>.</w:t>
      </w:r>
      <w:r w:rsidR="00B0616C">
        <w:t xml:space="preserve"> T</w:t>
      </w:r>
      <w:r>
        <w:t>he melding of</w:t>
      </w:r>
      <w:r w:rsidR="00141E51">
        <w:t xml:space="preserve"> disparate fields of study has prod</w:t>
      </w:r>
      <w:r w:rsidR="00B0616C">
        <w:t xml:space="preserve">uced theoretical breakthroughs </w:t>
      </w:r>
      <w:r w:rsidR="00141E51">
        <w:t>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resistance, </w:t>
      </w:r>
      <w:r w:rsidR="002738F8">
        <w:t xml:space="preserve">to </w:t>
      </w:r>
      <w:r w:rsidR="008B09F3">
        <w:t>producing robust climate models</w:t>
      </w:r>
      <w:r w:rsidR="009E595E">
        <w:t>,</w:t>
      </w:r>
      <w:r w:rsidR="002738F8">
        <w:t xml:space="preserve"> requires scientists to embrace a wider view of life sciences.</w:t>
      </w:r>
    </w:p>
    <w:p w:rsidR="002738F8" w:rsidRDefault="00234776" w:rsidP="00215C85">
      <w:pPr>
        <w:ind w:firstLine="720"/>
      </w:pPr>
      <w:r>
        <w:lastRenderedPageBreak/>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w:t>
      </w:r>
      <w:r w:rsidR="00A12F09">
        <w:t>level of interdisciplinary work</w:t>
      </w:r>
      <w:r w:rsidR="00585917">
        <w:t xml:space="preserve"> and the relevance of a particular citation to the aim of the research may be limited(). In contrast, tracking </w:t>
      </w:r>
      <w:r w:rsidR="008D2060">
        <w:t>individual authors as they published in</w:t>
      </w:r>
      <w:r w:rsidR="00585917">
        <w:t xml:space="preserve"> research journals provides a new view into the depth and diversity of interdisciplinary research</w:t>
      </w:r>
      <w:r w:rsidR="0041305C">
        <w:fldChar w:fldCharType="begin" w:fldLock="1"/>
      </w:r>
      <w:r w:rsidR="0041305C">
        <w:instrText>ADDIN CSL_CITATION { "citationItems" : [ { "id" : "ITEM-1", "itemData" : { "DOI" : "10.1007/s11192-012-0859-6", "ISBN" : "0138-9130", "ISSN" : "01389130", "PMID" : "84936632", "abstract" : "Science is principally driven by the efforts of a vanishingly small fraction of researchers publishing the majority of scientific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world\u2019s most highly cited environmental scientists and ecologists, inquiring into their levels of scientific productivity and visibility, examining relationships between scientific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scientific community.", "author" : [ { "dropping-particle" : "", "family" : "Parker", "given" : "John N.", "non-dropping-particle" : "", "parse-names" : false, "suffix" : "" }, { "dropping-particle" : "", "family" : "Allesina", "given" : "Stefano", "non-dropping-particle" : "", "parse-names" : false, "suffix" : "" }, { "dropping-particle" : "", "family" : "Lortie", "given" : "Christopher J.", "non-dropping-particle" : "", "parse-names" : false, "suffix" : "" } ], "container-title" : "Scientometrics", "id" : "ITEM-1", "issued" : { "date-parts" : [ [ "2013" ] ] }, "page" : "469-480", "title" : "Characterizing a scientific elite (B): Publication and citation patterns of the most highly cited scientists in environmental science and ecology", "type" : "article-journal", "volume" : "94" }, "uris" : [ "http://www.mendeley.com/documents/?uuid=31955d18-53f2-4b29-9591-b06d7218c28a" ] } ], "mendeley" : { "formattedCitation" : "&lt;sup&gt;1&lt;/sup&gt;", "plainTextFormattedCitation" : "1", "previouslyFormattedCitation" : "&lt;sup&gt;1&lt;/sup&gt;" }, "properties" : { "noteIndex" : 0 }, "schema" : "https://github.com/citation-style-language/schema/raw/master/csl-citation.json" }</w:instrText>
      </w:r>
      <w:r w:rsidR="0041305C">
        <w:fldChar w:fldCharType="separate"/>
      </w:r>
      <w:r w:rsidR="0041305C" w:rsidRPr="0041305C">
        <w:rPr>
          <w:noProof/>
          <w:vertAlign w:val="superscript"/>
        </w:rPr>
        <w:t>1</w:t>
      </w:r>
      <w:r w:rsidR="0041305C">
        <w:fldChar w:fldCharType="end"/>
      </w:r>
      <w:r w:rsidR="00585917">
        <w:t xml:space="preserve">. </w:t>
      </w:r>
      <w:r w:rsidR="00A12F09">
        <w:t>Here I use t</w:t>
      </w:r>
      <w:r w:rsidR="00585917">
        <w:t>he contribution of individual authors</w:t>
      </w:r>
      <w:r w:rsidR="00A12F09">
        <w:t xml:space="preserve"> to</w:t>
      </w:r>
      <w:r w:rsidR="00585917">
        <w:t xml:space="preserve"> </w:t>
      </w:r>
      <w:r w:rsidR="00A12F09">
        <w:t>capture</w:t>
      </w:r>
      <w:r w:rsidR="00585917">
        <w:t xml:space="preserve"> the interdisciplinary nature of each biological field. </w:t>
      </w:r>
      <w:r w:rsidR="002738F8">
        <w:t xml:space="preserve">By studying the emergent </w:t>
      </w:r>
      <w:r w:rsidR="00585917">
        <w:t xml:space="preserve">connections of </w:t>
      </w:r>
      <w:r w:rsidR="00495638">
        <w:t>these</w:t>
      </w:r>
      <w:r w:rsidR="00585917">
        <w:t xml:space="preserve"> fields, we garner a new view of biology as </w:t>
      </w:r>
      <w:r w:rsidR="002738F8">
        <w:t>an in</w:t>
      </w:r>
      <w:r w:rsidR="00585917">
        <w:t>terconnec</w:t>
      </w:r>
      <w:r w:rsidR="008D2060">
        <w:t xml:space="preserve">ted and complex system.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41305C">
        <w:fldChar w:fldCharType="begin" w:fldLock="1"/>
      </w:r>
      <w:r w:rsidR="0041305C">
        <w:instrText>ADDIN CSL_CITATION { "citationItems" : [ { "id" : "ITEM-1", "itemData" : { "DOI" : "10.1073/pnas.0307545100", "ISBN" : "0027-8424", "ISSN" : "0027-8424", "PMID" : "14745042", "abstract" : "By using data from three bibliographic databases in biology, physics, and mathematics, respectively, networks are constructed in which the nodes are scientists, and two scientists are connected if they have coauthored a paper. We use these networks to answer a broad variety of questions about collaboration patterns, such as the numbers of papers authors write, how many people they write them with, what the typical distance between scientists is through the network, and how patterns of collaboration vary between subjects and over time. We also summarize a number of recent results by other authors on coauthorship patterns.", "author" : [ { "dropping-particle" : "", "family" : "Newman", "given" : "M E J", "non-dropping-particle" : "", "parse-names" : false, "suffix" : "" } ], "container-title" : "Proceedings of the National Academy of Sciences of the United States of America", "id" : "ITEM-1", "issued" : { "date-parts" : [ [ "2004" ] ] }, "page" : "5200-5205", "title" : "Coauthorship networks and patterns of scientific collaboration.", "type" : "article-journal", "volume" : "101 Suppl " }, "uris" : [ "http://www.mendeley.com/documents/?uuid=7cf4d7c8-8373-4603-9bee-bef05fb51314" ] } ], "mendeley" : { "formattedCitation" : "&lt;sup&gt;2&lt;/sup&gt;", "plainTextFormattedCitation" : "2", "previouslyFormattedCitation" : "&lt;sup&gt;2&lt;/sup&gt;" }, "properties" : { "noteIndex" : 0 }, "schema" : "https://github.com/citation-style-language/schema/raw/master/csl-citation.json" }</w:instrText>
      </w:r>
      <w:r w:rsidR="0041305C">
        <w:fldChar w:fldCharType="separate"/>
      </w:r>
      <w:r w:rsidR="0041305C" w:rsidRPr="0041305C">
        <w:rPr>
          <w:noProof/>
          <w:vertAlign w:val="superscript"/>
        </w:rPr>
        <w:t>2</w:t>
      </w:r>
      <w:r w:rsidR="0041305C">
        <w:fldChar w:fldCharType="end"/>
      </w:r>
      <w:r w:rsidR="00A005C0">
        <w:t>.</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495638">
        <w:t>. This matrix consisted</w:t>
      </w:r>
      <w:r w:rsidR="00B34FF1">
        <w:t xml:space="preserve"> of the </w:t>
      </w:r>
      <w:r w:rsidR="00331C85">
        <w:t>degree</w:t>
      </w:r>
      <w:r w:rsidR="00B34FF1">
        <w:t xml:space="preserve"> of </w:t>
      </w:r>
      <w:r w:rsidR="008D2060">
        <w:t>dissimilarity</w:t>
      </w:r>
      <w:r w:rsidR="00B34FF1">
        <w:t xml:space="preserve"> between </w:t>
      </w:r>
      <w:r>
        <w:t>fields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r w:rsidR="004742A4">
        <w:t xml:space="preserve">Which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8D2060">
        <w:t xml:space="preserve"> over time</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w:t>
      </w:r>
      <w:r w:rsidR="006F7A16">
        <w:t>extracted article metadata</w:t>
      </w:r>
      <w:r w:rsidR="00B34FF1">
        <w:t xml:space="preserve"> from </w:t>
      </w:r>
      <w:r w:rsidR="006F7A16">
        <w:t xml:space="preserve">all papers published from 1995 to </w:t>
      </w:r>
      <w:r w:rsidR="008D2060">
        <w:t>2014</w:t>
      </w:r>
      <w:r>
        <w:t xml:space="preserve"> for</w:t>
      </w:r>
      <w:r w:rsidR="00B34FF1">
        <w:t xml:space="preserve"> </w:t>
      </w:r>
      <w:r w:rsidR="00215C85">
        <w:t>578</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xml:space="preserve">, I </w:t>
      </w:r>
      <w:r w:rsidR="00F222E1">
        <w:t>c</w:t>
      </w:r>
      <w:r w:rsidR="00734F35">
        <w:t>alculate</w:t>
      </w:r>
      <w:r w:rsidR="00F222E1">
        <w:t xml:space="preserve">d </w:t>
      </w:r>
      <w:r w:rsidR="00F222E1">
        <w:t>centrality</w:t>
      </w:r>
      <w:r w:rsidR="00F222E1">
        <w:t xml:space="preserve"> of these fields using </w:t>
      </w:r>
      <w:r w:rsidR="00734F35">
        <w:t>the</w:t>
      </w:r>
      <w:r w:rsidR="00B537E8">
        <w:t xml:space="preserve"> </w:t>
      </w:r>
      <w:r w:rsidR="00141E51">
        <w:t>betweenness</w:t>
      </w:r>
      <w:r w:rsidR="006D572C">
        <w:t xml:space="preserve">, </w:t>
      </w:r>
      <w:r w:rsidR="00734F35">
        <w:t>degree</w:t>
      </w:r>
      <w:r w:rsidR="006D572C">
        <w:t xml:space="preserve">, closeness and eigenvalue </w:t>
      </w:r>
      <w:r w:rsidR="00F222E1">
        <w:t xml:space="preserve">network metrics. </w:t>
      </w:r>
      <w:r w:rsidR="007C1DA0">
        <w:t xml:space="preserve">Fields with high betweenness are central members of the network and connect other members. Fields with </w:t>
      </w:r>
      <w:r w:rsidR="008D2060">
        <w:t>high degree directly interact</w:t>
      </w:r>
      <w:r w:rsidR="007C1DA0">
        <w:t xml:space="preserve"> </w:t>
      </w:r>
      <w:r w:rsidR="007C1DA0">
        <w:lastRenderedPageBreak/>
        <w:t xml:space="preserve">with many other fields. Fields with high </w:t>
      </w:r>
      <w:r w:rsidR="008D2060">
        <w:t xml:space="preserve">closeness lie in the center of the overall network. </w:t>
      </w:r>
      <w:r w:rsidR="007C1DA0">
        <w:t>Finally, fields with high eigen value centrality are connected to many</w:t>
      </w:r>
      <w:r w:rsidR="006D572C">
        <w:t xml:space="preserve"> </w:t>
      </w:r>
      <w:r w:rsidR="00A12F09">
        <w:t>well-</w:t>
      </w:r>
      <w:r w:rsidR="008D2060">
        <w:t xml:space="preserve">connected </w:t>
      </w:r>
      <w:r w:rsidR="006D572C">
        <w:t>members</w:t>
      </w:r>
      <w:r w:rsidR="008D2060">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the shifting connections and affinities for biological</w:t>
      </w:r>
      <w:r w:rsidR="00F222E1">
        <w:t xml:space="preserve"> interdisciplinary research</w:t>
      </w:r>
      <w:r w:rsidR="00B537E8">
        <w:t xml:space="preserve">. </w:t>
      </w:r>
    </w:p>
    <w:p w:rsidR="00252A6D" w:rsidRDefault="00F222E1" w:rsidP="002A0B78">
      <w:pPr>
        <w:ind w:firstLine="720"/>
      </w:pPr>
      <w:r>
        <w:t>This analysis shows t</w:t>
      </w:r>
      <w:r w:rsidR="00C401C5" w:rsidRPr="00495638">
        <w:t xml:space="preserve">he </w:t>
      </w:r>
      <w:r w:rsidR="00781287" w:rsidRPr="00495638">
        <w:t xml:space="preserve">life sciences </w:t>
      </w:r>
      <w:r w:rsidR="00C401C5" w:rsidRPr="00495638">
        <w:t xml:space="preserve">network </w:t>
      </w:r>
      <w:r w:rsidR="00781287" w:rsidRPr="00495638">
        <w:t>is highly modular, with distinct compartments</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rsidR="00252A6D">
        <w:t xml:space="preserve"> Environmental sciences and Biotechnology act as strong bridges between compartments and </w:t>
      </w:r>
      <w:r w:rsidR="006F7A16">
        <w:t>are the most</w:t>
      </w:r>
      <w:r w:rsidR="00252A6D">
        <w:t xml:space="preserve"> well-connected fields within the life sci</w:t>
      </w:r>
      <w:r>
        <w:t xml:space="preserve">ences. </w:t>
      </w:r>
    </w:p>
    <w:p w:rsidR="00C401C5" w:rsidRDefault="006F7A16" w:rsidP="00B537E8">
      <w:r>
        <w:tab/>
      </w:r>
      <w:r w:rsidR="00A12F09">
        <w:t>T</w:t>
      </w:r>
      <w:r w:rsidR="00C401C5">
        <w:t xml:space="preserve">emporal patterns among connected </w:t>
      </w:r>
      <w:r w:rsidR="00A12F09">
        <w:t>fields</w:t>
      </w:r>
      <w:r w:rsidR="00C401C5">
        <w:t xml:space="preserve"> were fairly static. The largest increases in connectivity </w:t>
      </w:r>
      <w:r w:rsidR="00F309B8">
        <w:t>was between</w:t>
      </w:r>
      <w:r w:rsidR="00A12F09">
        <w:t xml:space="preserve"> Environmental Sciences </w:t>
      </w:r>
      <w:r w:rsidR="00F309B8">
        <w:t>and</w:t>
      </w:r>
      <w:r w:rsidR="00A12F09">
        <w:t xml:space="preserve"> Biotechnology, highlighting the importance of applied research to solve anthropogenic challenges (cite Nature paper). </w:t>
      </w:r>
      <w:r w:rsidR="00F309B8">
        <w:t xml:space="preserve">As fields gain popularity, they change the </w:t>
      </w:r>
      <w:r w:rsidR="00F222E1">
        <w:t>interactions among connected me</w:t>
      </w:r>
      <w:r w:rsidR="00F309B8">
        <w:t>m</w:t>
      </w:r>
      <w:r w:rsidR="00CB6635">
        <w:t>b</w:t>
      </w:r>
      <w:r w:rsidR="00F309B8">
        <w:t>ers. For example, t</w:t>
      </w:r>
      <w:r w:rsidR="00A12F09">
        <w:t xml:space="preserve">he number of papers published in Molecular Biology journals has increased tremendously since 1995, and </w:t>
      </w:r>
      <w:r w:rsidR="00F309B8">
        <w:t>the current strong</w:t>
      </w:r>
      <w:r w:rsidR="00F222E1">
        <w:t xml:space="preserve"> ties between Molecular Biology</w:t>
      </w:r>
      <w:r w:rsidR="00F309B8">
        <w:t xml:space="preserve"> and </w:t>
      </w:r>
      <w:r w:rsidR="00A12F09">
        <w:t>Cell Biology</w:t>
      </w:r>
      <w:r w:rsidR="00F309B8">
        <w:t xml:space="preserve"> may account for the decreased connection amon</w:t>
      </w:r>
      <w:r w:rsidR="00F222E1">
        <w:t>g Biochemistry and Cell Biology, which has decreased in the last two decades.</w:t>
      </w:r>
    </w:p>
    <w:p w:rsidR="00986D42" w:rsidRDefault="00252A6D" w:rsidP="00B537E8">
      <w:r>
        <w:tab/>
        <w:t xml:space="preserve">Visualizing life-sciences as a complex network gives rises to many questions and spurs the development of </w:t>
      </w:r>
      <w:r w:rsidR="00986D42">
        <w:t>interdisciplinary</w:t>
      </w:r>
      <w:r w:rsidR="00F222E1">
        <w:t xml:space="preserve"> connections. While</w:t>
      </w:r>
      <w:r>
        <w:t xml:space="preserve"> the strong connections between Biochemisty and </w:t>
      </w:r>
      <w:r w:rsidRPr="00975E59">
        <w:t>Mol</w:t>
      </w:r>
      <w:r w:rsidR="00495638" w:rsidRPr="00975E59">
        <w:t>e</w:t>
      </w:r>
      <w:r w:rsidRPr="00975E59">
        <w:t xml:space="preserve">cular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rsidRPr="00975E59">
        <w:t xml:space="preserve">The current challenge of producing robust climate models highlights the observed connection between Oceanography, </w:t>
      </w:r>
      <w:r w:rsidR="00495638" w:rsidRPr="00975E59">
        <w:t>Atmospheric</w:t>
      </w:r>
      <w:r w:rsidR="00986D42" w:rsidRPr="00975E59">
        <w:t xml:space="preserve"> Sciences and Environmental Sciences. </w:t>
      </w:r>
    </w:p>
    <w:p w:rsidR="00725F6F" w:rsidRDefault="00CB0821" w:rsidP="00725F6F">
      <w:pPr>
        <w:jc w:val="cente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161925</wp:posOffset>
            </wp:positionV>
            <wp:extent cx="7232015" cy="5591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1175"/>
                    </a:xfrm>
                    <a:prstGeom prst="rect">
                      <a:avLst/>
                    </a:prstGeom>
                  </pic:spPr>
                </pic:pic>
              </a:graphicData>
            </a:graphic>
            <wp14:sizeRelH relativeFrom="margin">
              <wp14:pctWidth>0</wp14:pctWidth>
            </wp14:sizeRelH>
            <wp14:sizeRelV relativeFrom="margin">
              <wp14:pctHeight>0</wp14:pctHeight>
            </wp14:sizeRelV>
          </wp:anchor>
        </w:drawing>
      </w:r>
    </w:p>
    <w:p w:rsidR="00CB0821" w:rsidRDefault="00725F6F" w:rsidP="00B537E8">
      <w:pPr>
        <w:sectPr w:rsidR="00CB0821" w:rsidSect="00725F6F">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t xml:space="preserve">. </w:t>
      </w:r>
    </w:p>
    <w:p w:rsidR="00975E59" w:rsidRDefault="00CB0821" w:rsidP="00B537E8">
      <w:r>
        <w:rPr>
          <w:noProof/>
        </w:rPr>
        <w:lastRenderedPageBreak/>
        <w:drawing>
          <wp:anchor distT="0" distB="0" distL="114300" distR="114300" simplePos="0" relativeHeight="251659264" behindDoc="0" locked="0" layoutInCell="1" allowOverlap="1" wp14:anchorId="4D218341" wp14:editId="19B53D97">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14:sizeRelH relativeFrom="margin">
              <wp14:pctWidth>0</wp14:pctWidth>
            </wp14:sizeRelH>
            <wp14:sizeRelV relativeFrom="margin">
              <wp14:pctHeight>0</wp14:pctHeight>
            </wp14:sizeRelV>
          </wp:anchor>
        </w:drawing>
      </w:r>
      <w:r w:rsidR="00781287">
        <w:t>Figure 2</w:t>
      </w:r>
      <w:r w:rsidR="00975E59">
        <w:t xml:space="preserve"> Centrality measures for each biological field. Fields with high betweenness are central members of the network and connect other members. Fields with high degree directly interact with many other fields. Fields with high closeness lie in the center of the overall network. </w:t>
      </w:r>
      <w:r w:rsidR="006954F3">
        <w:t>F</w:t>
      </w:r>
      <w:r w:rsidR="00975E59">
        <w:t>ields with high eigen value centrality are connected to many well connected members.</w:t>
      </w:r>
      <w:r w:rsidR="006954F3">
        <w:t xml:space="preserve"> For comparison, all fields were standardized and ordered by highest (most central) to lowest (least central). </w:t>
      </w:r>
    </w:p>
    <w:p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16B447E1" wp14:editId="1D364E45">
            <wp:simplePos x="0" y="0"/>
            <wp:positionH relativeFrom="page">
              <wp:align>right</wp:align>
            </wp:positionH>
            <wp:positionV relativeFrom="paragraph">
              <wp:posOffset>0</wp:posOffset>
            </wp:positionV>
            <wp:extent cx="7587615" cy="47421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7615" cy="4742180"/>
                    </a:xfrm>
                    <a:prstGeom prst="rect">
                      <a:avLst/>
                    </a:prstGeom>
                  </pic:spPr>
                </pic:pic>
              </a:graphicData>
            </a:graphic>
            <wp14:sizeRelH relativeFrom="margin">
              <wp14:pctWidth>0</wp14:pctWidth>
            </wp14:sizeRelH>
            <wp14:sizeRelV relativeFrom="margin">
              <wp14:pctHeight>0</wp14:pctHeight>
            </wp14:sizeRelV>
          </wp:anchor>
        </w:drawing>
      </w:r>
      <w:r w:rsidR="00CB0821">
        <w:t>Figure 3</w:t>
      </w:r>
      <w:r w:rsidR="00644867">
        <w:t xml:space="preserve"> Estimated change in link strength as a function of year for academic fields. Only fields with significantly positive or significantly negative estimates are shown. Years were binned into two year groups to account for differing publishing rates in each field. </w:t>
      </w:r>
    </w:p>
    <w:p w:rsidR="00CB6635" w:rsidRDefault="00CB6635" w:rsidP="00644867">
      <w:pPr>
        <w:pStyle w:val="Heading2"/>
      </w:pPr>
      <w:r>
        <w:br w:type="page"/>
      </w:r>
    </w:p>
    <w:p w:rsidR="00BF2CEB" w:rsidRDefault="00644867" w:rsidP="00644867">
      <w:pPr>
        <w:pStyle w:val="Heading2"/>
      </w:pPr>
      <w:r>
        <w:lastRenderedPageBreak/>
        <w:t>Methods Summary</w:t>
      </w:r>
    </w:p>
    <w:p w:rsidR="00E07ABD" w:rsidRDefault="002A0B78" w:rsidP="00CB6635">
      <w:r>
        <w:t>Journals were classified following the google scholar journal classification for Life and and Earth Sciences (</w:t>
      </w:r>
      <w:hyperlink r:id="rId11" w:history="1">
        <w:r w:rsidRPr="00F43D9A">
          <w:rPr>
            <w:rStyle w:val="Hyperlink"/>
          </w:rPr>
          <w:t>https://scholar.google.com/citations?view_op=top_venues&amp;hl=en&amp;vq=bio</w:t>
        </w:r>
      </w:hyperlink>
      <w:r>
        <w:t xml:space="preserve">). </w:t>
      </w:r>
      <w:r w:rsidR="00B34FF1">
        <w:t>Each classification consisted of twenty journals. While the boundaries of discrete classifications will always be difficult to define, the vast majority of journals can be placed between one or two categories.</w:t>
      </w:r>
      <w:r>
        <w:t xml:space="preserve"> High ranking cross-field journals such as </w:t>
      </w:r>
      <w:r>
        <w:rPr>
          <w:i/>
        </w:rPr>
        <w:t>Nature</w:t>
      </w:r>
      <w:r>
        <w:t xml:space="preserve"> were removed.  Using the source title for the remaining journal, I queried the Scopus API for the metadata on all articles between 1995-2014 (Appendix A). </w:t>
      </w:r>
      <w:r w:rsidR="00644867">
        <w:t>Academic betadiveristy was defined by constructing an author by field matrix with each of</w:t>
      </w:r>
      <w:r w:rsidR="00CB6635">
        <w:t xml:space="preserve"> the 300,000 unique authors as</w:t>
      </w:r>
      <w:r w:rsidR="00644867">
        <w:t xml:space="preserve"> row</w:t>
      </w:r>
      <w:r w:rsidR="00CB6635">
        <w:t>s</w:t>
      </w:r>
      <w:r w:rsidR="00644867">
        <w:t>, with the number of publications in each discipline in each column</w:t>
      </w:r>
      <w:r w:rsidR="00CB6635">
        <w:t xml:space="preserve"> and calculated using Horn’s distance in the R package vegan</w:t>
      </w:r>
      <w:r w:rsidR="00644867">
        <w:t xml:space="preserve">. </w:t>
      </w:r>
      <w:r w:rsidR="0041305C">
        <w:t>The network statistics were calculated using the igraph package in R, and a correlation tests showed on</w:t>
      </w:r>
      <w:bookmarkStart w:id="0" w:name="_GoBack"/>
      <w:bookmarkEnd w:id="0"/>
      <w:r w:rsidR="0041305C">
        <w:t>ly moderate connection between indices</w:t>
      </w:r>
      <w:r w:rsidR="00CB6635">
        <w:t xml:space="preserve"> (Appendix B)</w:t>
      </w:r>
      <w:r w:rsidR="0041305C">
        <w:t>. To calculate change in connectivity over time,</w:t>
      </w:r>
      <w:r w:rsidR="004B6FFD">
        <w:t xml:space="preserve"> I divided the dataset into two year chunks and recalculated both the dissimilarity among fields and the network statistics for each period. Linear regression was used to estimate the change in connectivity over time. Only relationships which had a significantly (p &lt; 0.05) positive or negative slope were shown. All source code, network statistics, and plots of each field over time is available in the supplementary materials.</w:t>
      </w:r>
    </w:p>
    <w:p w:rsidR="00BF2CEB" w:rsidRDefault="006417BF" w:rsidP="00BF2CEB">
      <w:r>
        <w:t>Works Cited</w:t>
      </w:r>
    </w:p>
    <w:p w:rsidR="0041305C" w:rsidRPr="0041305C" w:rsidRDefault="0041305C">
      <w:pPr>
        <w:pStyle w:val="NormalWeb"/>
        <w:ind w:left="640" w:hanging="640"/>
        <w:divId w:val="512647421"/>
        <w:rPr>
          <w:rFonts w:ascii="Calibri" w:hAnsi="Calibri"/>
          <w:noProof/>
          <w:sz w:val="22"/>
        </w:rPr>
      </w:pPr>
      <w:r>
        <w:fldChar w:fldCharType="begin" w:fldLock="1"/>
      </w:r>
      <w:r>
        <w:instrText xml:space="preserve">ADDIN Mendeley Bibliography CSL_BIBLIOGRAPHY </w:instrText>
      </w:r>
      <w:r>
        <w:fldChar w:fldCharType="separate"/>
      </w:r>
      <w:r w:rsidRPr="0041305C">
        <w:rPr>
          <w:rFonts w:ascii="Calibri" w:hAnsi="Calibri"/>
          <w:noProof/>
          <w:sz w:val="22"/>
        </w:rPr>
        <w:t>1.</w:t>
      </w:r>
      <w:r w:rsidRPr="0041305C">
        <w:rPr>
          <w:rFonts w:ascii="Calibri" w:hAnsi="Calibri"/>
          <w:noProof/>
          <w:sz w:val="22"/>
        </w:rPr>
        <w:tab/>
        <w:t xml:space="preserve">Parker, J. N., Allesina, S. &amp; Lortie, C. J. Characterizing a scientific elite (B): Publication and citation patterns of the most highly cited scientists in environmental science and ecology. </w:t>
      </w:r>
      <w:r w:rsidRPr="0041305C">
        <w:rPr>
          <w:rFonts w:ascii="Calibri" w:hAnsi="Calibri"/>
          <w:i/>
          <w:iCs/>
          <w:noProof/>
          <w:sz w:val="22"/>
        </w:rPr>
        <w:t>Scientometrics</w:t>
      </w:r>
      <w:r w:rsidRPr="0041305C">
        <w:rPr>
          <w:rFonts w:ascii="Calibri" w:hAnsi="Calibri"/>
          <w:noProof/>
          <w:sz w:val="22"/>
        </w:rPr>
        <w:t xml:space="preserve"> </w:t>
      </w:r>
      <w:r w:rsidRPr="0041305C">
        <w:rPr>
          <w:rFonts w:ascii="Calibri" w:hAnsi="Calibri"/>
          <w:b/>
          <w:bCs/>
          <w:noProof/>
          <w:sz w:val="22"/>
        </w:rPr>
        <w:t>94,</w:t>
      </w:r>
      <w:r w:rsidRPr="0041305C">
        <w:rPr>
          <w:rFonts w:ascii="Calibri" w:hAnsi="Calibri"/>
          <w:noProof/>
          <w:sz w:val="22"/>
        </w:rPr>
        <w:t xml:space="preserve"> 469–480 (2013).</w:t>
      </w:r>
    </w:p>
    <w:p w:rsidR="0041305C" w:rsidRPr="0041305C" w:rsidRDefault="0041305C">
      <w:pPr>
        <w:pStyle w:val="NormalWeb"/>
        <w:ind w:left="640" w:hanging="640"/>
        <w:divId w:val="512647421"/>
        <w:rPr>
          <w:rFonts w:ascii="Calibri" w:hAnsi="Calibri"/>
          <w:noProof/>
          <w:sz w:val="22"/>
        </w:rPr>
      </w:pPr>
      <w:r w:rsidRPr="0041305C">
        <w:rPr>
          <w:rFonts w:ascii="Calibri" w:hAnsi="Calibri"/>
          <w:noProof/>
          <w:sz w:val="22"/>
        </w:rPr>
        <w:t>2.</w:t>
      </w:r>
      <w:r w:rsidRPr="0041305C">
        <w:rPr>
          <w:rFonts w:ascii="Calibri" w:hAnsi="Calibri"/>
          <w:noProof/>
          <w:sz w:val="22"/>
        </w:rPr>
        <w:tab/>
        <w:t xml:space="preserve">Newman, M. E. J. Coauthorship networks and patterns of scientific collaboration. </w:t>
      </w:r>
      <w:r w:rsidRPr="0041305C">
        <w:rPr>
          <w:rFonts w:ascii="Calibri" w:hAnsi="Calibri"/>
          <w:i/>
          <w:iCs/>
          <w:noProof/>
          <w:sz w:val="22"/>
        </w:rPr>
        <w:t>Proc. Natl. Acad. Sci. U. S. A.</w:t>
      </w:r>
      <w:r w:rsidRPr="0041305C">
        <w:rPr>
          <w:rFonts w:ascii="Calibri" w:hAnsi="Calibri"/>
          <w:noProof/>
          <w:sz w:val="22"/>
        </w:rPr>
        <w:t xml:space="preserve"> </w:t>
      </w:r>
      <w:r w:rsidRPr="0041305C">
        <w:rPr>
          <w:rFonts w:ascii="Calibri" w:hAnsi="Calibri"/>
          <w:b/>
          <w:bCs/>
          <w:noProof/>
          <w:sz w:val="22"/>
        </w:rPr>
        <w:t>101 Suppl ,</w:t>
      </w:r>
      <w:r w:rsidRPr="0041305C">
        <w:rPr>
          <w:rFonts w:ascii="Calibri" w:hAnsi="Calibri"/>
          <w:noProof/>
          <w:sz w:val="22"/>
        </w:rPr>
        <w:t xml:space="preserve"> 5200–5205 (2004). </w:t>
      </w:r>
    </w:p>
    <w:p w:rsidR="0041305C" w:rsidRDefault="0041305C" w:rsidP="00BF2CEB">
      <w:r>
        <w:fldChar w:fldCharType="end"/>
      </w:r>
    </w:p>
    <w:p w:rsidR="006417BF" w:rsidRDefault="006417BF" w:rsidP="00BF2CEB"/>
    <w:p w:rsidR="00FA115D" w:rsidRPr="00FA115D" w:rsidRDefault="00FA115D" w:rsidP="00CB6635">
      <w:pPr>
        <w:pStyle w:val="Heading1"/>
      </w:pPr>
      <w:r w:rsidRPr="00FA115D">
        <w:lastRenderedPageBreak/>
        <w:t>Appendix</w:t>
      </w:r>
    </w:p>
    <w:p w:rsidR="00FA115D" w:rsidRDefault="00FA115D" w:rsidP="00BF2CEB"/>
    <w:sectPr w:rsidR="00FA115D" w:rsidSect="00CB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57D" w:rsidRDefault="00CF257D" w:rsidP="00725F6F">
      <w:pPr>
        <w:spacing w:after="0" w:line="240" w:lineRule="auto"/>
      </w:pPr>
      <w:r>
        <w:separator/>
      </w:r>
    </w:p>
  </w:endnote>
  <w:endnote w:type="continuationSeparator" w:id="0">
    <w:p w:rsidR="00CF257D" w:rsidRDefault="00CF257D"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57D" w:rsidRDefault="00CF257D" w:rsidP="00725F6F">
      <w:pPr>
        <w:spacing w:after="0" w:line="240" w:lineRule="auto"/>
      </w:pPr>
      <w:r>
        <w:separator/>
      </w:r>
    </w:p>
  </w:footnote>
  <w:footnote w:type="continuationSeparator" w:id="0">
    <w:p w:rsidR="00CF257D" w:rsidRDefault="00CF257D"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E3ACB"/>
    <w:rsid w:val="00106DA9"/>
    <w:rsid w:val="00141E51"/>
    <w:rsid w:val="00161FDF"/>
    <w:rsid w:val="00210DC9"/>
    <w:rsid w:val="00215C85"/>
    <w:rsid w:val="00234776"/>
    <w:rsid w:val="00252A6D"/>
    <w:rsid w:val="002738F8"/>
    <w:rsid w:val="002A0B78"/>
    <w:rsid w:val="003252D0"/>
    <w:rsid w:val="00331C85"/>
    <w:rsid w:val="0040175A"/>
    <w:rsid w:val="0040792C"/>
    <w:rsid w:val="0041305C"/>
    <w:rsid w:val="0042423E"/>
    <w:rsid w:val="00452936"/>
    <w:rsid w:val="004742A4"/>
    <w:rsid w:val="00495638"/>
    <w:rsid w:val="004A357B"/>
    <w:rsid w:val="004A6661"/>
    <w:rsid w:val="004B6FFD"/>
    <w:rsid w:val="004E66DB"/>
    <w:rsid w:val="00585917"/>
    <w:rsid w:val="005E5C14"/>
    <w:rsid w:val="006417BF"/>
    <w:rsid w:val="00644867"/>
    <w:rsid w:val="006954F3"/>
    <w:rsid w:val="006D572C"/>
    <w:rsid w:val="006F7A16"/>
    <w:rsid w:val="00712E7E"/>
    <w:rsid w:val="00725F6F"/>
    <w:rsid w:val="00734F35"/>
    <w:rsid w:val="00767410"/>
    <w:rsid w:val="00781287"/>
    <w:rsid w:val="007C1DA0"/>
    <w:rsid w:val="00820830"/>
    <w:rsid w:val="008B09F3"/>
    <w:rsid w:val="008D2060"/>
    <w:rsid w:val="009172BA"/>
    <w:rsid w:val="00975E59"/>
    <w:rsid w:val="00986D42"/>
    <w:rsid w:val="009E3E4E"/>
    <w:rsid w:val="009E595E"/>
    <w:rsid w:val="00A005C0"/>
    <w:rsid w:val="00A12F09"/>
    <w:rsid w:val="00A631B7"/>
    <w:rsid w:val="00B0616C"/>
    <w:rsid w:val="00B34FF1"/>
    <w:rsid w:val="00B537E8"/>
    <w:rsid w:val="00B845B4"/>
    <w:rsid w:val="00BD54C0"/>
    <w:rsid w:val="00BF2CEB"/>
    <w:rsid w:val="00C240F9"/>
    <w:rsid w:val="00C30E23"/>
    <w:rsid w:val="00C401C5"/>
    <w:rsid w:val="00CB0821"/>
    <w:rsid w:val="00CB6635"/>
    <w:rsid w:val="00CF257D"/>
    <w:rsid w:val="00D961DC"/>
    <w:rsid w:val="00DA6DBF"/>
    <w:rsid w:val="00DC15C8"/>
    <w:rsid w:val="00DD6E36"/>
    <w:rsid w:val="00E00795"/>
    <w:rsid w:val="00E07ABD"/>
    <w:rsid w:val="00E108ED"/>
    <w:rsid w:val="00E66780"/>
    <w:rsid w:val="00F222E1"/>
    <w:rsid w:val="00F309B8"/>
    <w:rsid w:val="00F568E6"/>
    <w:rsid w:val="00F96E15"/>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 w:type="paragraph" w:styleId="NormalWeb">
    <w:name w:val="Normal (Web)"/>
    <w:basedOn w:val="Normal"/>
    <w:uiPriority w:val="99"/>
    <w:unhideWhenUsed/>
    <w:rsid w:val="004130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3973">
      <w:bodyDiv w:val="1"/>
      <w:marLeft w:val="0"/>
      <w:marRight w:val="0"/>
      <w:marTop w:val="0"/>
      <w:marBottom w:val="0"/>
      <w:divBdr>
        <w:top w:val="none" w:sz="0" w:space="0" w:color="auto"/>
        <w:left w:val="none" w:sz="0" w:space="0" w:color="auto"/>
        <w:bottom w:val="none" w:sz="0" w:space="0" w:color="auto"/>
        <w:right w:val="none" w:sz="0" w:space="0" w:color="auto"/>
      </w:divBdr>
      <w:divsChild>
        <w:div w:id="66919855">
          <w:marLeft w:val="0"/>
          <w:marRight w:val="0"/>
          <w:marTop w:val="0"/>
          <w:marBottom w:val="0"/>
          <w:divBdr>
            <w:top w:val="none" w:sz="0" w:space="0" w:color="auto"/>
            <w:left w:val="none" w:sz="0" w:space="0" w:color="auto"/>
            <w:bottom w:val="none" w:sz="0" w:space="0" w:color="auto"/>
            <w:right w:val="none" w:sz="0" w:space="0" w:color="auto"/>
          </w:divBdr>
          <w:divsChild>
            <w:div w:id="1623144308">
              <w:marLeft w:val="0"/>
              <w:marRight w:val="0"/>
              <w:marTop w:val="0"/>
              <w:marBottom w:val="0"/>
              <w:divBdr>
                <w:top w:val="none" w:sz="0" w:space="0" w:color="auto"/>
                <w:left w:val="none" w:sz="0" w:space="0" w:color="auto"/>
                <w:bottom w:val="none" w:sz="0" w:space="0" w:color="auto"/>
                <w:right w:val="none" w:sz="0" w:space="0" w:color="auto"/>
              </w:divBdr>
              <w:divsChild>
                <w:div w:id="1044523443">
                  <w:marLeft w:val="0"/>
                  <w:marRight w:val="0"/>
                  <w:marTop w:val="0"/>
                  <w:marBottom w:val="0"/>
                  <w:divBdr>
                    <w:top w:val="none" w:sz="0" w:space="0" w:color="auto"/>
                    <w:left w:val="none" w:sz="0" w:space="0" w:color="auto"/>
                    <w:bottom w:val="none" w:sz="0" w:space="0" w:color="auto"/>
                    <w:right w:val="none" w:sz="0" w:space="0" w:color="auto"/>
                  </w:divBdr>
                  <w:divsChild>
                    <w:div w:id="512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top_venues&amp;hl=en&amp;vq=b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F0828-33AE-4899-903E-B0B85794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8</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40</cp:revision>
  <dcterms:created xsi:type="dcterms:W3CDTF">2015-04-19T23:26:00Z</dcterms:created>
  <dcterms:modified xsi:type="dcterms:W3CDTF">2015-05-30T23:15:00Z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http://www.zotero.org/styles/methods-in-ecology-and-evolution</vt:lpwstr>
  </property>
  <property fmtid="{D5CDD505-2E9C-101B-9397-08002B2CF9AE}" pid="16" name="Mendeley Recent Style Name 5_1">
    <vt:lpwstr>Methods in Ecology and Evolution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