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eastAsia="Times New Roman"/>
          <w:b/>
          <w:sz w:val="32"/>
        </w:rPr>
        <w:t>Milestone 2 Revision Guide</w:t>
      </w:r>
    </w:p>
    <w:p>
      <w:pPr>
        <w:spacing w:after="360" w:line="276" w:lineRule="auto"/>
        <w:jc w:val="center"/>
      </w:pPr>
      <w:r>
        <w:rPr>
          <w:rFonts w:ascii="Times New Roman" w:hAnsi="Times New Roman" w:eastAsia="Times New Roman"/>
          <w:b/>
          <w:sz w:val="28"/>
        </w:rPr>
        <w:t>AI-Based Student Dropout Early Warning System for Higher Education</w:t>
      </w:r>
    </w:p>
    <w:p>
      <w:pPr>
        <w:pStyle w:val="Heading1"/>
        <w:spacing w:after="120" w:line="264" w:lineRule="auto"/>
      </w:pPr>
      <w:r>
        <w:rPr>
          <w:rFonts w:ascii="Times New Roman" w:hAnsi="Times New Roman" w:eastAsia="Times New Roman"/>
          <w:b/>
          <w:sz w:val="28"/>
        </w:rPr>
        <w:t>How to Use This Guide</w:t>
      </w:r>
    </w:p>
    <w:p>
      <w:pPr>
        <w:pStyle w:val="ListBullet"/>
        <w:spacing w:after="60" w:line="264" w:lineRule="auto"/>
      </w:pPr>
      <w:r>
        <w:rPr>
          <w:rFonts w:ascii="Times New Roman" w:hAnsi="Times New Roman" w:eastAsia="Times New Roman"/>
          <w:b w:val="0"/>
          <w:sz w:val="24"/>
        </w:rPr>
        <w:t>This guide follows the structure of your original Milestone2.docx.</w:t>
      </w:r>
    </w:p>
    <w:p>
      <w:pPr>
        <w:pStyle w:val="ListBullet"/>
        <w:spacing w:after="60" w:line="264" w:lineRule="auto"/>
      </w:pPr>
      <w:r>
        <w:rPr>
          <w:rFonts w:ascii="Times New Roman" w:hAnsi="Times New Roman" w:eastAsia="Times New Roman"/>
          <w:b w:val="0"/>
          <w:sz w:val="24"/>
        </w:rPr>
        <w:t>Sections marked Keep can remain as they are.</w:t>
      </w:r>
    </w:p>
    <w:p>
      <w:pPr>
        <w:pStyle w:val="ListBullet"/>
        <w:spacing w:after="60" w:line="264" w:lineRule="auto"/>
      </w:pPr>
      <w:r>
        <w:rPr>
          <w:rFonts w:ascii="Times New Roman" w:hAnsi="Times New Roman" w:eastAsia="Times New Roman"/>
          <w:b w:val="0"/>
          <w:sz w:val="24"/>
        </w:rPr>
        <w:t>Sections marked Replace should be overwritten with the new text provided below.</w:t>
      </w:r>
    </w:p>
    <w:p>
      <w:pPr>
        <w:pStyle w:val="ListBullet"/>
        <w:spacing w:after="60" w:line="264" w:lineRule="auto"/>
      </w:pPr>
      <w:r>
        <w:rPr>
          <w:rFonts w:ascii="Times New Roman" w:hAnsi="Times New Roman" w:eastAsia="Times New Roman"/>
          <w:b w:val="0"/>
          <w:sz w:val="24"/>
        </w:rPr>
        <w:t>Sections marked Add should keep your original wording and append the new sentence or paragraph.</w:t>
      </w:r>
    </w:p>
    <w:p>
      <w:pPr>
        <w:pStyle w:val="Heading1"/>
        <w:spacing w:after="120" w:line="264" w:lineRule="auto"/>
      </w:pPr>
      <w:r>
        <w:rPr>
          <w:rFonts w:ascii="Times New Roman" w:hAnsi="Times New Roman" w:eastAsia="Times New Roman"/>
          <w:b/>
          <w:sz w:val="28"/>
        </w:rPr>
        <w:t>Quick Summary</w:t>
      </w:r>
    </w:p>
    <w:p>
      <w:pPr>
        <w:pStyle w:val="ListBullet"/>
        <w:spacing w:after="60" w:line="264" w:lineRule="auto"/>
      </w:pPr>
      <w:r>
        <w:rPr>
          <w:rFonts w:ascii="Times New Roman" w:hAnsi="Times New Roman" w:eastAsia="Times New Roman"/>
          <w:b w:val="0"/>
          <w:sz w:val="24"/>
        </w:rPr>
        <w:t>Keep largely as-is: 2.1, 2.2, 2.3, 2.4, most references, and the UCI data audit facts.</w:t>
      </w:r>
    </w:p>
    <w:p>
      <w:pPr>
        <w:pStyle w:val="ListBullet"/>
        <w:spacing w:after="60" w:line="264" w:lineRule="auto"/>
      </w:pPr>
      <w:r>
        <w:rPr>
          <w:rFonts w:ascii="Times New Roman" w:hAnsi="Times New Roman" w:eastAsia="Times New Roman"/>
          <w:b w:val="0"/>
          <w:sz w:val="24"/>
        </w:rPr>
        <w:t>Replace entirely: title, Executive Summary, 2.6 Research Gap Analysis, 3.2, 3.3, and the opening part of Section 4.</w:t>
      </w:r>
    </w:p>
    <w:p>
      <w:pPr>
        <w:pStyle w:val="ListBullet"/>
        <w:spacing w:after="60" w:line="264" w:lineRule="auto"/>
      </w:pPr>
      <w:r>
        <w:rPr>
          <w:rFonts w:ascii="Times New Roman" w:hAnsi="Times New Roman" w:eastAsia="Times New Roman"/>
          <w:b w:val="0"/>
          <w:sz w:val="24"/>
        </w:rPr>
        <w:t>Add short updates: one sentence at the end of 2.5, one paragraph in 3.4, one paragraph in 4.2, one paragraph in 4.3.</w:t>
      </w:r>
    </w:p>
    <w:p>
      <w:pPr>
        <w:pStyle w:val="ListBullet"/>
        <w:spacing w:after="60" w:line="264" w:lineRule="auto"/>
      </w:pPr>
      <w:r>
        <w:rPr>
          <w:rFonts w:ascii="Times New Roman" w:hAnsi="Times New Roman" w:eastAsia="Times New Roman"/>
          <w:b w:val="0"/>
          <w:sz w:val="24"/>
        </w:rPr>
        <w:t>Revise Section 5 so OULAD is no longer described as optional or only a backup.</w:t>
      </w:r>
    </w:p>
    <w:p>
      <w:pPr>
        <w:pStyle w:val="Heading1"/>
        <w:spacing w:after="120" w:line="264" w:lineRule="auto"/>
      </w:pPr>
      <w:r>
        <w:rPr>
          <w:rFonts w:ascii="Times New Roman" w:hAnsi="Times New Roman" w:eastAsia="Times New Roman"/>
          <w:b/>
          <w:sz w:val="28"/>
        </w:rPr>
        <w:t>Current Review of Your Edited Milestone2.docx</w:t>
      </w:r>
    </w:p>
    <w:p>
      <w:pPr>
        <w:spacing w:after="120" w:line="276" w:lineRule="auto"/>
      </w:pPr>
      <w:r>
        <w:rPr>
          <w:rFonts w:ascii="Times New Roman" w:hAnsi="Times New Roman" w:eastAsia="Times New Roman"/>
          <w:b/>
          <w:sz w:val="24"/>
        </w:rPr>
        <w:t>Based on the latest version of your edited Milestone2.docx, the items below are already fixed correctly.</w:t>
      </w:r>
    </w:p>
    <w:p>
      <w:pPr>
        <w:pStyle w:val="ListBullet"/>
        <w:spacing w:after="60" w:line="264" w:lineRule="auto"/>
      </w:pPr>
      <w:r>
        <w:rPr>
          <w:rFonts w:ascii="Times New Roman" w:hAnsi="Times New Roman" w:eastAsia="Times New Roman"/>
          <w:b w:val="0"/>
          <w:sz w:val="24"/>
        </w:rPr>
        <w:t>The title has now been updated to the cross-dataset generalization version.</w:t>
      </w:r>
    </w:p>
    <w:p>
      <w:pPr>
        <w:pStyle w:val="ListBullet"/>
        <w:spacing w:after="60" w:line="264" w:lineRule="auto"/>
      </w:pPr>
      <w:r>
        <w:rPr>
          <w:rFonts w:ascii="Times New Roman" w:hAnsi="Times New Roman" w:eastAsia="Times New Roman"/>
          <w:b w:val="0"/>
          <w:sz w:val="24"/>
        </w:rPr>
        <w:t>The Executive Summary is now within the required length range at 224 words.</w:t>
      </w:r>
    </w:p>
    <w:p>
      <w:pPr>
        <w:pStyle w:val="ListBullet"/>
        <w:spacing w:after="60" w:line="264" w:lineRule="auto"/>
      </w:pPr>
      <w:r>
        <w:rPr>
          <w:rFonts w:ascii="Times New Roman" w:hAnsi="Times New Roman" w:eastAsia="Times New Roman"/>
          <w:b w:val="0"/>
          <w:sz w:val="24"/>
        </w:rPr>
        <w:t>The literature review opening now reflects the updated reference count directionally.</w:t>
      </w:r>
    </w:p>
    <w:p>
      <w:pPr>
        <w:pStyle w:val="ListBullet"/>
        <w:spacing w:after="60" w:line="264" w:lineRule="auto"/>
      </w:pPr>
      <w:r>
        <w:rPr>
          <w:rFonts w:ascii="Times New Roman" w:hAnsi="Times New Roman" w:eastAsia="Times New Roman"/>
          <w:b w:val="0"/>
          <w:sz w:val="24"/>
        </w:rPr>
        <w:t>Section 2.1 Thematic Overview is no longer empty.</w:t>
      </w:r>
    </w:p>
    <w:p>
      <w:pPr>
        <w:pStyle w:val="ListBullet"/>
        <w:spacing w:after="60" w:line="264" w:lineRule="auto"/>
      </w:pPr>
      <w:r>
        <w:rPr>
          <w:rFonts w:ascii="Times New Roman" w:hAnsi="Times New Roman" w:eastAsia="Times New Roman"/>
          <w:b w:val="0"/>
          <w:sz w:val="24"/>
        </w:rPr>
        <w:t>Section 2.4 now connects explainability to cross-dataset stability.</w:t>
      </w:r>
    </w:p>
    <w:p>
      <w:pPr>
        <w:pStyle w:val="ListBullet"/>
        <w:spacing w:after="60" w:line="264" w:lineRule="auto"/>
      </w:pPr>
      <w:r>
        <w:rPr>
          <w:rFonts w:ascii="Times New Roman" w:hAnsi="Times New Roman" w:eastAsia="Times New Roman"/>
          <w:b w:val="0"/>
          <w:sz w:val="24"/>
        </w:rPr>
        <w:t>Section 2.5 now includes the limitation about single-dataset validation.</w:t>
      </w:r>
    </w:p>
    <w:p>
      <w:pPr>
        <w:pStyle w:val="ListBullet"/>
        <w:spacing w:after="60" w:line="264" w:lineRule="auto"/>
      </w:pPr>
      <w:r>
        <w:rPr>
          <w:rFonts w:ascii="Times New Roman" w:hAnsi="Times New Roman" w:eastAsia="Times New Roman"/>
          <w:b w:val="0"/>
          <w:sz w:val="24"/>
        </w:rPr>
        <w:t>Section 2.6 has been redirected toward cross-dataset validation, explanation stability, and reproduction-before-extension.</w:t>
      </w:r>
    </w:p>
    <w:p>
      <w:pPr>
        <w:pStyle w:val="ListBullet"/>
        <w:spacing w:after="60" w:line="264" w:lineRule="auto"/>
      </w:pPr>
      <w:r>
        <w:rPr>
          <w:rFonts w:ascii="Times New Roman" w:hAnsi="Times New Roman" w:eastAsia="Times New Roman"/>
          <w:b w:val="0"/>
          <w:sz w:val="24"/>
        </w:rPr>
        <w:t>Section 3 now uses a two-dataset framing rather than the old primary-versus-backup framing.</w:t>
      </w:r>
    </w:p>
    <w:p>
      <w:pPr>
        <w:pStyle w:val="ListBullet"/>
        <w:spacing w:after="60" w:line="264" w:lineRule="auto"/>
      </w:pPr>
      <w:r>
        <w:rPr>
          <w:rFonts w:ascii="Times New Roman" w:hAnsi="Times New Roman" w:eastAsia="Times New Roman"/>
          <w:b w:val="0"/>
          <w:sz w:val="24"/>
        </w:rPr>
        <w:t>Sections 3.2 and 3.3 have been renamed in the right direction.</w:t>
      </w:r>
    </w:p>
    <w:p>
      <w:pPr>
        <w:pStyle w:val="ListBullet"/>
        <w:spacing w:after="60" w:line="264" w:lineRule="auto"/>
      </w:pPr>
      <w:r>
        <w:rPr>
          <w:rFonts w:ascii="Times New Roman" w:hAnsi="Times New Roman" w:eastAsia="Times New Roman"/>
          <w:b w:val="0"/>
          <w:sz w:val="24"/>
        </w:rPr>
        <w:t>Section 3.4 now includes an OULAD-specific complexity paragraph.</w:t>
      </w:r>
    </w:p>
    <w:p>
      <w:pPr>
        <w:pStyle w:val="ListBullet"/>
        <w:spacing w:after="60" w:line="264" w:lineRule="auto"/>
      </w:pPr>
      <w:r>
        <w:rPr>
          <w:rFonts w:ascii="Times New Roman" w:hAnsi="Times New Roman" w:eastAsia="Times New Roman"/>
          <w:b w:val="0"/>
          <w:sz w:val="24"/>
        </w:rPr>
        <w:t>Section 4 now includes the four-phase workflow and the external-validation note in 4.2.</w:t>
      </w:r>
    </w:p>
    <w:p>
      <w:pPr>
        <w:pStyle w:val="ListBullet"/>
        <w:spacing w:after="60" w:line="264" w:lineRule="auto"/>
      </w:pPr>
      <w:r>
        <w:rPr>
          <w:rFonts w:ascii="Times New Roman" w:hAnsi="Times New Roman" w:eastAsia="Times New Roman"/>
          <w:b w:val="0"/>
          <w:sz w:val="24"/>
        </w:rPr>
        <w:t>Section 5 is much more consistent with the revised methodology.</w:t>
      </w:r>
    </w:p>
    <w:p>
      <w:pPr>
        <w:spacing w:after="120" w:line="276" w:lineRule="auto"/>
      </w:pPr>
      <w:r>
        <w:rPr>
          <w:rFonts w:ascii="Times New Roman" w:hAnsi="Times New Roman" w:eastAsia="Times New Roman"/>
          <w:b/>
          <w:sz w:val="24"/>
        </w:rPr>
        <w:t>The items below still need revision before submission.</w:t>
      </w:r>
    </w:p>
    <w:p>
      <w:pPr>
        <w:pStyle w:val="ListBullet"/>
        <w:spacing w:after="60" w:line="264" w:lineRule="auto"/>
      </w:pPr>
      <w:r>
        <w:rPr>
          <w:rFonts w:ascii="Times New Roman" w:hAnsi="Times New Roman" w:eastAsia="Times New Roman"/>
          <w:b w:val="0"/>
          <w:sz w:val="24"/>
        </w:rPr>
        <w:t>The title page still does not include a Student Group Name line.</w:t>
      </w:r>
    </w:p>
    <w:p>
      <w:pPr>
        <w:pStyle w:val="ListBullet"/>
        <w:spacing w:after="60" w:line="264" w:lineRule="auto"/>
      </w:pPr>
      <w:r>
        <w:rPr>
          <w:rFonts w:ascii="Times New Roman" w:hAnsi="Times New Roman" w:eastAsia="Times New Roman"/>
          <w:b w:val="0"/>
          <w:sz w:val="24"/>
        </w:rPr>
        <w:t>The opening paragraph of Section 2 says 27 scholarly articles, but the reference list contains 27 total references and only 26 scholarly sources because the UCI dataset repository entry is not a scholarly article.</w:t>
      </w:r>
    </w:p>
    <w:p>
      <w:pPr>
        <w:pStyle w:val="ListBullet"/>
        <w:spacing w:after="60" w:line="264" w:lineRule="auto"/>
      </w:pPr>
      <w:r>
        <w:rPr>
          <w:rFonts w:ascii="Times New Roman" w:hAnsi="Times New Roman" w:eastAsia="Times New Roman"/>
          <w:b w:val="0"/>
          <w:sz w:val="24"/>
        </w:rPr>
        <w:t>The end of the Section 2 opening paragraph still cites [1]-[24], which no longer matches the full set of references discussed.</w:t>
      </w:r>
    </w:p>
    <w:p>
      <w:pPr>
        <w:pStyle w:val="ListBullet"/>
        <w:spacing w:after="60" w:line="264" w:lineRule="auto"/>
      </w:pPr>
      <w:r>
        <w:rPr>
          <w:rFonts w:ascii="Times New Roman" w:hAnsi="Times New Roman" w:eastAsia="Times New Roman"/>
          <w:b w:val="0"/>
          <w:sz w:val="24"/>
        </w:rPr>
        <w:t>Section 3.1 Dataset Summary still uses awkward old wording such as 'secondary role' and should be cleaned up.</w:t>
      </w:r>
    </w:p>
    <w:p>
      <w:pPr>
        <w:pStyle w:val="ListBullet"/>
        <w:spacing w:after="60" w:line="264" w:lineRule="auto"/>
      </w:pPr>
      <w:r>
        <w:rPr>
          <w:rFonts w:ascii="Times New Roman" w:hAnsi="Times New Roman" w:eastAsia="Times New Roman"/>
          <w:b w:val="0"/>
          <w:sz w:val="24"/>
        </w:rPr>
        <w:t>Section 4 has numbering mismatch: you have 4, 4.2, and 4.3, but no 4.1 heading.</w:t>
      </w:r>
    </w:p>
    <w:p>
      <w:pPr>
        <w:pStyle w:val="ListBullet"/>
        <w:spacing w:after="60" w:line="264" w:lineRule="auto"/>
      </w:pPr>
      <w:r>
        <w:rPr>
          <w:rFonts w:ascii="Times New Roman" w:hAnsi="Times New Roman" w:eastAsia="Times New Roman"/>
          <w:b w:val="0"/>
          <w:sz w:val="24"/>
        </w:rPr>
        <w:t>Section 4.2 should distinguish between multiclass metrics for UCI reproduction and binary attrition metrics for cross-dataset testing.</w:t>
      </w:r>
    </w:p>
    <w:p>
      <w:pPr>
        <w:pStyle w:val="ListBullet"/>
        <w:spacing w:after="60" w:line="264" w:lineRule="auto"/>
      </w:pPr>
      <w:r>
        <w:rPr>
          <w:rFonts w:ascii="Times New Roman" w:hAnsi="Times New Roman" w:eastAsia="Times New Roman"/>
          <w:b w:val="0"/>
          <w:sz w:val="24"/>
        </w:rPr>
        <w:t>Section 4.3 currently repeats itself across two paragraphs and ends with awkward grammar and missing punctuation.</w:t>
      </w:r>
    </w:p>
    <w:p>
      <w:pPr>
        <w:spacing w:after="120" w:line="276" w:lineRule="auto"/>
      </w:pPr>
      <w:r>
        <w:rPr>
          <w:rFonts w:ascii="Times New Roman" w:hAnsi="Times New Roman" w:eastAsia="Times New Roman"/>
          <w:b/>
          <w:sz w:val="24"/>
        </w:rPr>
        <w:t>Use the next few sections first, because they are the highest-priority remaining fixes in your current draft.</w:t>
      </w:r>
    </w:p>
    <w:p>
      <w:pPr>
        <w:pStyle w:val="Heading2"/>
        <w:spacing w:after="120" w:line="264" w:lineRule="auto"/>
      </w:pPr>
      <w:r>
        <w:rPr>
          <w:rFonts w:ascii="Times New Roman" w:hAnsi="Times New Roman" w:eastAsia="Times New Roman"/>
          <w:b/>
          <w:sz w:val="24"/>
        </w:rPr>
        <w:t>Priority Fix 1 - Literature Review Opening Paragraph</w:t>
      </w:r>
    </w:p>
    <w:p>
      <w:pPr>
        <w:spacing w:after="120" w:line="276" w:lineRule="auto"/>
      </w:pPr>
      <w:r>
        <w:rPr>
          <w:rFonts w:ascii="Times New Roman" w:hAnsi="Times New Roman" w:eastAsia="Times New Roman"/>
          <w:b/>
          <w:sz w:val="24"/>
        </w:rPr>
        <w:t>Action: Replace the opening paragraph under 2. Literature Review with the text below so the source counts and citation scope match your current reference list.</w:t>
      </w:r>
    </w:p>
    <w:p>
      <w:pPr>
        <w:spacing w:after="120" w:line="276" w:lineRule="auto"/>
        <w:ind w:left="504" w:right="144"/>
      </w:pPr>
      <w:r>
        <w:rPr>
          <w:rFonts w:ascii="Times New Roman" w:hAnsi="Times New Roman" w:eastAsia="Times New Roman"/>
          <w:b w:val="0"/>
          <w:sz w:val="24"/>
        </w:rPr>
        <w:t>This literature review draws on 27 references overall, including 26 scholarly sources and 15 sources published during 2024-2026. The review is organized thematically rather than article-by-article so that the synthesis supports the revised project direction. Across the literature, four recurring themes are especially relevant to this capstone: structured institutional prediction models, behavioural and learning analytics models, explainable AI for decision support, and the still-limited evidence on external validity and model portability across educational datasets [1]-[24], [26], [27].</w:t>
      </w:r>
    </w:p>
    <w:p>
      <w:pPr>
        <w:pStyle w:val="Heading2"/>
        <w:spacing w:after="120" w:line="264" w:lineRule="auto"/>
      </w:pPr>
      <w:r>
        <w:rPr>
          <w:rFonts w:ascii="Times New Roman" w:hAnsi="Times New Roman" w:eastAsia="Times New Roman"/>
          <w:b/>
          <w:sz w:val="24"/>
        </w:rPr>
        <w:t>Priority Fix 2 - Section 2.1 Thematic Overview</w:t>
      </w:r>
    </w:p>
    <w:p>
      <w:pPr>
        <w:spacing w:after="120" w:line="276" w:lineRule="auto"/>
      </w:pPr>
      <w:r>
        <w:rPr>
          <w:rFonts w:ascii="Times New Roman" w:hAnsi="Times New Roman" w:eastAsia="Times New Roman"/>
          <w:b/>
          <w:sz w:val="24"/>
        </w:rPr>
        <w:t>Action: You already fixed this section. No further change is needed unless you want to polish the wording.</w:t>
      </w:r>
    </w:p>
    <w:p>
      <w:pPr>
        <w:spacing w:after="120" w:line="276" w:lineRule="auto"/>
        <w:ind w:left="504" w:right="144"/>
      </w:pPr>
      <w:r>
        <w:rPr>
          <w:rFonts w:ascii="Times New Roman" w:hAnsi="Times New Roman" w:eastAsia="Times New Roman"/>
          <w:b w:val="0"/>
          <w:sz w:val="24"/>
        </w:rPr>
        <w:t>This review is organized thematically to connect benchmark work on structured institutional data, learning analytics studies based on behavioural traces, explainable AI research, and the emerging need for cross-dataset validation. This thematic structure is appropriate for the present capstone because the project now aims not only to reproduce prior work, but also to test portability and explanation stability across educational datasets.</w:t>
      </w:r>
    </w:p>
    <w:p>
      <w:pPr>
        <w:pStyle w:val="Heading2"/>
        <w:spacing w:after="120" w:line="264" w:lineRule="auto"/>
      </w:pPr>
      <w:r>
        <w:rPr>
          <w:rFonts w:ascii="Times New Roman" w:hAnsi="Times New Roman" w:eastAsia="Times New Roman"/>
          <w:b/>
          <w:sz w:val="24"/>
        </w:rPr>
        <w:t>Priority Fix 3 - Section 3 Opening Paragraph</w:t>
      </w:r>
    </w:p>
    <w:p>
      <w:pPr>
        <w:spacing w:after="120" w:line="276" w:lineRule="auto"/>
      </w:pPr>
      <w:r>
        <w:rPr>
          <w:rFonts w:ascii="Times New Roman" w:hAnsi="Times New Roman" w:eastAsia="Times New Roman"/>
          <w:b/>
          <w:sz w:val="24"/>
        </w:rPr>
        <w:t>Action: You already moved this in the right direction. The only remaining issue is 3.1 wording, covered below.</w:t>
      </w:r>
    </w:p>
    <w:p>
      <w:pPr>
        <w:spacing w:after="120" w:line="276" w:lineRule="auto"/>
        <w:ind w:left="504" w:right="144"/>
      </w:pPr>
      <w:r>
        <w:rPr>
          <w:rFonts w:ascii="Times New Roman" w:hAnsi="Times New Roman" w:eastAsia="Times New Roman"/>
          <w:b w:val="0"/>
          <w:sz w:val="24"/>
        </w:rPr>
        <w:t>The revised project uses two publicly available datasets for complementary purposes. OULAD will serve as the primary evaluation dataset because it offers richer behavioural and temporal information for testing model robustness in a realistic learning analytics environment. The UCI Predict Students' Dropout and Academic Success dataset will serve as the reproduction and benchmark dataset for the base paper. This two-dataset design supports both methodological feasibility and a stronger contribution through cross-dataset generalization analysis.</w:t>
      </w:r>
    </w:p>
    <w:p>
      <w:pPr>
        <w:pStyle w:val="Heading2"/>
        <w:spacing w:after="120" w:line="264" w:lineRule="auto"/>
      </w:pPr>
      <w:r>
        <w:rPr>
          <w:rFonts w:ascii="Times New Roman" w:hAnsi="Times New Roman" w:eastAsia="Times New Roman"/>
          <w:b/>
          <w:sz w:val="24"/>
        </w:rPr>
        <w:t>Priority Fix 4 - Section 3.1 Dataset Summary</w:t>
      </w:r>
    </w:p>
    <w:p>
      <w:pPr>
        <w:spacing w:after="120" w:line="276" w:lineRule="auto"/>
      </w:pPr>
      <w:r>
        <w:rPr>
          <w:rFonts w:ascii="Times New Roman" w:hAnsi="Times New Roman" w:eastAsia="Times New Roman"/>
          <w:b/>
          <w:sz w:val="24"/>
        </w:rPr>
        <w:t>Action: Replace the current 3.1 paragraph with the version below. Your present wording still refers to an 'additional' dataset serving a 'secondary role,' which conflicts with the new design.</w:t>
      </w:r>
    </w:p>
    <w:p>
      <w:pPr>
        <w:spacing w:after="120" w:line="276" w:lineRule="auto"/>
        <w:ind w:left="504" w:right="144"/>
      </w:pPr>
      <w:r>
        <w:rPr>
          <w:rFonts w:ascii="Times New Roman" w:hAnsi="Times New Roman" w:eastAsia="Times New Roman"/>
          <w:b w:val="0"/>
          <w:sz w:val="24"/>
        </w:rPr>
        <w:t>The revised data strategy uses two public educational datasets with different roles. OULAD is the primary evaluation dataset because it contains richer behavioural and temporal learning data, while the UCI dataset is used to reproduce the base paper and provide a structured benchmark for comparison. Together, these datasets support both within-dataset modeling and cross-dataset generalization analysis.</w:t>
      </w:r>
    </w:p>
    <w:p>
      <w:pPr>
        <w:pStyle w:val="Heading2"/>
        <w:spacing w:after="120" w:line="264" w:lineRule="auto"/>
      </w:pPr>
      <w:r>
        <w:rPr>
          <w:rFonts w:ascii="Times New Roman" w:hAnsi="Times New Roman" w:eastAsia="Times New Roman"/>
          <w:b/>
          <w:sz w:val="24"/>
        </w:rPr>
        <w:t>Priority Fix 5 - Section 3.2 OULAD Facts</w:t>
      </w:r>
    </w:p>
    <w:p>
      <w:pPr>
        <w:spacing w:after="120" w:line="276" w:lineRule="auto"/>
      </w:pPr>
      <w:r>
        <w:rPr>
          <w:rFonts w:ascii="Times New Roman" w:hAnsi="Times New Roman" w:eastAsia="Times New Roman"/>
          <w:b/>
          <w:sz w:val="24"/>
        </w:rPr>
        <w:t>Action: Your current 3.2 is mostly correct. You can keep it, but the wording below is slightly cleaner if you want to tighten it.</w:t>
      </w:r>
    </w:p>
    <w:p>
      <w:pPr>
        <w:spacing w:after="120" w:line="276" w:lineRule="auto"/>
        <w:ind w:left="504" w:right="144"/>
      </w:pPr>
      <w:r>
        <w:rPr>
          <w:rFonts w:ascii="Times New Roman" w:hAnsi="Times New Roman" w:eastAsia="Times New Roman"/>
          <w:b w:val="0"/>
          <w:sz w:val="24"/>
        </w:rPr>
        <w:t>The Open University Learning Analytics Dataset (OULAD) will be used as the primary evaluation dataset for the revised project. OULAD is especially valuable because it provides richer behavioural and temporal learning information than the UCI benchmark and therefore supports a stronger test of model robustness. Inspection of the official archive confirms that it contains seven CSV files, including studentInfo, studentRegistration, studentAssessment, and studentVle. The studentInfo file includes 32,593 student records, and the target variable final_result contains four categories: Distinction, Pass, Fail, and Withdrawn. The dataset also includes 173,912 assessment records and more than 10 million VLE interaction rows, which makes it a realistic environment for evaluating an early warning model beyond a small benchmark dataset. This change directly addresses the concern that the earlier proposal was too incremental.</w:t>
      </w:r>
    </w:p>
    <w:p>
      <w:pPr>
        <w:pStyle w:val="Heading2"/>
        <w:spacing w:after="120" w:line="264" w:lineRule="auto"/>
      </w:pPr>
      <w:r>
        <w:rPr>
          <w:rFonts w:ascii="Times New Roman" w:hAnsi="Times New Roman" w:eastAsia="Times New Roman"/>
          <w:b/>
          <w:sz w:val="24"/>
        </w:rPr>
        <w:t>Priority Fix 6 - Section 3.4 Delete One Old Paragraph</w:t>
      </w:r>
    </w:p>
    <w:p>
      <w:pPr>
        <w:spacing w:after="120" w:line="276" w:lineRule="auto"/>
      </w:pPr>
      <w:r>
        <w:rPr>
          <w:rFonts w:ascii="Times New Roman" w:hAnsi="Times New Roman" w:eastAsia="Times New Roman"/>
          <w:b/>
          <w:sz w:val="24"/>
        </w:rPr>
        <w:t>Action: You already removed the old backup-dataset paragraph. No further change is needed here.</w:t>
      </w:r>
    </w:p>
    <w:p>
      <w:pPr>
        <w:spacing w:after="120" w:line="276" w:lineRule="auto"/>
        <w:ind w:left="504" w:right="144"/>
      </w:pPr>
      <w:r>
        <w:rPr>
          <w:rFonts w:ascii="Times New Roman" w:hAnsi="Times New Roman" w:eastAsia="Times New Roman"/>
          <w:b w:val="0"/>
          <w:sz w:val="24"/>
        </w:rPr>
        <w:t>Due to technical limitations in terms of storing large amounts of data, the OULAD backup data set seems to be technically possible to store.</w:t>
      </w:r>
    </w:p>
    <w:p>
      <w:pPr>
        <w:pStyle w:val="Heading2"/>
        <w:spacing w:after="120" w:line="264" w:lineRule="auto"/>
      </w:pPr>
      <w:r>
        <w:rPr>
          <w:rFonts w:ascii="Times New Roman" w:hAnsi="Times New Roman" w:eastAsia="Times New Roman"/>
          <w:b/>
          <w:sz w:val="24"/>
        </w:rPr>
        <w:t>Priority Fix 7 - Section 4 Numbering</w:t>
      </w:r>
    </w:p>
    <w:p>
      <w:pPr>
        <w:spacing w:after="120" w:line="276" w:lineRule="auto"/>
      </w:pPr>
      <w:r>
        <w:rPr>
          <w:rFonts w:ascii="Times New Roman" w:hAnsi="Times New Roman" w:eastAsia="Times New Roman"/>
          <w:b/>
          <w:sz w:val="24"/>
        </w:rPr>
        <w:t>Action: Add a 4.1 heading before the phase-based workflow so the numbering is consistent.</w:t>
      </w:r>
    </w:p>
    <w:p>
      <w:pPr>
        <w:spacing w:after="120" w:line="276" w:lineRule="auto"/>
        <w:ind w:left="504" w:right="144"/>
      </w:pPr>
      <w:r>
        <w:rPr>
          <w:rFonts w:ascii="Times New Roman" w:hAnsi="Times New Roman" w:eastAsia="Times New Roman"/>
          <w:b w:val="0"/>
          <w:sz w:val="24"/>
        </w:rPr>
        <w:t>4.1 Planned Workflow</w:t>
      </w:r>
    </w:p>
    <w:p>
      <w:pPr>
        <w:pStyle w:val="Heading2"/>
        <w:spacing w:after="120" w:line="264" w:lineRule="auto"/>
      </w:pPr>
      <w:r>
        <w:rPr>
          <w:rFonts w:ascii="Times New Roman" w:hAnsi="Times New Roman" w:eastAsia="Times New Roman"/>
          <w:b/>
          <w:sz w:val="24"/>
        </w:rPr>
        <w:t>Priority Fix 8 - Section 4.3 Final Sentence</w:t>
      </w:r>
    </w:p>
    <w:p>
      <w:pPr>
        <w:spacing w:after="120" w:line="276" w:lineRule="auto"/>
      </w:pPr>
      <w:r>
        <w:rPr>
          <w:rFonts w:ascii="Times New Roman" w:hAnsi="Times New Roman" w:eastAsia="Times New Roman"/>
          <w:b/>
          <w:sz w:val="24"/>
        </w:rPr>
        <w:t>Action: Replace the end of Section 4.3 with the version below so the duplicated idea is merged into one clean paragraph.</w:t>
      </w:r>
    </w:p>
    <w:p>
      <w:pPr>
        <w:spacing w:after="120" w:line="276" w:lineRule="auto"/>
        <w:ind w:left="504" w:right="144"/>
      </w:pPr>
      <w:r>
        <w:rPr>
          <w:rFonts w:ascii="Times New Roman" w:hAnsi="Times New Roman" w:eastAsia="Times New Roman"/>
          <w:b w:val="0"/>
          <w:sz w:val="24"/>
        </w:rPr>
        <w:t>These methods are suitable not only because they are effective on structured educational data, but also because they allow a fair comparison between reproduction and extension stages. In the revised project, SHAP is not used only to explain a single best-performing model, but also to compare whether explanation patterns remain stable across datasets.</w:t>
      </w:r>
    </w:p>
    <w:p>
      <w:pPr>
        <w:pStyle w:val="Heading2"/>
        <w:spacing w:after="120" w:line="264" w:lineRule="auto"/>
      </w:pPr>
      <w:r>
        <w:rPr>
          <w:rFonts w:ascii="Times New Roman" w:hAnsi="Times New Roman" w:eastAsia="Times New Roman"/>
          <w:b/>
          <w:sz w:val="24"/>
        </w:rPr>
        <w:t>Priority Fix 9 - Section 4.2 Metric Framing</w:t>
      </w:r>
    </w:p>
    <w:p>
      <w:pPr>
        <w:spacing w:after="120" w:line="276" w:lineRule="auto"/>
      </w:pPr>
      <w:r>
        <w:rPr>
          <w:rFonts w:ascii="Times New Roman" w:hAnsi="Times New Roman" w:eastAsia="Times New Roman"/>
          <w:b/>
          <w:sz w:val="24"/>
        </w:rPr>
        <w:t>Action: Add the paragraph below after your current metric description so the evaluation strategy explicitly covers both phases of the project.</w:t>
      </w:r>
    </w:p>
    <w:p>
      <w:pPr>
        <w:spacing w:after="120" w:line="276" w:lineRule="auto"/>
        <w:ind w:left="504" w:right="144"/>
      </w:pPr>
      <w:r>
        <w:rPr>
          <w:rFonts w:ascii="Times New Roman" w:hAnsi="Times New Roman" w:eastAsia="Times New Roman"/>
          <w:b w:val="0"/>
          <w:sz w:val="24"/>
        </w:rPr>
        <w:t>The evaluation strategy will differ slightly across phases of the project. For the UCI reproduction phase, multiclass metrics such as macro F1-score, balanced accuracy, confusion matrices, and multiclass ROC-AUC will be emphasized. For the harmonized cross-dataset attrition experiments, binary metrics such as attrition-class recall, F1-score, balanced accuracy, and ROC-AUC or PR-AUC will be more appropriate. This distinction ensures that the evaluation framework remains aligned with both the reproduction objective and the generalization objective.</w:t>
      </w:r>
    </w:p>
    <w:p>
      <w:pPr>
        <w:pStyle w:val="Heading2"/>
        <w:spacing w:after="120" w:line="264" w:lineRule="auto"/>
      </w:pPr>
      <w:r>
        <w:rPr>
          <w:rFonts w:ascii="Times New Roman" w:hAnsi="Times New Roman" w:eastAsia="Times New Roman"/>
          <w:b/>
          <w:sz w:val="24"/>
        </w:rPr>
        <w:t>Priority Fix 10 - Section 5 Wording Cleanup</w:t>
      </w:r>
    </w:p>
    <w:p>
      <w:pPr>
        <w:spacing w:after="120" w:line="276" w:lineRule="auto"/>
      </w:pPr>
      <w:r>
        <w:rPr>
          <w:rFonts w:ascii="Times New Roman" w:hAnsi="Times New Roman" w:eastAsia="Times New Roman"/>
          <w:b/>
          <w:sz w:val="24"/>
        </w:rPr>
        <w:t>Action: Your current Section 5 is directionally correct, but this replacement is cleaner and more consistent with the revised design.</w:t>
      </w:r>
    </w:p>
    <w:p>
      <w:pPr>
        <w:spacing w:after="120" w:line="276" w:lineRule="auto"/>
        <w:ind w:left="504" w:right="144"/>
      </w:pPr>
      <w:r>
        <w:rPr>
          <w:rFonts w:ascii="Times New Roman" w:hAnsi="Times New Roman" w:eastAsia="Times New Roman"/>
          <w:b w:val="0"/>
          <w:sz w:val="24"/>
        </w:rPr>
        <w:t>The revised project remains feasible within one academic term, although it is methodologically stronger than the earlier version. From a computing perspective, both datasets are publicly accessible and can be processed with standard Python tools such as Pandas, Scikit-learn, XGBoost, and SHAP. The UCI benchmark is small and immediately usable, while OULAD is larger mainly because of its interaction logs rather than because it requires specialized infrastructure. The principal constraints are therefore methodological rather than purely technical. OULAD requires table joins, temporal feature construction, and leakage control. Cross-dataset experiments additionally require label harmonization and a carefully reasoned shared feature space. To keep scope realistic, the project will prioritize reproduction, robust evaluation, and explanation analysis over dashboard polish or full production deployment.</w:t>
      </w:r>
    </w:p>
    <w:p>
      <w:pPr>
        <w:spacing w:after="120" w:line="276" w:lineRule="auto"/>
      </w:pPr>
      <w:r>
        <w:rPr>
          <w:rFonts w:ascii="Times New Roman" w:hAnsi="Times New Roman" w:eastAsia="Times New Roman"/>
          <w:b/>
          <w:sz w:val="24"/>
        </w:rPr>
        <w:t>Also replace the final summary sentence in Section 5 if it still describes the project as relying on a clean public primary dataset.</w:t>
      </w:r>
    </w:p>
    <w:p>
      <w:pPr>
        <w:spacing w:after="120" w:line="276" w:lineRule="auto"/>
        <w:ind w:left="504" w:right="144"/>
      </w:pPr>
      <w:r>
        <w:rPr>
          <w:rFonts w:ascii="Times New Roman" w:hAnsi="Times New Roman" w:eastAsia="Times New Roman"/>
          <w:b w:val="0"/>
          <w:sz w:val="24"/>
        </w:rPr>
        <w:t>In summary, the capstone remains achievable for one academic term because it uses publicly available datasets, a focused set of machine learning models, and an explainable workflow that is realistic to implement without full-scale product deployment. The project's added value now comes from reproduction, cross-dataset evaluation, and explanation stability rather than from interface complexity.</w:t>
      </w:r>
    </w:p>
    <w:p>
      <w:pPr>
        <w:pStyle w:val="Heading1"/>
        <w:spacing w:after="120" w:line="264" w:lineRule="auto"/>
      </w:pPr>
      <w:r>
        <w:rPr>
          <w:rFonts w:ascii="Times New Roman" w:hAnsi="Times New Roman" w:eastAsia="Times New Roman"/>
          <w:b/>
          <w:sz w:val="28"/>
        </w:rPr>
        <w:t>1. Title Page</w:t>
      </w:r>
    </w:p>
    <w:p>
      <w:pPr>
        <w:spacing w:after="120" w:line="276" w:lineRule="auto"/>
      </w:pPr>
      <w:r>
        <w:rPr>
          <w:rFonts w:ascii="Times New Roman" w:hAnsi="Times New Roman" w:eastAsia="Times New Roman"/>
          <w:b/>
          <w:sz w:val="24"/>
        </w:rPr>
        <w:t>Action: Replace the project title and add the student group name line.</w:t>
      </w:r>
    </w:p>
    <w:p>
      <w:pPr>
        <w:spacing w:after="120" w:line="276" w:lineRule="auto"/>
      </w:pPr>
      <w:r>
        <w:rPr>
          <w:rFonts w:ascii="Times New Roman" w:hAnsi="Times New Roman" w:eastAsia="Times New Roman"/>
          <w:b/>
          <w:sz w:val="24"/>
        </w:rPr>
        <w:t>Use this title:</w:t>
      </w:r>
    </w:p>
    <w:p>
      <w:pPr>
        <w:spacing w:after="120" w:line="276" w:lineRule="auto"/>
        <w:ind w:left="504" w:right="144"/>
      </w:pPr>
      <w:r>
        <w:rPr>
          <w:rFonts w:ascii="Times New Roman" w:hAnsi="Times New Roman" w:eastAsia="Times New Roman"/>
          <w:b w:val="0"/>
          <w:sz w:val="24"/>
        </w:rPr>
        <w:t>AI-Based Student Dropout Early Warning System for Higher Education: Reproduction and Cross-Dataset Generalization on UCI and OULAD</w:t>
      </w:r>
    </w:p>
    <w:p>
      <w:pPr>
        <w:spacing w:after="120" w:line="276" w:lineRule="auto"/>
      </w:pPr>
      <w:r>
        <w:rPr>
          <w:rFonts w:ascii="Times New Roman" w:hAnsi="Times New Roman" w:eastAsia="Times New Roman"/>
          <w:b/>
          <w:sz w:val="24"/>
        </w:rPr>
        <w:t>Add this line if it is missing:</w:t>
      </w:r>
    </w:p>
    <w:p>
      <w:pPr>
        <w:spacing w:after="120" w:line="276" w:lineRule="auto"/>
        <w:ind w:left="504" w:right="144"/>
      </w:pPr>
      <w:r>
        <w:rPr>
          <w:rFonts w:ascii="Times New Roman" w:hAnsi="Times New Roman" w:eastAsia="Times New Roman"/>
          <w:b w:val="0"/>
          <w:sz w:val="24"/>
        </w:rPr>
        <w:t>Student Group Name: [Insert Group Name]</w:t>
      </w:r>
    </w:p>
    <w:p>
      <w:pPr>
        <w:pStyle w:val="Heading1"/>
        <w:spacing w:after="120" w:line="264" w:lineRule="auto"/>
      </w:pPr>
      <w:r>
        <w:rPr>
          <w:rFonts w:ascii="Times New Roman" w:hAnsi="Times New Roman" w:eastAsia="Times New Roman"/>
          <w:b/>
          <w:sz w:val="28"/>
        </w:rPr>
        <w:t>2. 1. Executive Summary</w:t>
      </w:r>
    </w:p>
    <w:p>
      <w:pPr>
        <w:spacing w:after="120" w:line="276" w:lineRule="auto"/>
      </w:pPr>
      <w:r>
        <w:rPr>
          <w:rFonts w:ascii="Times New Roman" w:hAnsi="Times New Roman" w:eastAsia="Times New Roman"/>
          <w:b/>
          <w:sz w:val="24"/>
        </w:rPr>
        <w:t>Action: Replace the entire Executive Summary with the text below.</w:t>
      </w:r>
    </w:p>
    <w:p>
      <w:pPr>
        <w:spacing w:after="120" w:line="276" w:lineRule="auto"/>
        <w:ind w:left="504" w:right="144"/>
      </w:pPr>
      <w:r>
        <w:rPr>
          <w:rFonts w:ascii="Times New Roman" w:hAnsi="Times New Roman" w:eastAsia="Times New Roman"/>
          <w:b w:val="0"/>
          <w:sz w:val="24"/>
        </w:rPr>
        <w:t>This milestone refines the capstone into a reproduction-and-extension study on student dropout prediction in higher education. Rather than treating the project as a standard single-dataset classification task, the revised design will first reproduce the explainable machine learning workflow reported by Islam et al. (2025) [1] on the UCI Predict Students' Dropout and Academic Success dataset and then evaluate how comparable models generalize to the Open University Learning Analytics Dataset (OULAD). The literature shows strong within-dataset performance for tree-based ensembles and growing use of explainable AI, but it provides limited evidence on cross-dataset robustness, feature-importance stability, and the portability of explanations across educational environments. To address this gap, OULAD will now serve as the primary evaluation dataset, while UCI will serve as the reproduction and benchmark dataset. The analytical plan includes dataset auditing, reproduction of the base paper, development of an OULAD early-warning pipeline, construction of a harmonized attrition outcome for cross-dataset testing, and comparison of SHAP-based explanation patterns across datasets. The expected contribution is therefore not merely another high-performing dropout classifier, but a more graduate-level assessment of model transferability, explanation stability, and practical robustness. The project remains feasible because both datasets are publicly available, manageable in Python or Google Colab workflows, and well aligned with tabular machine learning methods.</w:t>
      </w:r>
    </w:p>
    <w:p>
      <w:pPr>
        <w:pStyle w:val="Heading1"/>
        <w:spacing w:after="120" w:line="264" w:lineRule="auto"/>
      </w:pPr>
      <w:r>
        <w:rPr>
          <w:rFonts w:ascii="Times New Roman" w:hAnsi="Times New Roman" w:eastAsia="Times New Roman"/>
          <w:b/>
          <w:sz w:val="28"/>
        </w:rPr>
        <w:t>3. Section 2.1 to 2.4</w:t>
      </w:r>
    </w:p>
    <w:p>
      <w:pPr>
        <w:spacing w:after="120" w:line="276" w:lineRule="auto"/>
      </w:pPr>
      <w:r>
        <w:rPr>
          <w:rFonts w:ascii="Times New Roman" w:hAnsi="Times New Roman" w:eastAsia="Times New Roman"/>
          <w:b/>
          <w:sz w:val="24"/>
        </w:rPr>
        <w:t>Action: Keep these sections largely as they are. Only make the optional micro-edits below if you want smoother alignment with the revised direction.</w:t>
      </w:r>
    </w:p>
    <w:p>
      <w:pPr>
        <w:spacing w:after="120" w:line="276" w:lineRule="auto"/>
      </w:pPr>
      <w:r>
        <w:rPr>
          <w:rFonts w:ascii="Times New Roman" w:hAnsi="Times New Roman" w:eastAsia="Times New Roman"/>
          <w:b/>
          <w:sz w:val="24"/>
        </w:rPr>
        <w:t>Optional line to add at the end of 2.1:</w:t>
      </w:r>
    </w:p>
    <w:p>
      <w:pPr>
        <w:spacing w:after="120" w:line="276" w:lineRule="auto"/>
        <w:ind w:left="504" w:right="144"/>
      </w:pPr>
      <w:r>
        <w:rPr>
          <w:rFonts w:ascii="Times New Roman" w:hAnsi="Times New Roman" w:eastAsia="Times New Roman"/>
          <w:b w:val="0"/>
          <w:sz w:val="24"/>
        </w:rPr>
        <w:t>These themes are especially relevant to the present capstone because they also highlight the need to examine reproducibility, cross-dataset robustness, and the operational usefulness of student-risk models.</w:t>
      </w:r>
    </w:p>
    <w:p>
      <w:pPr>
        <w:spacing w:after="120" w:line="276" w:lineRule="auto"/>
      </w:pPr>
      <w:r>
        <w:rPr>
          <w:rFonts w:ascii="Times New Roman" w:hAnsi="Times New Roman" w:eastAsia="Times New Roman"/>
          <w:b/>
          <w:sz w:val="24"/>
        </w:rPr>
        <w:t>Optional line to add at the end of 2.4:</w:t>
      </w:r>
    </w:p>
    <w:p>
      <w:pPr>
        <w:spacing w:after="120" w:line="276" w:lineRule="auto"/>
        <w:ind w:left="504" w:right="144"/>
      </w:pPr>
      <w:r>
        <w:rPr>
          <w:rFonts w:ascii="Times New Roman" w:hAnsi="Times New Roman" w:eastAsia="Times New Roman"/>
          <w:b w:val="0"/>
          <w:sz w:val="24"/>
        </w:rPr>
        <w:t>In the context of this capstone, explainability will be considered not only as a support mechanism for model interpretation, but also as a way to compare whether important predictors remain stable across datasets.</w:t>
      </w:r>
    </w:p>
    <w:p>
      <w:pPr>
        <w:pStyle w:val="Heading1"/>
        <w:spacing w:after="120" w:line="264" w:lineRule="auto"/>
      </w:pPr>
      <w:r>
        <w:rPr>
          <w:rFonts w:ascii="Times New Roman" w:hAnsi="Times New Roman" w:eastAsia="Times New Roman"/>
          <w:b/>
          <w:sz w:val="28"/>
        </w:rPr>
        <w:t>4. Section 2.5 Research Trends, Strengths, and Limitations</w:t>
      </w:r>
    </w:p>
    <w:p>
      <w:pPr>
        <w:spacing w:after="120" w:line="276" w:lineRule="auto"/>
      </w:pPr>
      <w:r>
        <w:rPr>
          <w:rFonts w:ascii="Times New Roman" w:hAnsi="Times New Roman" w:eastAsia="Times New Roman"/>
          <w:b/>
          <w:sz w:val="24"/>
        </w:rPr>
        <w:t>Action: Keep most of the section, but add this sentence near the end of the limitations discussion.</w:t>
      </w:r>
    </w:p>
    <w:p>
      <w:pPr>
        <w:spacing w:after="120" w:line="276" w:lineRule="auto"/>
        <w:ind w:left="504" w:right="144"/>
      </w:pPr>
      <w:r>
        <w:rPr>
          <w:rFonts w:ascii="Times New Roman" w:hAnsi="Times New Roman" w:eastAsia="Times New Roman"/>
          <w:b w:val="0"/>
          <w:sz w:val="24"/>
        </w:rPr>
        <w:t>A further limitation across much of the reviewed literature is that model performance is commonly validated within a single dataset or institution, leaving open the question of whether strong results, feature rankings, and explanations remain stable when the model is evaluated in a different educational environment.</w:t>
      </w:r>
    </w:p>
    <w:p>
      <w:pPr>
        <w:pStyle w:val="Heading1"/>
        <w:spacing w:after="120" w:line="264" w:lineRule="auto"/>
      </w:pPr>
      <w:r>
        <w:rPr>
          <w:rFonts w:ascii="Times New Roman" w:hAnsi="Times New Roman" w:eastAsia="Times New Roman"/>
          <w:b/>
          <w:sz w:val="28"/>
        </w:rPr>
        <w:t>5. Section 2.6 Research Gap Analysis</w:t>
      </w:r>
    </w:p>
    <w:p>
      <w:pPr>
        <w:spacing w:after="120" w:line="276" w:lineRule="auto"/>
      </w:pPr>
      <w:r>
        <w:rPr>
          <w:rFonts w:ascii="Times New Roman" w:hAnsi="Times New Roman" w:eastAsia="Times New Roman"/>
          <w:b/>
          <w:sz w:val="24"/>
        </w:rPr>
        <w:t>Action: Replace the entire section with the text below. If you want cleaner structure, you may also rename it as a new top-level section called 3. Research Gap Analysis.</w:t>
      </w:r>
    </w:p>
    <w:p>
      <w:pPr>
        <w:spacing w:after="120" w:line="276" w:lineRule="auto"/>
        <w:ind w:left="504" w:right="144"/>
      </w:pPr>
      <w:r>
        <w:rPr>
          <w:rFonts w:ascii="Times New Roman" w:hAnsi="Times New Roman" w:eastAsia="Times New Roman"/>
          <w:b w:val="0"/>
          <w:sz w:val="24"/>
        </w:rPr>
        <w:t>Although the literature is rich in predictive modeling studies, it remains relatively limited in cross-dataset validation. Many papers report strong results within one institution, one cohort, one course setting, or one benchmark dataset, but they do not test whether the same modeling logic transfers to a substantially different educational environment [1]-[7], [13], [15]. A related gap concerns explanation stability. Existing explainable AI studies typically interpret the model that performs best on a single dataset [1], [10], [18]. Much less is known about whether the most important factors remain consistent when the dataset, population, or learning environment changes. Another gap is methodological: many project-style studies extend published work without first reproducing the original experiment. Finally, the literature continues to show a trade-off between predictive strength and intervention timing, since later academic or behavioural variables often improve performance but reduce the practical value of an early warning system. This capstone addresses these gaps by first reproducing Islam et al. (2025) on the UCI dataset, then extending the analysis to OULAD as a primary evaluation environment, and finally testing whether model performance and explanation patterns remain stable after feature and label harmonization.</w:t>
      </w:r>
    </w:p>
    <w:p>
      <w:pPr>
        <w:pStyle w:val="Heading1"/>
        <w:spacing w:after="120" w:line="264" w:lineRule="auto"/>
      </w:pPr>
      <w:r>
        <w:rPr>
          <w:rFonts w:ascii="Times New Roman" w:hAnsi="Times New Roman" w:eastAsia="Times New Roman"/>
          <w:b/>
          <w:sz w:val="28"/>
        </w:rPr>
        <w:t>6. Section 3.2 Primary Dataset Rationale</w:t>
      </w:r>
    </w:p>
    <w:p>
      <w:pPr>
        <w:spacing w:after="120" w:line="276" w:lineRule="auto"/>
      </w:pPr>
      <w:r>
        <w:rPr>
          <w:rFonts w:ascii="Times New Roman" w:hAnsi="Times New Roman" w:eastAsia="Times New Roman"/>
          <w:b/>
          <w:sz w:val="24"/>
        </w:rPr>
        <w:t>Action: Change the heading to 3.2 Primary Evaluation Dataset Rationale and replace the body with the text below.</w:t>
      </w:r>
    </w:p>
    <w:p>
      <w:pPr>
        <w:spacing w:after="120" w:line="276" w:lineRule="auto"/>
        <w:ind w:left="504" w:right="144"/>
      </w:pPr>
      <w:r>
        <w:rPr>
          <w:rFonts w:ascii="Times New Roman" w:hAnsi="Times New Roman" w:eastAsia="Times New Roman"/>
          <w:b w:val="0"/>
          <w:sz w:val="24"/>
        </w:rPr>
        <w:t>The Open University Learning Analytics Dataset (OULAD) will be used as the primary evaluation dataset for the revised project. OULAD is especially valuable because it provides richer behavioural and temporal learning information than the UCI benchmark and therefore supports a stronger test of model robustness. Inspection of the official archive confirms that it contains seven CSV files, including studentInfo, studentRegistration, studentAssessment, and studentVle. The studentInfo file includes 32,593 student records, and the target variable final_result contains the categories Distinction, Pass, Fail, and Withdrawn. The dataset also includes 173,912 assessment records and more than 10 million VLE interaction rows, which makes it a realistic environment for evaluating an early warning model beyond a small benchmark dataset. This change directly addresses the concern that the earlier proposal was too incremental.</w:t>
      </w:r>
    </w:p>
    <w:p>
      <w:pPr>
        <w:pStyle w:val="Heading1"/>
        <w:spacing w:after="120" w:line="264" w:lineRule="auto"/>
      </w:pPr>
      <w:r>
        <w:rPr>
          <w:rFonts w:ascii="Times New Roman" w:hAnsi="Times New Roman" w:eastAsia="Times New Roman"/>
          <w:b/>
          <w:sz w:val="28"/>
        </w:rPr>
        <w:t>7. Section 3.3 Backup Dataset Rationale</w:t>
      </w:r>
    </w:p>
    <w:p>
      <w:pPr>
        <w:spacing w:after="120" w:line="276" w:lineRule="auto"/>
      </w:pPr>
      <w:r>
        <w:rPr>
          <w:rFonts w:ascii="Times New Roman" w:hAnsi="Times New Roman" w:eastAsia="Times New Roman"/>
          <w:b/>
          <w:sz w:val="24"/>
        </w:rPr>
        <w:t>Action: Rename the heading to 3.3 Reproduction and Benchmark Dataset Rationale and replace the body with the text below.</w:t>
      </w:r>
    </w:p>
    <w:p>
      <w:pPr>
        <w:spacing w:after="120" w:line="276" w:lineRule="auto"/>
        <w:ind w:left="504" w:right="144"/>
      </w:pPr>
      <w:r>
        <w:rPr>
          <w:rFonts w:ascii="Times New Roman" w:hAnsi="Times New Roman" w:eastAsia="Times New Roman"/>
          <w:b w:val="0"/>
          <w:sz w:val="24"/>
        </w:rPr>
        <w:t>The UCI Predict Students' Dropout and Academic Success dataset will be retained, but its role is now more precise: it will serve as the reproduction and benchmark dataset for the base paper [1], [25]. Direct inspection of the public CSV confirms 4,424 student records and 37 columns, including 36 predictor variables and one target variable named Target. The native target categories are Graduate, Dropout, and Enrolled. The file is publicly accessible, has no missing values, and contains no duplicate rows in the downloaded version used for this milestone. This dataset remains valuable because it allows the project to reproduce the main workflow used by Islam et al. (2025) under manageable conditions before any extension is attempted. It also provides a structured baseline against which the more behaviorally rich OULAD setting can be compared.</w:t>
      </w:r>
    </w:p>
    <w:p>
      <w:pPr>
        <w:pStyle w:val="Heading1"/>
        <w:spacing w:after="120" w:line="264" w:lineRule="auto"/>
      </w:pPr>
      <w:r>
        <w:rPr>
          <w:rFonts w:ascii="Times New Roman" w:hAnsi="Times New Roman" w:eastAsia="Times New Roman"/>
          <w:b/>
          <w:sz w:val="28"/>
        </w:rPr>
        <w:t>8. Section 3.4 Preliminary Data Assessment</w:t>
      </w:r>
    </w:p>
    <w:p>
      <w:pPr>
        <w:spacing w:after="120" w:line="276" w:lineRule="auto"/>
      </w:pPr>
      <w:r>
        <w:rPr>
          <w:rFonts w:ascii="Times New Roman" w:hAnsi="Times New Roman" w:eastAsia="Times New Roman"/>
          <w:b/>
          <w:sz w:val="24"/>
        </w:rPr>
        <w:t>Action: Keep the UCI audit you already wrote. Add the following paragraph after it so OULAD is explicitly assessed.</w:t>
      </w:r>
    </w:p>
    <w:p>
      <w:pPr>
        <w:spacing w:after="120" w:line="276" w:lineRule="auto"/>
        <w:ind w:left="504" w:right="144"/>
      </w:pPr>
      <w:r>
        <w:rPr>
          <w:rFonts w:ascii="Times New Roman" w:hAnsi="Times New Roman" w:eastAsia="Times New Roman"/>
          <w:b w:val="0"/>
          <w:sz w:val="24"/>
        </w:rPr>
        <w:t>A preliminary review also indicates that OULAD is feasible but substantially more complex. The archive contains seven linked tables, and the largest table (studentVle) includes more than 10 million interaction rows. This means the main challenge is not raw access to the data, but preprocessing design: table joins, temporal aggregation of VLE behaviour, and careful leakage control. These characteristics make OULAD suitable as the primary evaluation dataset for studying transferability and robustness, but they also require more careful feature engineering than the UCI benchmark.</w:t>
      </w:r>
    </w:p>
    <w:p>
      <w:pPr>
        <w:pStyle w:val="Heading1"/>
        <w:spacing w:after="120" w:line="264" w:lineRule="auto"/>
      </w:pPr>
      <w:r>
        <w:rPr>
          <w:rFonts w:ascii="Times New Roman" w:hAnsi="Times New Roman" w:eastAsia="Times New Roman"/>
          <w:b/>
          <w:sz w:val="28"/>
        </w:rPr>
        <w:t>9. Section 4. Preliminary Analytical Framework</w:t>
      </w:r>
    </w:p>
    <w:p>
      <w:pPr>
        <w:spacing w:after="120" w:line="276" w:lineRule="auto"/>
      </w:pPr>
      <w:r>
        <w:rPr>
          <w:rFonts w:ascii="Times New Roman" w:hAnsi="Times New Roman" w:eastAsia="Times New Roman"/>
          <w:b/>
          <w:sz w:val="24"/>
        </w:rPr>
        <w:t>Action: Replace the opening workflow description with the four-phase version below.</w:t>
      </w:r>
    </w:p>
    <w:p>
      <w:pPr>
        <w:spacing w:after="120" w:line="276" w:lineRule="auto"/>
        <w:ind w:left="504" w:right="144"/>
      </w:pPr>
      <w:r>
        <w:rPr>
          <w:rFonts w:ascii="Times New Roman" w:hAnsi="Times New Roman" w:eastAsia="Times New Roman"/>
          <w:b w:val="0"/>
          <w:sz w:val="24"/>
        </w:rPr>
        <w:t>This revised framework is designed to respond directly to the base paper and the professor's feedback. The analytical workflow will proceed in four phases.</w:t>
      </w:r>
    </w:p>
    <w:p>
      <w:pPr>
        <w:spacing w:after="120" w:line="276" w:lineRule="auto"/>
        <w:ind w:left="504" w:right="144"/>
      </w:pPr>
      <w:r>
        <w:rPr>
          <w:rFonts w:ascii="Times New Roman" w:hAnsi="Times New Roman" w:eastAsia="Times New Roman"/>
          <w:b w:val="0"/>
          <w:sz w:val="24"/>
        </w:rPr>
        <w:t>Phase 1 - Reproduction on UCI:</w:t>
        <w:br/>
        <w:t>The project will first reproduce the core explainable machine learning workflow reported by Islam et al. (2025) on the UCI dataset. This phase will validate the benchmark pipeline and establish a defensible baseline before any extension is attempted.</w:t>
      </w:r>
    </w:p>
    <w:p>
      <w:pPr>
        <w:spacing w:after="120" w:line="276" w:lineRule="auto"/>
        <w:ind w:left="504" w:right="144"/>
      </w:pPr>
      <w:r>
        <w:rPr>
          <w:rFonts w:ascii="Times New Roman" w:hAnsi="Times New Roman" w:eastAsia="Times New Roman"/>
          <w:b w:val="0"/>
          <w:sz w:val="24"/>
        </w:rPr>
        <w:t>Phase 2 - OULAD Early Warning Pipeline:</w:t>
        <w:br/>
        <w:t>A comparable student-risk prediction workflow will then be developed on OULAD using demographic, registration, assessment, and early behavioural features. The main operational target in this phase will be Withdrawn versus non-Withdrawn.</w:t>
      </w:r>
    </w:p>
    <w:p>
      <w:pPr>
        <w:spacing w:after="120" w:line="276" w:lineRule="auto"/>
        <w:ind w:left="504" w:right="144"/>
      </w:pPr>
      <w:r>
        <w:rPr>
          <w:rFonts w:ascii="Times New Roman" w:hAnsi="Times New Roman" w:eastAsia="Times New Roman"/>
          <w:b w:val="0"/>
          <w:sz w:val="24"/>
        </w:rPr>
        <w:t>Phase 3 - Cross-Dataset Generalization:</w:t>
        <w:br/>
        <w:t>After both datasets have defensible pipelines, the project will test cross-dataset generalization using a harmonized binary attrition representation. In UCI, Dropout will represent attrition and Enrolled plus Graduate will represent persistence. In OULAD, Withdrawn will represent attrition and Pass, Fail, and Distinction will represent persistence.</w:t>
      </w:r>
    </w:p>
    <w:p>
      <w:pPr>
        <w:spacing w:after="120" w:line="276" w:lineRule="auto"/>
        <w:ind w:left="504" w:right="144"/>
      </w:pPr>
      <w:r>
        <w:rPr>
          <w:rFonts w:ascii="Times New Roman" w:hAnsi="Times New Roman" w:eastAsia="Times New Roman"/>
          <w:b w:val="0"/>
          <w:sz w:val="24"/>
        </w:rPr>
        <w:t>Phase 4 - Explanation Stability Analysis:</w:t>
        <w:br/>
        <w:t>The final analytical phase will compare feature importance rankings and SHAP explanation patterns across datasets in order to determine which predictors are stable across educational environments and which are dataset-specific.</w:t>
      </w:r>
    </w:p>
    <w:p>
      <w:pPr>
        <w:pStyle w:val="Heading1"/>
        <w:spacing w:after="120" w:line="264" w:lineRule="auto"/>
      </w:pPr>
      <w:r>
        <w:rPr>
          <w:rFonts w:ascii="Times New Roman" w:hAnsi="Times New Roman" w:eastAsia="Times New Roman"/>
          <w:b/>
          <w:sz w:val="28"/>
        </w:rPr>
        <w:t>10. Section 4.2 Evaluation and Validation Strategy</w:t>
      </w:r>
    </w:p>
    <w:p>
      <w:pPr>
        <w:spacing w:after="120" w:line="276" w:lineRule="auto"/>
      </w:pPr>
      <w:r>
        <w:rPr>
          <w:rFonts w:ascii="Times New Roman" w:hAnsi="Times New Roman" w:eastAsia="Times New Roman"/>
          <w:b/>
          <w:sz w:val="24"/>
        </w:rPr>
        <w:t>Action: Keep your metrics paragraph. Add the following paragraph after it.</w:t>
      </w:r>
    </w:p>
    <w:p>
      <w:pPr>
        <w:spacing w:after="120" w:line="276" w:lineRule="auto"/>
        <w:ind w:left="504" w:right="144"/>
      </w:pPr>
      <w:r>
        <w:rPr>
          <w:rFonts w:ascii="Times New Roman" w:hAnsi="Times New Roman" w:eastAsia="Times New Roman"/>
          <w:b w:val="0"/>
          <w:sz w:val="24"/>
        </w:rPr>
        <w:t>In addition to within-dataset validation, cross-dataset testing will serve as a form of external validation. A key part of the analysis will be the comparison between internal model performance and the level of performance degradation observed when a model is transferred to the other dataset. This will provide direct evidence regarding generalization and robustness.</w:t>
      </w:r>
    </w:p>
    <w:p>
      <w:pPr>
        <w:pStyle w:val="Heading1"/>
        <w:spacing w:after="120" w:line="264" w:lineRule="auto"/>
      </w:pPr>
      <w:r>
        <w:rPr>
          <w:rFonts w:ascii="Times New Roman" w:hAnsi="Times New Roman" w:eastAsia="Times New Roman"/>
          <w:b/>
          <w:sz w:val="28"/>
        </w:rPr>
        <w:t>11. Section 4.3 Why These Methods Fit the Project</w:t>
      </w:r>
    </w:p>
    <w:p>
      <w:pPr>
        <w:spacing w:after="120" w:line="276" w:lineRule="auto"/>
      </w:pPr>
      <w:r>
        <w:rPr>
          <w:rFonts w:ascii="Times New Roman" w:hAnsi="Times New Roman" w:eastAsia="Times New Roman"/>
          <w:b/>
          <w:sz w:val="24"/>
        </w:rPr>
        <w:t>Action: Keep most of your current reasoning, but add this concluding sentence.</w:t>
      </w:r>
    </w:p>
    <w:p>
      <w:pPr>
        <w:spacing w:after="120" w:line="276" w:lineRule="auto"/>
        <w:ind w:left="504" w:right="144"/>
      </w:pPr>
      <w:r>
        <w:rPr>
          <w:rFonts w:ascii="Times New Roman" w:hAnsi="Times New Roman" w:eastAsia="Times New Roman"/>
          <w:b w:val="0"/>
          <w:sz w:val="24"/>
        </w:rPr>
        <w:t>These methods are suitable not only because they are effective on structured educational data, but also because they allow a fair comparison between reproduction and extension stages. In the revised project, SHAP is not used only to explain a single best-performing model, but also to compare whether explanation patterns remain stable across datasets.</w:t>
      </w:r>
    </w:p>
    <w:p>
      <w:pPr>
        <w:pStyle w:val="Heading1"/>
        <w:spacing w:after="120" w:line="264" w:lineRule="auto"/>
      </w:pPr>
      <w:r>
        <w:rPr>
          <w:rFonts w:ascii="Times New Roman" w:hAnsi="Times New Roman" w:eastAsia="Times New Roman"/>
          <w:b/>
          <w:sz w:val="28"/>
        </w:rPr>
        <w:t>12. Section 5 Feasibility and Constraints Assessment</w:t>
      </w:r>
    </w:p>
    <w:p>
      <w:pPr>
        <w:spacing w:after="120" w:line="276" w:lineRule="auto"/>
      </w:pPr>
      <w:r>
        <w:rPr>
          <w:rFonts w:ascii="Times New Roman" w:hAnsi="Times New Roman" w:eastAsia="Times New Roman"/>
          <w:b/>
          <w:sz w:val="24"/>
        </w:rPr>
        <w:t>Action: Replace the first two paragraphs and remove any wording that makes OULAD sound optional or only a backup.</w:t>
      </w:r>
    </w:p>
    <w:p>
      <w:pPr>
        <w:spacing w:after="120" w:line="276" w:lineRule="auto"/>
        <w:ind w:left="504" w:right="144"/>
      </w:pPr>
      <w:r>
        <w:rPr>
          <w:rFonts w:ascii="Times New Roman" w:hAnsi="Times New Roman" w:eastAsia="Times New Roman"/>
          <w:b w:val="0"/>
          <w:sz w:val="24"/>
        </w:rPr>
        <w:t>The revised project remains feasible within one academic term, although it is methodologically stronger than the earlier version. From a computing perspective, both datasets are publicly accessible and can be processed with standard Python tools such as Pandas, Scikit-learn, XGBoost, and SHAP. The UCI benchmark is small and immediately usable, while OULAD is larger mainly because of its interaction logs rather than because it requires specialized infrastructure. The principal constraints are therefore methodological rather than purely technical. OULAD requires table joins, temporal feature construction, and leakage control. Cross-dataset experiments additionally require label harmonization and a carefully reasoned shared feature space. To keep scope realistic, the project will prioritize reproduction, robust evaluation, and explanation analysis over dashboard polish or full production deployment.</w:t>
      </w:r>
    </w:p>
    <w:p>
      <w:pPr>
        <w:spacing w:after="120" w:line="276" w:lineRule="auto"/>
      </w:pPr>
      <w:r>
        <w:rPr>
          <w:rFonts w:ascii="Times New Roman" w:hAnsi="Times New Roman" w:eastAsia="Times New Roman"/>
          <w:b/>
          <w:sz w:val="24"/>
        </w:rPr>
        <w:t>Delete or rewrite these old ideas if they still appear anywhere:</w:t>
      </w:r>
    </w:p>
    <w:p>
      <w:pPr>
        <w:pStyle w:val="ListBullet"/>
        <w:spacing w:after="60" w:line="264" w:lineRule="auto"/>
      </w:pPr>
      <w:r>
        <w:rPr>
          <w:rFonts w:ascii="Times New Roman" w:hAnsi="Times New Roman" w:eastAsia="Times New Roman"/>
          <w:b w:val="0"/>
          <w:sz w:val="24"/>
        </w:rPr>
        <w:t>UCI as the primary modeling route and OULAD as an extension route</w:t>
      </w:r>
    </w:p>
    <w:p>
      <w:pPr>
        <w:pStyle w:val="ListBullet"/>
        <w:spacing w:after="60" w:line="264" w:lineRule="auto"/>
      </w:pPr>
      <w:r>
        <w:rPr>
          <w:rFonts w:ascii="Times New Roman" w:hAnsi="Times New Roman" w:eastAsia="Times New Roman"/>
          <w:b w:val="0"/>
          <w:sz w:val="24"/>
        </w:rPr>
        <w:t>If time permits, OULAD may be used</w:t>
      </w:r>
    </w:p>
    <w:p>
      <w:pPr>
        <w:pStyle w:val="ListBullet"/>
        <w:spacing w:after="60" w:line="264" w:lineRule="auto"/>
      </w:pPr>
      <w:r>
        <w:rPr>
          <w:rFonts w:ascii="Times New Roman" w:hAnsi="Times New Roman" w:eastAsia="Times New Roman"/>
          <w:b w:val="0"/>
          <w:sz w:val="24"/>
        </w:rPr>
        <w:t>Any wording that suggests OULAD is optional or secondary</w:t>
      </w:r>
    </w:p>
    <w:p>
      <w:pPr>
        <w:pStyle w:val="ListBullet"/>
        <w:spacing w:after="60" w:line="264" w:lineRule="auto"/>
      </w:pPr>
      <w:r>
        <w:rPr>
          <w:rFonts w:ascii="Times New Roman" w:hAnsi="Times New Roman" w:eastAsia="Times New Roman"/>
          <w:b w:val="0"/>
          <w:sz w:val="24"/>
        </w:rPr>
        <w:t>Any wording that implies a 10,000-row course limit</w:t>
      </w:r>
    </w:p>
    <w:p>
      <w:pPr>
        <w:pStyle w:val="Heading1"/>
        <w:spacing w:after="120" w:line="264" w:lineRule="auto"/>
      </w:pPr>
      <w:r>
        <w:rPr>
          <w:rFonts w:ascii="Times New Roman" w:hAnsi="Times New Roman" w:eastAsia="Times New Roman"/>
          <w:b/>
          <w:sz w:val="28"/>
        </w:rPr>
        <w:t>13. What You Do Not Need to Rebuild</w:t>
      </w:r>
    </w:p>
    <w:p>
      <w:pPr>
        <w:pStyle w:val="ListBullet"/>
        <w:spacing w:after="60" w:line="264" w:lineRule="auto"/>
      </w:pPr>
      <w:r>
        <w:rPr>
          <w:rFonts w:ascii="Times New Roman" w:hAnsi="Times New Roman" w:eastAsia="Times New Roman"/>
          <w:b w:val="0"/>
          <w:sz w:val="24"/>
        </w:rPr>
        <w:t>Most of the literature citations can stay.</w:t>
      </w:r>
    </w:p>
    <w:p>
      <w:pPr>
        <w:pStyle w:val="ListBullet"/>
        <w:spacing w:after="60" w:line="264" w:lineRule="auto"/>
      </w:pPr>
      <w:r>
        <w:rPr>
          <w:rFonts w:ascii="Times New Roman" w:hAnsi="Times New Roman" w:eastAsia="Times New Roman"/>
          <w:b w:val="0"/>
          <w:sz w:val="24"/>
        </w:rPr>
        <w:t>Your UCI data audit facts can stay.</w:t>
      </w:r>
    </w:p>
    <w:p>
      <w:pPr>
        <w:pStyle w:val="ListBullet"/>
        <w:spacing w:after="60" w:line="264" w:lineRule="auto"/>
      </w:pPr>
      <w:r>
        <w:rPr>
          <w:rFonts w:ascii="Times New Roman" w:hAnsi="Times New Roman" w:eastAsia="Times New Roman"/>
          <w:b w:val="0"/>
          <w:sz w:val="24"/>
        </w:rPr>
        <w:t>The overall topic does not need to change.</w:t>
      </w:r>
    </w:p>
    <w:p>
      <w:pPr>
        <w:pStyle w:val="ListBullet"/>
        <w:spacing w:after="60" w:line="264" w:lineRule="auto"/>
      </w:pPr>
      <w:r>
        <w:rPr>
          <w:rFonts w:ascii="Times New Roman" w:hAnsi="Times New Roman" w:eastAsia="Times New Roman"/>
          <w:b w:val="0"/>
          <w:sz w:val="24"/>
        </w:rPr>
        <w:t>You are changing the research contribution, not starting over from zero.</w:t>
      </w:r>
    </w:p>
    <w:p>
      <w:pPr>
        <w:sectPr>
          <w:pgSz w:w="12240" w:h="15840"/>
          <w:pgMar w:top="1440" w:right="1440" w:bottom="1440" w:left="1440" w:header="720" w:footer="720" w:gutter="0"/>
          <w:cols w:space="720"/>
          <w:docGrid w:linePitch="360"/>
        </w:sectPr>
      </w:pPr>
    </w:p>
    <w:p>
      <w:pPr>
        <w:pStyle w:val="Heading1"/>
        <w:spacing w:after="120" w:line="264" w:lineRule="auto"/>
      </w:pPr>
      <w:r>
        <w:rPr>
          <w:rFonts w:ascii="Times New Roman" w:hAnsi="Times New Roman" w:eastAsia="Times New Roman"/>
          <w:b/>
          <w:sz w:val="28"/>
        </w:rPr>
        <w:t>Optional Next Step</w:t>
      </w:r>
    </w:p>
    <w:p>
      <w:pPr>
        <w:spacing w:after="120" w:line="276" w:lineRule="auto"/>
      </w:pPr>
      <w:r>
        <w:rPr>
          <w:rFonts w:ascii="Times New Roman" w:hAnsi="Times New Roman" w:eastAsia="Times New Roman"/>
          <w:b/>
          <w:sz w:val="24"/>
        </w:rPr>
        <w:t>If you want, use the revised full draft here as a reference for tone and structure:</w:t>
      </w:r>
    </w:p>
    <w:p>
      <w:pPr>
        <w:spacing w:after="120" w:line="276" w:lineRule="auto"/>
        <w:ind w:left="504" w:right="144"/>
      </w:pPr>
      <w:r>
        <w:rPr>
          <w:rFonts w:ascii="Times New Roman" w:hAnsi="Times New Roman" w:eastAsia="Times New Roman"/>
          <w:b w:val="0"/>
          <w:sz w:val="24"/>
        </w:rPr>
        <w:t>/Users/shawnwang/Documents/capstone/capstone/work/Milestone2_revised.docx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