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60baab120309216e20720e321434cdc8d01eed"/>
    <w:p>
      <w:pPr>
        <w:pStyle w:val="Heading1"/>
      </w:pPr>
      <w:r>
        <w:t xml:space="preserve">System Sequence Diagrams (SSDs)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Larman, a System Sequence Diagram treats the whole system as a single black-box object and shows the actor's calls to it and the system's return values for the main success scenario of each use case in</w:t>
      </w:r>
      <w:r>
        <w:t xml:space="preserve"> </w:t>
      </w:r>
      <w:hyperlink r:id="rId9">
        <w:r>
          <w:rPr>
            <w:rStyle w:val="Hyperlink"/>
          </w:rPr>
          <w:t xml:space="preserve">Detailed Use Cases</w:t>
        </w:r>
      </w:hyperlink>
      <w:r>
        <w:t xml:space="preserve">. No internal objects appear here — that comes later in the Design Class Diagrams.</w:t>
      </w:r>
    </w:p>
    <w:p>
      <w:r>
        <w:pict>
          <v:rect style="width:0;height:1.5pt" o:hralign="center" o:hrstd="t" o:hr="t"/>
        </w:pict>
      </w:r>
    </w:p>
    <w:bookmarkStart w:id="13" w:name="ssd1-login"/>
    <w:p>
      <w:pPr>
        <w:pStyle w:val="Heading2"/>
      </w:pPr>
      <w:r>
        <w:t xml:space="preserve">SSD1: Login</w:t>
      </w:r>
    </w:p>
    <w:p>
      <w:pPr>
        <w:pStyle w:val="FirstParagraph"/>
      </w:pPr>
      <w:r>
        <w:drawing>
          <wp:inline>
            <wp:extent cx="5334000" cy="2377807"/>
            <wp:effectExtent b="0" l="0" r="0" t="0"/>
            <wp:docPr descr="Diagram 1" title="" id="11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"/>
    <w:bookmarkStart w:id="17" w:name="ssd2-process-sale"/>
    <w:p>
      <w:pPr>
        <w:pStyle w:val="Heading2"/>
      </w:pPr>
      <w:r>
        <w:t xml:space="preserve">SSD2: Process Sale</w:t>
      </w:r>
    </w:p>
    <w:p>
      <w:pPr>
        <w:pStyle w:val="FirstParagraph"/>
      </w:pPr>
      <w:r>
        <w:drawing>
          <wp:inline>
            <wp:extent cx="5334000" cy="5565075"/>
            <wp:effectExtent b="0" l="0" r="0" t="0"/>
            <wp:docPr descr="Diagram 2" title="" id="15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21" w:name="ssd3-manage-inventory--restock-item"/>
    <w:p>
      <w:pPr>
        <w:pStyle w:val="Heading2"/>
      </w:pPr>
      <w:r>
        <w:t xml:space="preserve">SSD3: Manage Inventory – Restock Item</w:t>
      </w:r>
    </w:p>
    <w:p>
      <w:pPr>
        <w:pStyle w:val="FirstParagraph"/>
      </w:pPr>
      <w:r>
        <w:drawing>
          <wp:inline>
            <wp:extent cx="5334000" cy="5415125"/>
            <wp:effectExtent b="0" l="0" r="0" t="0"/>
            <wp:docPr descr="Diagram 3" title="" id="19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1"/>
    <w:bookmarkStart w:id="25" w:name="ssd4-onboard-employee--assign-role"/>
    <w:p>
      <w:pPr>
        <w:pStyle w:val="Heading2"/>
      </w:pPr>
      <w:r>
        <w:t xml:space="preserve">SSD4: Onboard Employee &amp; Assign Role</w:t>
      </w:r>
    </w:p>
    <w:p>
      <w:pPr>
        <w:pStyle w:val="FirstParagraph"/>
      </w:pPr>
      <w:r>
        <w:drawing>
          <wp:inline>
            <wp:extent cx="5334000" cy="3218370"/>
            <wp:effectExtent b="0" l="0" r="0" t="0"/>
            <wp:docPr descr="Diagram 4" title="" id="23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system_sequence_diagrams_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8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four SSDs correspond one-to-one with the fully dressed use cases (UC1–UC4) documented so far. SSDs for the remaining use cases will be produced alongside their detailed use case descriptions.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9" Target="detailed_use_cas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tailed_use_cas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2026-09-06T17:20:14Z</dcterms:created>
  <dcterms:modified xsi:type="dcterms:W3CDTF">2026-09-06T17:20:14Z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